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5,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5"/>
          </w:tcPr>
          <w:p>
            <w:pPr>
              <w:ind w:left="3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44"/>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Commission File No. 001-35664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7"/>
        </w:trPr>
        <w:tc>
          <w:tcPr>
            <w:tcW w:w="3280" w:type="dxa"/>
            <w:vAlign w:val="bottom"/>
          </w:tcPr>
          <w:p>
            <w:pPr>
              <w:spacing w:after="0"/>
              <w:rPr>
                <w:sz w:val="24"/>
                <w:szCs w:val="24"/>
                <w:color w:val="auto"/>
              </w:rPr>
            </w:pPr>
          </w:p>
        </w:tc>
        <w:tc>
          <w:tcPr>
            <w:tcW w:w="7940" w:type="dxa"/>
            <w:vAlign w:val="bottom"/>
            <w:gridSpan w:val="9"/>
          </w:tcPr>
          <w:p>
            <w:pPr>
              <w:jc w:val="center"/>
              <w:ind w:right="3170"/>
              <w:spacing w:after="0"/>
              <w:rPr>
                <w:sz w:val="20"/>
                <w:szCs w:val="20"/>
                <w:color w:val="auto"/>
              </w:rPr>
            </w:pPr>
            <w:r>
              <w:rPr>
                <w:rFonts w:ascii="Times New Roman" w:cs="Times New Roman" w:eastAsia="Times New Roman" w:hAnsi="Times New Roman"/>
                <w:sz w:val="29"/>
                <w:szCs w:val="29"/>
                <w:b w:val="1"/>
                <w:bCs w:val="1"/>
                <w:color w:val="auto"/>
                <w:w w:val="99"/>
              </w:rPr>
              <w:t>Dave &amp; Buster’s Entertainment, Inc.</w:t>
            </w:r>
          </w:p>
        </w:tc>
      </w:tr>
      <w:tr>
        <w:trPr>
          <w:trHeight w:val="238"/>
        </w:trPr>
        <w:tc>
          <w:tcPr>
            <w:tcW w:w="3280" w:type="dxa"/>
            <w:vAlign w:val="bottom"/>
          </w:tcPr>
          <w:p>
            <w:pPr>
              <w:spacing w:after="0"/>
              <w:rPr>
                <w:sz w:val="20"/>
                <w:szCs w:val="20"/>
                <w:color w:val="auto"/>
              </w:rPr>
            </w:pPr>
          </w:p>
        </w:tc>
        <w:tc>
          <w:tcPr>
            <w:tcW w:w="7940" w:type="dxa"/>
            <w:vAlign w:val="bottom"/>
            <w:gridSpan w:val="9"/>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78"/>
        </w:trPr>
        <w:tc>
          <w:tcPr>
            <w:tcW w:w="3280" w:type="dxa"/>
            <w:vAlign w:val="bottom"/>
          </w:tcPr>
          <w:p>
            <w:pPr>
              <w:jc w:val="center"/>
              <w:ind w:left="22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80" w:type="dxa"/>
            <w:vAlign w:val="bottom"/>
            <w:gridSpan w:val="5"/>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19"/>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gridSpan w:val="2"/>
          </w:tcPr>
          <w:p>
            <w:pPr>
              <w:jc w:val="center"/>
              <w:ind w:right="1850"/>
              <w:spacing w:after="0"/>
              <w:rPr>
                <w:sz w:val="20"/>
                <w:szCs w:val="20"/>
                <w:color w:val="auto"/>
              </w:rPr>
            </w:pPr>
            <w:r>
              <w:rPr>
                <w:rFonts w:ascii="Times New Roman" w:cs="Times New Roman" w:eastAsia="Times New Roman" w:hAnsi="Times New Roman"/>
                <w:sz w:val="14"/>
                <w:szCs w:val="14"/>
                <w:b w:val="1"/>
                <w:bCs w:val="1"/>
                <w:color w:val="auto"/>
              </w:rPr>
              <w:t>(I.R.S. Employer ID)</w:t>
            </w:r>
          </w:p>
        </w:tc>
      </w:tr>
      <w:tr>
        <w:trPr>
          <w:trHeight w:val="334"/>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1221 S. Beltline Rd., Suite 500, Coppell, Texas, 75019</w:t>
            </w:r>
          </w:p>
        </w:tc>
        <w:tc>
          <w:tcPr>
            <w:tcW w:w="3880" w:type="dxa"/>
            <w:vAlign w:val="bottom"/>
            <w:gridSpan w:val="5"/>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(214) 357-9588</w:t>
            </w:r>
          </w:p>
        </w:tc>
      </w:tr>
      <w:tr>
        <w:trPr>
          <w:trHeight w:val="219"/>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00" w:type="dxa"/>
            <w:vAlign w:val="bottom"/>
          </w:tcPr>
          <w:p>
            <w:pPr>
              <w:spacing w:after="0"/>
              <w:rPr>
                <w:sz w:val="19"/>
                <w:szCs w:val="19"/>
                <w:color w:val="auto"/>
              </w:rPr>
            </w:pPr>
          </w:p>
        </w:tc>
        <w:tc>
          <w:tcPr>
            <w:tcW w:w="3780" w:type="dxa"/>
            <w:vAlign w:val="bottom"/>
            <w:gridSpan w:val="4"/>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40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7"/>
          </w:tcPr>
          <w:p>
            <w:pPr>
              <w:jc w:val="center"/>
              <w:ind w:right="36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38"/>
        </w:trPr>
        <w:tc>
          <w:tcPr>
            <w:tcW w:w="32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237"/>
        </w:trPr>
        <w:tc>
          <w:tcPr>
            <w:tcW w:w="328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21" w:lineRule="exact"/>
        <w:rPr>
          <w:sz w:val="24"/>
          <w:szCs w:val="24"/>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34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3"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00" w:right="15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June 7, 2024, the registrant had 39,560,180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MAY 5,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9180" w:type="dxa"/>
            <w:vAlign w:val="bottom"/>
            <w:gridSpan w:val="10"/>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4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220" w:type="dxa"/>
            <w:vAlign w:val="bottom"/>
            <w:tcBorders>
              <w:top w:val="single" w:sz="8" w:color="0000FF"/>
            </w:tcBorders>
            <w:gridSpan w:val="6"/>
          </w:tcPr>
          <w:p>
            <w:pPr>
              <w:spacing w:after="0"/>
              <w:rPr>
                <w:sz w:val="21"/>
                <w:szCs w:val="21"/>
                <w:color w:val="auto"/>
              </w:rPr>
            </w:pPr>
          </w:p>
        </w:tc>
        <w:tc>
          <w:tcPr>
            <w:tcW w:w="636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2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952"/>
        </w:trPr>
        <w:tc>
          <w:tcPr>
            <w:tcW w:w="1160" w:type="dxa"/>
            <w:vAlign w:val="bottom"/>
          </w:tcPr>
          <w:p>
            <w:pPr>
              <w:spacing w:after="0"/>
              <w:rPr>
                <w:sz w:val="24"/>
                <w:szCs w:val="24"/>
                <w:color w:val="auto"/>
              </w:rPr>
            </w:pPr>
          </w:p>
        </w:tc>
        <w:tc>
          <w:tcPr>
            <w:tcW w:w="6460" w:type="dxa"/>
            <w:vAlign w:val="bottom"/>
            <w:gridSpan w:val="9"/>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May 5,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224"/>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9"/>
                <w:szCs w:val="19"/>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r>
      <w:tr>
        <w:trPr>
          <w:trHeight w:val="253"/>
        </w:trPr>
        <w:tc>
          <w:tcPr>
            <w:tcW w:w="7540" w:type="dxa"/>
            <w:vAlign w:val="bottom"/>
          </w:tcPr>
          <w:p>
            <w:pPr>
              <w:ind w:left="3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37"/>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4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$1,284.6 and $1,222.6 of accumulated depreciation as of May 5, 2024 and</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4, 2024, 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1,332.7</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1,323.3</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r>
      <w:tr>
        <w:trPr>
          <w:trHeight w:val="24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deferred charges</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3,754.4</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installments of long-term debt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37"/>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1,558.5</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02"/>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par value $0.01; authorized: 400.00 shares; issued: 63.15 shares at May 5, 2024 and 62.86 at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February 4, 2024; outstanding: 40.35 shares at May 5, 2024 and 40.27 at February 4, 2024</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50.00 authorized; none issued</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22.80 and 22.59 shares as of May 5, 2024 and February 4, 2024, respectively</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r>
      <w:tr>
        <w:trPr>
          <w:trHeight w:val="236"/>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68"/>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82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w:t>
      </w:r>
      <w:r>
        <w:rPr>
          <w:rFonts w:ascii="Times New Roman" w:cs="Times New Roman" w:eastAsia="Times New Roman" w:hAnsi="Times New Roman"/>
          <w:sz w:val="18"/>
          <w:szCs w:val="18"/>
          <w:color w:val="auto"/>
        </w:rPr>
        <w:t>(in millions, except per share amounts; unaudited)</w:t>
      </w:r>
    </w:p>
    <w:p>
      <w:pPr>
        <w:spacing w:after="0" w:line="222"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7"/>
        </w:trPr>
        <w:tc>
          <w:tcPr>
            <w:tcW w:w="7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220" w:type="dxa"/>
            <w:vAlign w:val="bottom"/>
          </w:tcPr>
          <w:p>
            <w:pPr>
              <w:spacing w:after="0"/>
              <w:rPr>
                <w:sz w:val="16"/>
                <w:szCs w:val="16"/>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37"/>
        </w:trPr>
        <w:tc>
          <w:tcPr>
            <w:tcW w:w="70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entertainment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7"/>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r>
    </w:tbl>
    <w:p>
      <w:pPr>
        <w:spacing w:after="0" w:line="31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080" w:right="2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w:t>
      </w:r>
      <w:r>
        <w:rPr>
          <w:rFonts w:ascii="Times New Roman" w:cs="Times New Roman" w:eastAsia="Times New Roman" w:hAnsi="Times New Roman"/>
          <w:sz w:val="18"/>
          <w:szCs w:val="18"/>
          <w:color w:val="auto"/>
        </w:rPr>
        <w:t>(in millions; unaudited)</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Thirteen Weeks Ended May 5, 2024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11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February 4,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597.6</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foreign currency translation loss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4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May 5,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609.1</w:t>
            </w: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0"/>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 April 30, 2023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9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40" w:type="dxa"/>
            <w:vAlign w:val="bottom"/>
            <w:gridSpan w:val="5"/>
            <w:vMerge w:val="continue"/>
          </w:tcPr>
          <w:p>
            <w:pPr>
              <w:spacing w:after="0"/>
              <w:rPr>
                <w:sz w:val="9"/>
                <w:szCs w:val="9"/>
                <w:color w:val="auto"/>
              </w:rPr>
            </w:pPr>
          </w:p>
        </w:tc>
        <w:tc>
          <w:tcPr>
            <w:tcW w:w="110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7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90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29,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April 30,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542.4</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200" w:type="dxa"/>
            <w:vAlign w:val="bottom"/>
          </w:tcPr>
          <w:p>
            <w:pPr>
              <w:spacing w:after="0"/>
              <w:rPr>
                <w:sz w:val="16"/>
                <w:szCs w:val="16"/>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term loan and revolver</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and revolver payments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under share repurchase program</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Increase/(decrease) in accounts payable for the acquisition of property and equipment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3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May 5, 2024, the Company opened four stores, and as of May 5, 2024, the Company owned and operated 224 stores in 43 states, Puerto Rico and one Canadian province.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w:t>
      </w:r>
    </w:p>
    <w:p>
      <w:pPr>
        <w:spacing w:after="0" w:line="17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Calendar </w:t>
      </w:r>
      <w:r>
        <w:rPr>
          <w:rFonts w:ascii="Times New Roman" w:cs="Times New Roman" w:eastAsia="Times New Roman" w:hAnsi="Times New Roman"/>
          <w:sz w:val="18"/>
          <w:szCs w:val="18"/>
          <w:color w:val="auto"/>
        </w:rPr>
        <w:t>— The Company has historically operated on a 52 or 53-week fiscal year that ends on the Sunday after the Saturday closest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31. Each quarterly period reported has 13 weeks, except for 53-week fiscal years when the fourth quarter has 14 weeks. Fiscal 2023, which ended on February 4, 2024, followed this calendar and had 53 weeks. The first quarter of fiscal 2024 also followed this calendar and had 13 weeks.</w:t>
      </w:r>
    </w:p>
    <w:p>
      <w:pPr>
        <w:spacing w:after="0" w:line="175"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On May 6, 2024, the first day of the 2nd quarter of fiscal 2024, the Company changed its fiscal year to end on the Tuesday after the Monday closest to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As a result of this change, the second quarter and fiscal year 2024 have two additional days added to its normal 13-week quarter and 52-week year.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and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quarters of fiscal 2024 will end on August 6, 2024; November 5, 2024; and February 4, 2025, respectively.</w:t>
      </w:r>
    </w:p>
    <w:p>
      <w:pPr>
        <w:spacing w:after="0" w:line="1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Company’s financial statements have been prepared in accordance with generally accepted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4, 2024, included in our Annual Report on Form 10-K.</w:t>
      </w:r>
    </w:p>
    <w:p>
      <w:pPr>
        <w:spacing w:after="0" w:line="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weeks ended May 5, 2024 are not necessarily indicative of results that may be expected for any other interim period or for the full fiscal year ending February 4, 2025.</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 book overdrafts. There were no book overdrafts as of May 5, 2024 or as of February 4, 2024.</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periods indicated: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May 5, 2024</w:t>
            </w:r>
          </w:p>
        </w:tc>
        <w:tc>
          <w:tcPr>
            <w:tcW w:w="220" w:type="dxa"/>
            <w:vAlign w:val="bottom"/>
          </w:tcPr>
          <w:p>
            <w:pPr>
              <w:spacing w:after="0"/>
              <w:rPr>
                <w:sz w:val="18"/>
                <w:szCs w:val="18"/>
                <w:color w:val="auto"/>
              </w:rPr>
            </w:pPr>
          </w:p>
        </w:tc>
        <w:tc>
          <w:tcPr>
            <w:tcW w:w="16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3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7"/>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37"/>
        </w:trPr>
        <w:tc>
          <w:tcPr>
            <w:tcW w:w="63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7"/>
        </w:trPr>
        <w:tc>
          <w:tcPr>
            <w:tcW w:w="6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 Our entertainment revenues primarily consist of attractions including redemption and simulation games, bowling, laser tag, billiards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gravity ropes. Our food and beverage revenues consist of full meals, appetizers and both alcoholic and non-alcoholic beverages. The Company's revenue for these categories was as follows: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328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Pr>
          <w:p>
            <w:pPr>
              <w:spacing w:after="0"/>
              <w:rPr>
                <w:sz w:val="16"/>
                <w:szCs w:val="16"/>
                <w:color w:val="auto"/>
              </w:rPr>
            </w:pPr>
          </w:p>
        </w:tc>
      </w:tr>
      <w:tr>
        <w:trPr>
          <w:trHeight w:val="37"/>
        </w:trPr>
        <w:tc>
          <w:tcPr>
            <w:tcW w:w="61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6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480" w:type="dxa"/>
            <w:vAlign w:val="bottom"/>
          </w:tcPr>
          <w:p>
            <w:pPr>
              <w:spacing w:after="0"/>
              <w:rPr>
                <w:sz w:val="16"/>
                <w:szCs w:val="16"/>
                <w:color w:val="auto"/>
              </w:rPr>
            </w:pPr>
          </w:p>
        </w:tc>
      </w:tr>
      <w:tr>
        <w:trPr>
          <w:trHeight w:val="37"/>
        </w:trPr>
        <w:tc>
          <w:tcPr>
            <w:tcW w:w="614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w:t>
            </w: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386.1</w:t>
            </w:r>
          </w:p>
        </w:tc>
      </w:tr>
      <w:tr>
        <w:trPr>
          <w:trHeight w:val="27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Entertainment revenues</w:t>
            </w: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393.1</w:t>
            </w:r>
          </w:p>
        </w:tc>
      </w:tr>
      <w:tr>
        <w:trPr>
          <w:trHeight w:val="270"/>
        </w:trPr>
        <w:tc>
          <w:tcPr>
            <w:tcW w:w="6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non-alcoholic beverages</w:t>
            </w: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136.1</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Alcoholic beverages</w:t>
            </w: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6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204.2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720" w:hanging="145"/>
        <w:spacing w:after="0"/>
        <w:tabs>
          <w:tab w:leader="none" w:pos="72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Primarily consists of revenue earned from party rentals and gift card breakage (see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below).</w:t>
      </w:r>
    </w:p>
    <w:p>
      <w:pPr>
        <w:spacing w:after="0" w:line="2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Customers purchase cards with game play credits or “chips” to be used on a variety of redemption and simulation games.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revenues related to game play primarily consist of game play credits, which are used by customers to activate video and redemption games. Redemption games allow customers to earn tickets, which may be redeemed for prizes. We have deferred a portion of entertainment revenues for the estimated unfulfilled performance obligations related to unredeemed game play credits and tickets. The deferral is based on an estimated rate of future use by customers of unused game play credits and the material right provided to customers to redeem tickets in the future for prizes. During the thirteen weeks ended May 5, 2024, we recognized revenue of $28.3 related to the amount in deferred entertainment revenues as of the end of fiscal 2023. These revenues are included in entertainment revenues on the consolidated statements of comprehensive income.</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on unredeemed gift cards in proportion to the pattern of redemption by the customers. During the thirteen weeks ended May 5, 2024, we recognized revenue of $5.6 related to the amount in deferred gift card revenue as of the end of fiscal 2023. These revenues are included in Entertainment revenues on the consolidated statements of comprehensive income.</w:t>
      </w:r>
    </w:p>
    <w:p>
      <w:pPr>
        <w:spacing w:after="0" w:line="17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per share is computed by dividing net income available to common shareholders by the basic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weighted average shares outstanding are reconciled to diluted weighted average shares outstanding as follows:</w:t>
      </w:r>
    </w:p>
    <w:p>
      <w:pPr>
        <w:spacing w:after="0" w:line="273" w:lineRule="exact"/>
        <w:rPr>
          <w:sz w:val="20"/>
          <w:szCs w:val="20"/>
          <w:color w:val="auto"/>
        </w:rPr>
      </w:pPr>
    </w:p>
    <w:tbl>
      <w:tblPr>
        <w:tblLayout w:type="fixed"/>
        <w:tblInd w:w="160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08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80" w:type="dxa"/>
            <w:vAlign w:val="bottom"/>
          </w:tcPr>
          <w:p>
            <w:pPr>
              <w:spacing w:after="0"/>
              <w:rPr>
                <w:sz w:val="16"/>
                <w:szCs w:val="16"/>
                <w:color w:val="auto"/>
              </w:rPr>
            </w:pPr>
          </w:p>
        </w:tc>
      </w:tr>
      <w:tr>
        <w:trPr>
          <w:trHeight w:val="37"/>
        </w:trPr>
        <w:tc>
          <w:tcPr>
            <w:tcW w:w="45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380" w:type="dxa"/>
            <w:vAlign w:val="bottom"/>
          </w:tcPr>
          <w:p>
            <w:pPr>
              <w:spacing w:after="0"/>
              <w:rPr>
                <w:sz w:val="16"/>
                <w:szCs w:val="16"/>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47.93</w:t>
            </w:r>
          </w:p>
        </w:tc>
      </w:tr>
      <w:tr>
        <w:trPr>
          <w:trHeight w:val="23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dilutive impact of awards</w:t>
            </w:r>
          </w:p>
        </w:tc>
        <w:tc>
          <w:tcPr>
            <w:tcW w:w="1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43"/>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48.47</w:t>
            </w:r>
          </w:p>
        </w:tc>
      </w:tr>
      <w:tr>
        <w:trPr>
          <w:trHeight w:val="22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awards excluded as anti-dilutive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r>
    </w:tbl>
    <w:p>
      <w:pPr>
        <w:spacing w:after="0" w:line="30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We reviewed the accounting pronouncements that became effective for fiscal year 2024 and determined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they were not applicable, or they did not have a material impact on the consolidated financial statements. See discussion at Note 1 to the Consolidated Financial Statements in the Company's Annual Report on Form 10-K for the year ended February 4, 2024 for previously issued accounting pronouncements that may have an impact to the Company in the future.</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reclassifications </w:t>
      </w:r>
      <w:r>
        <w:rPr>
          <w:rFonts w:ascii="Times New Roman" w:cs="Times New Roman" w:eastAsia="Times New Roman" w:hAnsi="Times New Roman"/>
          <w:sz w:val="18"/>
          <w:szCs w:val="18"/>
          <w:color w:val="auto"/>
        </w:rPr>
        <w:t>— We reclassified $0.9 to cost of entertainment and $3.1 to cost of food and beverage, respectively, from other store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for the thirteen weeks ended April 30, 2023 to be consistent with the presentation for the thirteen weeks ended May 5, 2024. During the thirteen weeks ended May 5, 2024, we determined that reclassifying the expenses, which are primarily related to inventory items provided to customers during promotions and events, results in a clearer presentation of the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dates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160" w:type="dxa"/>
            <w:vAlign w:val="bottom"/>
          </w:tcPr>
          <w:p>
            <w:pPr>
              <w:spacing w:after="0"/>
              <w:rPr>
                <w:sz w:val="16"/>
                <w:szCs w:val="16"/>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entertainment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Current portion of operating lease liabilities, net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use and other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self-insurance reserves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0"/>
        </w:trPr>
        <w:tc>
          <w:tcPr>
            <w:tcW w:w="8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left="260" w:right="100" w:hanging="252"/>
        <w:spacing w:after="0" w:line="232" w:lineRule="auto"/>
        <w:tabs>
          <w:tab w:leader="none" w:pos="24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balance of leasehold incentive receivables of $16.6 and $13.0 as of May 5, 2024 and February 4, 2024, respectively, is reflected as a reduction of the current portion of operating lease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 of comprehensive income.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w:t>
      </w:r>
    </w:p>
    <w:p>
      <w:pPr>
        <w:spacing w:after="0" w:line="209" w:lineRule="exact"/>
        <w:rPr>
          <w:sz w:val="20"/>
          <w:szCs w:val="20"/>
          <w:color w:val="auto"/>
        </w:rPr>
      </w:pPr>
    </w:p>
    <w:tbl>
      <w:tblPr>
        <w:tblLayout w:type="fixed"/>
        <w:tblInd w:w="156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7"/>
        </w:trPr>
        <w:tc>
          <w:tcPr>
            <w:tcW w:w="5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220" w:type="dxa"/>
            <w:vAlign w:val="bottom"/>
          </w:tcPr>
          <w:p>
            <w:pPr>
              <w:spacing w:after="0"/>
              <w:rPr>
                <w:sz w:val="16"/>
                <w:szCs w:val="16"/>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37"/>
        </w:trPr>
        <w:tc>
          <w:tcPr>
            <w:tcW w:w="5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 payments in the table above includes minimum lease payments for future sites for which the leases have commenced. As of May 5, 2024, the Company had signed lease agreements with total lease payments of $198.3 related to nine facility leases which had not yet commenced. Fixed minimum lease payments related to these facilities are not included in the right-of-use assets and lease liabilities on the consolidated balance sheets as of May 5, 2024.</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 sale and master lease agreement (a "sale-leaseback") with an unrelated third party. Under this agreement, the Company sold four of its store properties, including land, buildings and certain improvements, at a sale price of $85.8 and then leased the assets back through the sale-leaseback transaction.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was accounted for as a failed sale-leaseback based on U.S. GAAP. As a result, the store property assets remain on the consolidated balance sheet at their historical net book value and are depreciated over the remaining term of the master lease. A financing obligation liability was recognized in the amount of the net proceeds received in the amount of $84.2. The Company will not recognize rent expense related to the leased assets. Instead, monthly rent payments under the master lease agreement (initially, $6.4 per year) will be recorded as interest expense and a reduction of the outstanding liability.</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May 5, 2024 the current outstanding liability of $0.2 is included in accrued liabilities and the long term outstanding liability of $83.6 is included in other liabilities on the consolidated balance sheet related to the financing liability.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2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facility—revolver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facility—term loan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outstanding</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r>
      <w:tr>
        <w:trPr>
          <w:trHeight w:val="26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installments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issue discounts and debt issuance costs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5"/>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June 29, 2022 Credit Facility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a senior secured credit agreement including a revolving credit facility with a maturity date of June 29, 2027, and a term loan facility with a maturity date of June 29, 2029 (“Credit Facility”).</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revolving credit facility can expire before the stated maturity date if the aggregate outstanding principal amount of the 7.625% senior notes (described below) exceeds $100.0 ninety-one days prior to November 1, 2025. A portion of the revolving facility not to exceed $35.0 is available for the issuance of letters of credit. As of May 5, 2024, we had letters of credit outstanding of $11.0 and an unused commitment balance of $484.0 under the revolving facility. The Credit Facility may be increased through incremental facilities, by an amount equal to the greater of (i) $400.0 and (ii) 0.75 times trailing twelve-month Adjusted EBITDA, as defined in the Credit Facility,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term loan facility bears interest at Term SOFR or ABR (each, as defined in the amended Credit Facility) plus (i) in the case of Term SOFR loans, 3.25% per annum and (ii) in the case of ABR loans, 2.25% per annum. The Revolving Loans bear interest subject to a pricing grid based on net total leverage, at Term SOFR plus a spread ranging from 2.50% to 3.00% per annum or ABR plus a spread ranging from 1.50% to 2.00% per annum. Unused commitments under the revolving facility incur initial commitment fees of 0.30% to 0.50%. The interest rate margin applicable to term loans and Revolving Loans outstanding under the Credit Facility would be subject to an additional 0.25% step-down if a rating of B1/B+ or higher from Moody’s and S&amp;P is achieved (which will step back up if such rating is subsequently not maintained)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7.625% Senior Secured Notes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outstanding principal amount of the Notes. The Company may elect to further redeem the Notes, in whole or in part, at certain specified redemption prices, plus accrued and unpaid interest, at the redemption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debt compliance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We were in compliance with our covenants and the terms of our debt agreements as of May 5, 2024.</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weighted average effective interest rate on our total debt facilities was 9.7% and 9.5% for the thirteen weeks ended May 5, 2024 and April 30,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7"/>
        </w:trPr>
        <w:tc>
          <w:tcPr>
            <w:tcW w:w="65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20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3"/>
        </w:trPr>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2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issue discount and issuance cost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7"/>
        </w:trPr>
        <w:tc>
          <w:tcPr>
            <w:tcW w:w="6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on sale-leaseback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5"/>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720" w:hanging="226"/>
        <w:spacing w:after="0"/>
        <w:tabs>
          <w:tab w:leader="none" w:pos="7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sale-leaseback transaction at Note 3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 and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 and repurchases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treats shares withheld for tax purposes on behalf of our employees in connection with the vesting of time-based and performance-based restricted stock units as common stock repurchases because they reduce the number of shares that would have been issued upon vesting. These were immaterial for all periods presented.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with a total authorization limit of $500.0. During the thirteen weeks ended May 5, 2024, the Company repurchased 0.18 million shares at an average of $52.97 per share. The remaining dollar value of shares that may be repurchased under the program was $190.2 as of May 5, 2024.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compensation expense related to share-based compensation was as follows:</w:t>
      </w:r>
    </w:p>
    <w:p>
      <w:pPr>
        <w:spacing w:after="0" w:line="273" w:lineRule="exact"/>
        <w:rPr>
          <w:sz w:val="20"/>
          <w:szCs w:val="20"/>
          <w:color w:val="auto"/>
        </w:rPr>
      </w:pPr>
    </w:p>
    <w:tbl>
      <w:tblPr>
        <w:tblLayout w:type="fixed"/>
        <w:tblInd w:w="208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78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r>
      <w:tr>
        <w:trPr>
          <w:trHeight w:val="37"/>
        </w:trPr>
        <w:tc>
          <w:tcPr>
            <w:tcW w:w="40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186"/>
        </w:trPr>
        <w:tc>
          <w:tcPr>
            <w:tcW w:w="40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320" w:type="dxa"/>
            <w:vAlign w:val="bottom"/>
          </w:tcPr>
          <w:p>
            <w:pPr>
              <w:spacing w:after="0"/>
              <w:rPr>
                <w:sz w:val="16"/>
                <w:szCs w:val="16"/>
                <w:color w:val="auto"/>
              </w:rPr>
            </w:pPr>
          </w:p>
        </w:tc>
      </w:tr>
      <w:tr>
        <w:trPr>
          <w:trHeight w:val="37"/>
        </w:trPr>
        <w:tc>
          <w:tcPr>
            <w:tcW w:w="40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w:t>
            </w:r>
          </w:p>
        </w:tc>
      </w:tr>
      <w:tr>
        <w:trPr>
          <w:trHeight w:val="27"/>
        </w:trPr>
        <w:tc>
          <w:tcPr>
            <w:tcW w:w="4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share-based compensation award activity during the thirteen weeks ended May 5, 2024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6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4, 2024</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100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at May 5, 2024</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Remaining unrecognized compensation expense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
        </w:trPr>
        <w:tc>
          <w:tcPr>
            <w:tcW w:w="6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be substantially recognized by the end of fiscal 2026.</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May 5, 2024, the Company granted certain options and time-based and performance-based restricted stock units to employees and directors of the Company. These grants vest over a range of one year to five years. Certain of the market-based restricted stock units can vest earlier if the targets are achieved prior to that time. As a result, the requisite service period for such grants was determined to be less than the explicit service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May 5, 2024, was 21.0%, compared to 22.7% for the thirteen weeks ended April 30, 2023. The current year tax provision includes higher excess tax benefits associated with share-based compensation and lower permanent differences as compared to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Between May 6 and the filing of this quarterly report on Form 10-Q, the Company repurchased 0.79 shares for a total of $40.3, excluding the impact of excise taxes that will be due under the Inflation Reduction Act of 2022. In fiscal 2024, through the filing of this quarterly report on Form 10-Q, the Company has repurchased 0.97 shares for a total of $50.0 representing 2.4% of the shares issued and outstanding as of February 4,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consolidated financial statements and the related notes in Item 1 and with the audited consolidated financial statements and the related notes included in our Annual Report on Form 10-K as filed with the Securities and Exchange Commission (“SEC”) on April 2, 2024. Amounts included in the following discussion, except for operating weeks and per share amounts, are rounded in millions.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Unless otherwise specified, the meanings of all defined terms in “Management’s Discussion and Analysis of Financial Condition and Results of Operations” are consistent with the meanings of such terms as defined in the Notes to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2, 2024.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Highlights</w:t>
      </w:r>
    </w:p>
    <w:p>
      <w:pPr>
        <w:spacing w:after="0" w:line="18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revenue of $588.1 million decreased 1.5% from the first quarter of 2023.</w:t>
      </w:r>
    </w:p>
    <w:p>
      <w:pPr>
        <w:spacing w:after="0" w:line="19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$41.4 million, or $0.99 per diluted share, compared with net income of $70.1 million, or $1.45 per diluted share in the first quarter of 2023.</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$159.1 million decreased 12.6% from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“Dave &amp; Buster’s” and “Main Event” brands. The core of our concept is to offer our customers quality dining and various forms of entertainment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young adults. We believe we appeal to a diverse customer base by providing a highly customizable experience in a dynamic and fun setting.</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including:</w:t>
      </w:r>
    </w:p>
    <w:p>
      <w:pPr>
        <w:spacing w:after="0" w:line="22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current fiscal year and excluding stores permanently closed or planned for closure during the current fiscal year. For fiscal 2024, our comparable store base consists of 195 stores, of which 146 are Dave &amp; Buster's branded stores and 49 are Main Event branded stores.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The success of our new stores is indicative of our brand appeal and the efficacy of our site selection and operating models. For the thirteen weeks ended May 5, 2024, we opened four new stores (three Dave &amp; Buster's branded stores and one Main Event branded store).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net, loss on debt refinancing, provision for (benefit from) income taxes, depreciation and amortization expense, (gain) loss on property and equipment transactions,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of long-lived assets, share-based compensation, currency transaction (gains) losses and other costs. “Adjusted EBITDA Margin” is defined as Adjusted EBITDA divided by total revenues.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define “Credit Adjusted EBITDA” as Adjusted EBITDA plus certain other items as defined in our Credit Facility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below for additional discussion and reconciliation). Other adjustments include (i) entertainment revenue deferrals, (ii) the cost of new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store pre-opening costs, and (iii)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 and Store Operating Income Before Depreciation and Amortization Margin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historically operated on a 52 or 53-week fiscal year that ends on the Sunday after the Saturday closest to January 31. Each quarterly period reported has 13 weeks, except for 53-week fiscal years when the fourth quarter has 14 weeks. Fiscal 2023, which ended on February 4, 2024, followed this calendar and had 53 weeks. The first quarter of fiscal 2024 also followed this calendar and had 13 weeks.</w:t>
      </w:r>
    </w:p>
    <w:p>
      <w:pPr>
        <w:spacing w:after="0" w:line="68"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On May 6, 2024, the first day of the 2nd quarter of fiscal 2024, the Company changed its fiscal year to end on the Tuesday after the Monday closest to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As a result of this change, the second quarter and fiscal year 2024 have two additional days added to its normal 13-week quarter and 52-week year.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and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quarters of fiscal 2024 will end on August 6, 2024; November 5, 2024; and February 4, 2025, respectively.</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dollar amounts are presented in millions, unless otherwise noted, except per share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stores varying in size and have experienced significant variability among stores in volumes, operating results and net investment costs.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5, 2024 Compared to the Thirteen Weeks Ended April 30,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in millions of dollars and as a percentage of total revenues (unless otherwise noted) for the periods indicated. All information is derived from the accompanying consolidated statement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4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7"/>
              </w:rPr>
              <w:t xml:space="preserve">May 5, 2024 </w:t>
            </w:r>
            <w:r>
              <w:rPr>
                <w:rFonts w:ascii="Times New Roman" w:cs="Times New Roman" w:eastAsia="Times New Roman" w:hAnsi="Times New Roman"/>
                <w:sz w:val="18"/>
                <w:szCs w:val="18"/>
                <w:b w:val="1"/>
                <w:bCs w:val="1"/>
                <w:color w:val="auto"/>
                <w:w w:val="97"/>
                <w:vertAlign w:val="superscript"/>
              </w:rPr>
              <w:t>(1)</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w w:val="96"/>
              </w:rPr>
              <w:t xml:space="preserve">April 30, 2023 </w:t>
            </w:r>
            <w:r>
              <w:rPr>
                <w:rFonts w:ascii="Times New Roman" w:cs="Times New Roman" w:eastAsia="Times New Roman" w:hAnsi="Times New Roman"/>
                <w:sz w:val="18"/>
                <w:szCs w:val="18"/>
                <w:b w:val="1"/>
                <w:bCs w:val="1"/>
                <w:color w:val="auto"/>
                <w:w w:val="96"/>
                <w:vertAlign w:val="superscript"/>
              </w:rPr>
              <w:t>(1)</w:t>
            </w:r>
          </w:p>
        </w:tc>
        <w:tc>
          <w:tcPr>
            <w:tcW w:w="640" w:type="dxa"/>
            <w:vAlign w:val="bottom"/>
            <w:tcBorders>
              <w:bottom w:val="single" w:sz="8" w:color="auto"/>
            </w:tcBorders>
          </w:tcPr>
          <w:p>
            <w:pPr>
              <w:spacing w:after="0"/>
              <w:rPr>
                <w:sz w:val="19"/>
                <w:szCs w:val="19"/>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r>
      <w:tr>
        <w:trPr>
          <w:trHeight w:val="27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Cost of entertainment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Cost of food and beverage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7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store operating expenses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79.7 %</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Company-owned stores at end of period</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108" w:lineRule="exact"/>
        <w:rPr>
          <w:sz w:val="20"/>
          <w:szCs w:val="20"/>
          <w:color w:val="auto"/>
        </w:rPr>
      </w:pPr>
    </w:p>
    <w:p>
      <w:pPr>
        <w:ind w:left="260" w:hanging="252"/>
        <w:spacing w:after="0" w:line="223" w:lineRule="auto"/>
        <w:tabs>
          <w:tab w:leader="none" w:pos="2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jc w:val="both"/>
        <w:ind w:left="260" w:hanging="252"/>
        <w:spacing w:after="0"/>
        <w:tabs>
          <w:tab w:leader="none" w:pos="2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reclassified $0.9 to cost of entertainment and $3.1 to cost of food and beverage, respectively, from other store operating expenses for the thirteen weeks ended April 30, 2023 to be consistent with the presentation for the thirteen weeks ended May 5, 2024. During the thirteen weeks ended May 5, 2024, we determined that reclassifying the expenses, which are primarily related to inventory items provided to customers during promotions and events, results in a clearer presentation of the cost of goods sold.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(in millions of dollars and as a percent of total revenues) Net income to Adjusted EBITDA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
        </w:trPr>
        <w:tc>
          <w:tcPr>
            <w:tcW w:w="48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May 5, 2024 </w:t>
            </w:r>
            <w:r>
              <w:rPr>
                <w:rFonts w:ascii="Times New Roman" w:cs="Times New Roman" w:eastAsia="Times New Roman" w:hAnsi="Times New Roman"/>
                <w:sz w:val="18"/>
                <w:szCs w:val="18"/>
                <w:b w:val="1"/>
                <w:bCs w:val="1"/>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April 30, 2023 </w:t>
            </w:r>
            <w:r>
              <w:rPr>
                <w:rFonts w:ascii="Times New Roman" w:cs="Times New Roman" w:eastAsia="Times New Roman" w:hAnsi="Times New Roman"/>
                <w:sz w:val="18"/>
                <w:szCs w:val="18"/>
                <w:b w:val="1"/>
                <w:bCs w:val="1"/>
                <w:color w:val="auto"/>
                <w:vertAlign w:val="superscript"/>
              </w:rPr>
              <w:t>(5)</w:t>
            </w:r>
          </w:p>
        </w:tc>
        <w:tc>
          <w:tcPr>
            <w:tcW w:w="660" w:type="dxa"/>
            <w:vAlign w:val="bottom"/>
            <w:tcBorders>
              <w:bottom w:val="single" w:sz="8" w:color="auto"/>
            </w:tcBorders>
          </w:tcPr>
          <w:p>
            <w:pPr>
              <w:spacing w:after="0"/>
              <w:rPr>
                <w:sz w:val="19"/>
                <w:szCs w:val="19"/>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7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and integration costs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7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23"/>
                <w:szCs w:val="23"/>
                <w:color w:val="auto"/>
                <w:vertAlign w:val="superscript"/>
              </w:rPr>
              <w:t>(3)</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net </w:t>
            </w:r>
            <w:r>
              <w:rPr>
                <w:rFonts w:ascii="Times New Roman" w:cs="Times New Roman" w:eastAsia="Times New Roman" w:hAnsi="Times New Roman"/>
                <w:sz w:val="23"/>
                <w:szCs w:val="23"/>
                <w:color w:val="auto"/>
                <w:vertAlign w:val="superscript"/>
              </w:rPr>
              <w:t>(4)</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3"/>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1"/>
        </w:trPr>
        <w:tc>
          <w:tcPr>
            <w:tcW w:w="4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35" w:lineRule="exact"/>
        <w:rPr>
          <w:sz w:val="20"/>
          <w:szCs w:val="20"/>
          <w:color w:val="auto"/>
        </w:rPr>
      </w:pPr>
    </w:p>
    <w:p>
      <w:pPr>
        <w:ind w:left="740" w:right="400" w:hanging="246"/>
        <w:spacing w:after="0" w:line="223" w:lineRule="auto"/>
        <w:tabs>
          <w:tab w:leader="none" w:pos="7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 of comprehensive income.</w:t>
      </w:r>
    </w:p>
    <w:p>
      <w:pPr>
        <w:ind w:left="740" w:right="420" w:hanging="246"/>
        <w:spacing w:after="0" w:line="220" w:lineRule="auto"/>
        <w:tabs>
          <w:tab w:leader="none" w:pos="7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740" w:right="400" w:hanging="246"/>
        <w:spacing w:after="0" w:line="228" w:lineRule="auto"/>
        <w:tabs>
          <w:tab w:leader="none" w:pos="7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740" w:right="400" w:hanging="246"/>
        <w:spacing w:after="0"/>
        <w:tabs>
          <w:tab w:leader="none" w:pos="7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for the thirteen weeks ended May 5, 2024 primarily consisted of $1.8 million of one-time, third-party consulting fees, $0.8 million of severance costs and a $0.3 million gain on property and equipment transactions. The amount for the thirteen weeks ended April 30, 2023 primarily consisted of a $0.7 million loss on property and equipment transactions. The third-party consulting fees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2" w:lineRule="exact"/>
        <w:rPr>
          <w:rFonts w:ascii="Times New Roman" w:cs="Times New Roman" w:eastAsia="Times New Roman" w:hAnsi="Times New Roman"/>
          <w:sz w:val="21"/>
          <w:szCs w:val="21"/>
          <w:color w:val="auto"/>
          <w:vertAlign w:val="superscript"/>
        </w:rPr>
      </w:pPr>
    </w:p>
    <w:p>
      <w:pPr>
        <w:ind w:left="720" w:hanging="226"/>
        <w:spacing w:after="0" w:line="201" w:lineRule="auto"/>
        <w:tabs>
          <w:tab w:leader="none" w:pos="7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millions of dollars and as a percent of total revenues) Operating income to Store Operating Income Before Depreciation and Amortization for the periods indicated:</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
        </w:trPr>
        <w:tc>
          <w:tcPr>
            <w:tcW w:w="48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May 5, 2024 </w:t>
            </w:r>
            <w:r>
              <w:rPr>
                <w:rFonts w:ascii="Times New Roman" w:cs="Times New Roman" w:eastAsia="Times New Roman" w:hAnsi="Times New Roman"/>
                <w:sz w:val="18"/>
                <w:szCs w:val="18"/>
                <w:b w:val="1"/>
                <w:bCs w:val="1"/>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April 30, 2023 </w:t>
            </w:r>
            <w:r>
              <w:rPr>
                <w:rFonts w:ascii="Times New Roman" w:cs="Times New Roman" w:eastAsia="Times New Roman" w:hAnsi="Times New Roman"/>
                <w:sz w:val="18"/>
                <w:szCs w:val="18"/>
                <w:b w:val="1"/>
                <w:bCs w:val="1"/>
                <w:color w:val="auto"/>
                <w:vertAlign w:val="superscript"/>
              </w:rPr>
              <w:t>(1)</w:t>
            </w:r>
          </w:p>
        </w:tc>
        <w:tc>
          <w:tcPr>
            <w:tcW w:w="660" w:type="dxa"/>
            <w:vAlign w:val="bottom"/>
            <w:tcBorders>
              <w:bottom w:val="single" w:sz="8" w:color="auto"/>
            </w:tcBorders>
          </w:tcPr>
          <w:p>
            <w:pPr>
              <w:spacing w:after="0"/>
              <w:rPr>
                <w:sz w:val="19"/>
                <w:szCs w:val="19"/>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8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720" w:hanging="226"/>
        <w:spacing w:after="0"/>
        <w:tabs>
          <w:tab w:leader="none" w:pos="7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(“Payments from landlords”).</w:t>
      </w:r>
    </w:p>
    <w:p>
      <w:pPr>
        <w:spacing w:after="0" w:line="218"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6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37"/>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May 5, 2024</w:t>
            </w:r>
          </w:p>
        </w:tc>
        <w:tc>
          <w:tcPr>
            <w:tcW w:w="180" w:type="dxa"/>
            <w:vAlign w:val="bottom"/>
          </w:tcPr>
          <w:p>
            <w:pPr>
              <w:spacing w:after="0"/>
              <w:rPr>
                <w:sz w:val="20"/>
                <w:szCs w:val="20"/>
                <w:color w:val="auto"/>
              </w:rPr>
            </w:pP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April 30, 2023</w:t>
            </w:r>
          </w:p>
        </w:tc>
      </w:tr>
      <w:tr>
        <w:trPr>
          <w:trHeight w:val="25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Games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additions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from landlords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Selected revenue and store data (in millions except for store operating weeks) for the periods indicated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store revenues, on a fiscal calendar basis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revenues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 and deferrals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operating weeks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17" w:lineRule="exact"/>
        <w:rPr>
          <w:sz w:val="20"/>
          <w:szCs w:val="20"/>
          <w:color w:val="auto"/>
        </w:rPr>
      </w:pPr>
    </w:p>
    <w:p>
      <w:pPr>
        <w:ind w:left="320" w:hanging="231"/>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noncomparable store count included two stores planned for closure during the 2nd quarter of 2024.</w:t>
      </w:r>
    </w:p>
    <w:p>
      <w:pPr>
        <w:spacing w:after="0" w:line="200" w:lineRule="exact"/>
        <w:rPr>
          <w:sz w:val="20"/>
          <w:szCs w:val="20"/>
          <w:color w:val="auto"/>
        </w:rPr>
      </w:pPr>
    </w:p>
    <w:p>
      <w:pPr>
        <w:spacing w:after="0" w:line="24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$38.3 million, or 6.8%, revenue decrease presented in the table above is on a fiscal period basis. Due to the 53rd week in fiscal 2023, the thirteen weeks ended May 5, 2024 ended one week later than the thirteen weeks ended April 30, 2023. Comparable store revenues based on the same calendar period adjusts for this shift in weeks and compares the thirteen weeks from February 5, 2024 through May 5, 2024 to the thirteen weeks from February 6, 2023 through May 7, 2023. Comparable store revenues based on the same calendar period decreased 5.6%.</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mix by category, as a percentage of total revenues, for the periods indicated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gridSpan w:val="3"/>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7"/>
        </w:trPr>
        <w:tc>
          <w:tcPr>
            <w:tcW w:w="794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revenues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revenues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7"/>
        </w:trPr>
        <w:tc>
          <w:tcPr>
            <w:tcW w:w="7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revenues for the thirteen weeks ended May 5, 2024 decreased $9.2 million, or 1.5%, to $588.1 million compared to $597.3 million for the thirteen weeks ended April 30, 2023. Entertainment revenues for the thirteen weeks ended May 5, 2024 decreased by $7.4 million, or 1.9%, to 385.7 from $393.1 million in the thirteen weeks ended April 30, 2023. Food sales decreased by $0.5 million, or 0.4%, to $135.6 million in the thirteen weeks ended May 5, 2024 from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$136.1 million in the thirteen weeks ended April 30, 2023. Beverage sales decreased by $1.3 million, or 1.9%, to $66.8 million in the thirteen weeks ended May 5, 2024 from $68.1 million in the thirteen weeks ended April 30, 2023.</w:t>
      </w:r>
    </w:p>
    <w:p>
      <w:pPr>
        <w:spacing w:after="0" w:line="16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decrease in revenue is primarily attributable to a $38.3 million decrease in comparable store sales, partially offset by $28.9 million of incremental sales from noncomparable stores. The decrease in comparable store revenues is due primarily to a reduction in walk-in transaction counts relative to a more robust consumer environment in the prior year period, partially offset by increases in food and beverage prices and increases in special event revenues.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cost of products was $87.3 million for the thirteen weeks ended May 5, 2024 and $94.3 million for the thirteen weeks ended April 30, 2023. The total cost of products as a percentage of total revenues decreased to 14.8% for the thirteen weeks ended May 5, 2024 compared to 15.8% for the thirteen weeks ended April 30, 2023.</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entertainment decreased to $33.2 million in the thirteen weeks ended May 5, 2024 compared to $35.2 million in the thirteen weeks ended April 30, 2023. The cost of entertainment, as a percentage of entertainment revenues, decreased to 8.6% for the thirteen weeks ended May 5, 2024 from 9.0% in the thirteen weeks ended April 30, 2023. The decrease was primarily attributable to price increases.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food and beverage products decreased to $54.1 million for the thirteen weeks ended May 5, 2024 compared to $59.1 million for the thirteen weeks ended April 30, 2023. Cost of food and beverage products, as a percentage of food and beverage revenues, decreased to 26.7% for the thirteen weeks ended May 5, 2024 from 28.9% for the thirteen weeks ended April 30, 2023. The decrease was primarily attributable to food and beverage menu price increases, continued supply chain and ingredient optimization, and the mix of products sold with our new menu, partially offset by promotional pricing to drive traffic and loyalty engagement.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operating payroll and benefits increased to $141.6 million in the thirteen weeks ended May 5, 2024 compared to $130.6 million in the thirteen weeks ended April 30, 2023. The total cost of operating payroll and benefits as a percentage of total revenues was 24.1% in the thirteen weeks ended May 5, 2024 compared to 21.9% in the thirteen weeks ended April 30, 2023. This increase is primarily due to temporary staffing hours related to menu updates, hourly wage rate and manager salary increases.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store operating expenses increased to $176.1 million in the thirteen weeks ended May 5, 2024 compared to $166.0 million in the thirteen weeks ended April 30, 2023. The increase is primarily due to higher occupancy costs related to new store openings and marketing costs. Other store operating expense as a percentage of total revenues increased to 29.9% in the thirteen weeks ended May 5, 2024 compared to 27.8% in the thirteen weeks ended April 30, 2023. This increase in expense as a percentage of total revenues was primarily due to the marketing costs noted above.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$31.5 million in the thirteen weeks ended May 5, 2024 compared to $31.4 million in the thirteen weeks ended April 30, 2023. The increase in general and administrative expenses was driven primarily by system implementation and consulting costs, partially offset by lower incentive compensation in the current year. General and administrative expenses as a percentage of total revenues increased to 5.4% in the thirteen weeks ended May 5, 2024 compared to 5.3% in the thirteen weeks ended April 30, 2023 due primarily to the reasons noted above.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increased to $62.8 million in the thirteen weeks ended May 5, 2024 compared to $48.9 million in the thirteen weeks ended April 30, 2023, primarily due to new store openings and remodels and the acceleration of depreciation for two planed store closures during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quarter of 2024.</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Pre-opening costs decreased to $3.3 million in the thirteen weeks ended May 5, 2024 compared to $4.7 million in the thirteen weeks ended April 30, 2023 primarily related to the pipeline of new store openings during the thirteen weeks ended May 5, 2024 compared to the thirteen weeks ended April 30,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net increased to $33.1 million in the thirteen weeks ended May 5, 2024 compared to $30.7 million in the thirteen weeks ended April 30, 2023 due primarily to a decrease in interest income and additional interest expense associated with a failed sale-leaseback transaction, partially offset by a decrease in interest rates on our Credit Facility. See further discussion of the Company's debt activity and failed sale-leaseback transaction at Note 4 and Note 3, respectively, to the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May 5, 2024 was 21.0%, compared to 22.7% for the thirteen weeks ended April 30, 2023. The current year tax provision includes higher excess tax benefits associated with share-based compensation and lower permanent differences compared to the prior year.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June 29, 2022 Credit Facility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a senior secured credit agreement including a revolving credit facility with a maturity date of June 29, 2027, and a term loan facility with a maturity date of June 29, 2029 (“Credit Facility”).</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revolving credit facility can expire before the stated maturity date if the aggregate outstanding principal amount of the 7.625% senior notes (described below) exceeds $100.0 ninety-one days prior to November 1, 2025. A portion of the revolving facility not to exceed $35.0 is available for the issuance of letters of credit. As of May 5, 2024, we had letters of credit outstanding of $11.0 and an unused commitment balance of $484.0 under the revolving facility. The Credit Facility may be increased through incremental facilities, by an amount equal to the greater of (i) $400.0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term loan facility bears interest at Term SOFR or ABR (each, as defined in the amended Credit Facility) plus (i) in the case of Term SOFR loans, 3.25% per annum and (ii) in the case of ABR loans, 2.25% per annum. The Revolving Loans bear interest subject to a pricing grid based on net total leverage, at Term SOFR plus a spread ranging from 2.50% to 3.00% per annum or ABR plus a spread ranging from 1.50% to 2.00% per annum. Unused commitments under the revolving facility incur initial commitment fees of 0.30% to 0.50%. The interest rate margin applicable to term loans and Revolving Loans outstanding under the Credit Facility would be subject to an additional 0.25% step-down if a rating of B1/B+ or higher from Moody’s and S&amp;P is achieved (which will step back up if such rating is subsequently not maintained)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7.625% Senior Secured Notes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outstanding principal amount of the Notes. The Company may elect to further redeem the Notes, in whole or in part, at certain specified redemption prices, plus accrued and unpaid interest, at the redemption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2023, the Company entered into a sale and master lease agreement (a "sale-leaseback") with an unrelated third party. Under this agreement, the Company sold four of its store properties, including land, buildings and certain improvements, and then leased the assets back through the sale-leaseback transaction. As of May 5, 2024 the current outstanding liability of $0.2 million was recorded in accrued liabilities and the long term outstanding liability of $83.6 million was recorded in other liabilities on the consolidated balance sheet related to the financing liability. See further discussion at Note 3 to the consolidated financial statements.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7"/>
        </w:trPr>
        <w:tc>
          <w:tcPr>
            <w:tcW w:w="65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5, 2024</w:t>
            </w:r>
          </w:p>
        </w:tc>
        <w:tc>
          <w:tcPr>
            <w:tcW w:w="20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3"/>
        </w:trPr>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2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issue discount and issuance cost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6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on sale-leaseback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5"/>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720" w:hanging="226"/>
        <w:spacing w:after="0"/>
        <w:tabs>
          <w:tab w:leader="none" w:pos="7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sale-leaseback transaction at Note 3 to the consolidated financial statements.</w:t>
      </w:r>
    </w:p>
    <w:p>
      <w:pPr>
        <w:spacing w:after="0" w:line="200" w:lineRule="exact"/>
        <w:rPr>
          <w:rFonts w:ascii="Times New Roman" w:cs="Times New Roman" w:eastAsia="Times New Roman" w:hAnsi="Times New Roman"/>
          <w:sz w:val="21"/>
          <w:szCs w:val="21"/>
          <w:color w:val="auto"/>
          <w:vertAlign w:val="superscript"/>
        </w:rPr>
      </w:pPr>
    </w:p>
    <w:p>
      <w:pPr>
        <w:spacing w:after="0" w:line="368"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 and Net Total Leverage Ratio</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Credit Adjusted EBITDA, a non-GAAP measure, represents Adjusted EBITDA plus certain other items as defined in our Credit Facility. See further discussion at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above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following table reconciles Net income to Credit Adjusted EBITDA, as defined in our Credit Facility for the periods indicated: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Trailing Four Quarters</w:t>
            </w:r>
          </w:p>
        </w:tc>
      </w:tr>
      <w:tr>
        <w:trPr>
          <w:trHeight w:val="190"/>
        </w:trPr>
        <w:tc>
          <w:tcPr>
            <w:tcW w:w="8020" w:type="dxa"/>
            <w:vAlign w:val="bottom"/>
          </w:tcPr>
          <w:p>
            <w:pPr>
              <w:spacing w:after="0"/>
              <w:rPr>
                <w:sz w:val="16"/>
                <w:szCs w:val="16"/>
                <w:color w:val="auto"/>
              </w:rPr>
            </w:pPr>
          </w:p>
        </w:tc>
        <w:tc>
          <w:tcPr>
            <w:tcW w:w="1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May 5, 2024</w:t>
            </w:r>
          </w:p>
        </w:tc>
      </w:tr>
      <w:tr>
        <w:trPr>
          <w:trHeight w:val="37"/>
        </w:trPr>
        <w:tc>
          <w:tcPr>
            <w:tcW w:w="802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1720" w:type="dxa"/>
            <w:vAlign w:val="bottom"/>
          </w:tcPr>
          <w:p>
            <w:pPr>
              <w:spacing w:after="0"/>
              <w:rPr>
                <w:sz w:val="20"/>
                <w:szCs w:val="20"/>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 net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debt refinancing</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3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1720" w:type="dxa"/>
            <w:vAlign w:val="bottom"/>
          </w:tcPr>
          <w:p>
            <w:pPr>
              <w:spacing w:after="0"/>
              <w:rPr>
                <w:sz w:val="20"/>
                <w:szCs w:val="20"/>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Share-based compensation </w:t>
            </w:r>
            <w:r>
              <w:rPr>
                <w:rFonts w:ascii="Times New Roman" w:cs="Times New Roman" w:eastAsia="Times New Roman" w:hAnsi="Times New Roman"/>
                <w:sz w:val="21"/>
                <w:szCs w:val="21"/>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Pre-opening costs </w:t>
            </w:r>
            <w:r>
              <w:rPr>
                <w:rFonts w:ascii="Times New Roman" w:cs="Times New Roman" w:eastAsia="Times New Roman" w:hAnsi="Times New Roman"/>
                <w:sz w:val="21"/>
                <w:szCs w:val="21"/>
                <w:color w:val="auto"/>
                <w:vertAlign w:val="superscript"/>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Entertainment revenue deferrals </w:t>
            </w:r>
            <w:r>
              <w:rPr>
                <w:rFonts w:ascii="Times New Roman" w:cs="Times New Roman" w:eastAsia="Times New Roman" w:hAnsi="Times New Roman"/>
                <w:sz w:val="21"/>
                <w:szCs w:val="21"/>
                <w:color w:val="auto"/>
                <w:vertAlign w:val="superscript"/>
              </w:rPr>
              <w:t>(5)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(6)</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6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 non-GAAP measure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900" w:right="660" w:hanging="244"/>
        <w:spacing w:after="0" w:line="223" w:lineRule="auto"/>
        <w:tabs>
          <w:tab w:leader="none" w:pos="88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comprehensive income statement.</w:t>
      </w:r>
    </w:p>
    <w:p>
      <w:pPr>
        <w:ind w:left="900" w:right="660" w:hanging="244"/>
        <w:spacing w:after="0" w:line="220" w:lineRule="auto"/>
        <w:tabs>
          <w:tab w:leader="none" w:pos="88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comprehensive income statement.</w:t>
      </w:r>
    </w:p>
    <w:p>
      <w:pPr>
        <w:spacing w:after="0" w:line="1" w:lineRule="exact"/>
        <w:rPr>
          <w:rFonts w:ascii="Times New Roman" w:cs="Times New Roman" w:eastAsia="Times New Roman" w:hAnsi="Times New Roman"/>
          <w:sz w:val="21"/>
          <w:szCs w:val="21"/>
          <w:color w:val="auto"/>
          <w:vertAlign w:val="superscript"/>
        </w:rPr>
      </w:pPr>
    </w:p>
    <w:p>
      <w:pPr>
        <w:jc w:val="both"/>
        <w:ind w:left="900" w:right="660" w:hanging="244"/>
        <w:spacing w:after="0" w:line="228" w:lineRule="auto"/>
        <w:tabs>
          <w:tab w:leader="none" w:pos="88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and launch of new enterprise resource planning, human capital management and inventory software for our stores and store support teams. These charges are primarily recorded in general and administrative expenses on the consolidated comprehensive income statement.</w:t>
      </w:r>
    </w:p>
    <w:p>
      <w:pPr>
        <w:spacing w:after="0" w:line="1" w:lineRule="exact"/>
        <w:rPr>
          <w:rFonts w:ascii="Times New Roman" w:cs="Times New Roman" w:eastAsia="Times New Roman" w:hAnsi="Times New Roman"/>
          <w:sz w:val="21"/>
          <w:szCs w:val="21"/>
          <w:color w:val="auto"/>
          <w:vertAlign w:val="superscript"/>
        </w:rPr>
      </w:pPr>
    </w:p>
    <w:p>
      <w:pPr>
        <w:ind w:left="900" w:right="640" w:hanging="244"/>
        <w:spacing w:after="0" w:line="220" w:lineRule="auto"/>
        <w:tabs>
          <w:tab w:leader="none" w:pos="88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primarily consisting of occupancy and payroll related expenses, associated with the opening of new stores. These costs are considered a "cost of new projects"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ind w:left="900" w:right="660" w:hanging="244"/>
        <w:spacing w:after="0" w:line="220" w:lineRule="auto"/>
        <w:tabs>
          <w:tab w:leader="none" w:pos="88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non-cash adjustments to our deferred entertainment revenue liabilities. These costs, which are included in entertainment revenues on the consolidated comprehensive income statement, are considered an "other non-cash charge"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jc w:val="both"/>
        <w:ind w:left="900" w:right="640" w:hanging="244"/>
        <w:spacing w:after="0" w:line="239" w:lineRule="auto"/>
        <w:tabs>
          <w:tab w:leader="none" w:pos="88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primarily consisted of $5.6 million of one-time, third-party consulting fees, $0.8 million of severance costs, a $2.9 million gain on property and equipment transactions and a $1.7 million impairment charge. The third-party consulting fees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maximum permitted Net Total Leverage Ratio, as defined in our Credit Facility, is 3.5x. The following table calculates Net Total Leverage Ratio as of and for the period indicated:</w:t>
      </w:r>
    </w:p>
    <w:p>
      <w:pPr>
        <w:spacing w:after="0" w:line="209" w:lineRule="exact"/>
        <w:rPr>
          <w:sz w:val="20"/>
          <w:szCs w:val="20"/>
          <w:color w:val="auto"/>
        </w:rPr>
      </w:pPr>
    </w:p>
    <w:tbl>
      <w:tblPr>
        <w:tblLayout w:type="fixed"/>
        <w:tblInd w:w="168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And For The Trailing</w:t>
            </w:r>
          </w:p>
        </w:tc>
      </w:tr>
      <w:tr>
        <w:trPr>
          <w:trHeight w:val="175"/>
        </w:trPr>
        <w:tc>
          <w:tcPr>
            <w:tcW w:w="65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190"/>
        </w:trPr>
        <w:tc>
          <w:tcPr>
            <w:tcW w:w="65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5, 2024</w:t>
            </w:r>
          </w:p>
        </w:tc>
      </w:tr>
      <w:tr>
        <w:trPr>
          <w:trHeight w:val="23"/>
        </w:trPr>
        <w:tc>
          <w:tcPr>
            <w:tcW w:w="65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$1,298.2</w:t>
            </w: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37"/>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Outstanding letters of credit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debt (b)</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$1,277.1</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Total Leverage Ratio (b / a)</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x</w:t>
            </w:r>
          </w:p>
        </w:tc>
      </w:tr>
      <w:tr>
        <w:trPr>
          <w:trHeight w:val="21"/>
        </w:trPr>
        <w:tc>
          <w:tcPr>
            <w:tcW w:w="6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380" w:hanging="238"/>
        <w:spacing w:after="0"/>
        <w:tabs>
          <w:tab w:leader="none" w:pos="13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face amount of debt outstanding, net of unamortized debt issuance costs and debt discount.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with a total authorization limit of $500.0 million. During the thirteen weeks ended May 5, 2024, the Company repurchased 0.18 million shares at an average of $52.97 per share. Between May 6 and the filing of this quarterly report on Form 10-Q, the Company repurchased 0.79 million additional shares for a total of $40.3 million. In fiscal 2024, through the filing of this quarterly report on Form 10-Q, the Company has repurchased 0.97 million shares for a total of $50.0 million representing 2.4% of the shares issued and outstanding as of February 4, 2024. The remaining dollar value of shares that may be repurchased under the program is $150.0 million as of the filing of this quarterly report on Form 10-Q.</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dividends declared or paid during the thirteen weeks ended May 5, 2024.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May 5, 2024, the Company had cash and cash equivalents of $32.1 million.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and available borrowings under our revolving credit facility should be sufficient not only for our operating requirements but also to enable us, in the aggregate, to finance our capital allocation strategy, including capital expenditures, through at least the next twelve months.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22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team member compensation, operations, occupancy, and other operating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increased to $108.8 million for the thirteen weeks ended May 5, 2024 compared to $92.4 million for the thirteen weeks ended April 30, 2023. The increase was primarily driven by the timing of changes in working capital, partially offset by a decrease in net income.</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used in investing increased to $112.8 million for the thirteen weeks ended May 5, 2024 from $50.8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April 30, 2023 primarily due to an increase in capital expenditures related to new store openings and store remodels.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Cash flow used in financing was $1.2 million in the thirteen weeks ended May 5, 2024 primarily consisting of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repurchases, partially offset by net debt proceeds and proceeds from stock option exercises. Cash flow used in financing activities of $131.7 million in the thirteen weeks ended April 30, 2023 primarily consisted of share repurchases and net debt repayments.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reported on Form 10-K for the year ended February 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fiscal year ended February 4,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 to the Consolidated Financial Statements for information regarding new accounting pronouncements.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Credit Facility, discussed further at Note 4 to the consolidated financial statements, is based on variable interest rates. As of May 5, 2024, the Company had $5.0 million outstanding on its revolving facility and an outstanding balance of $895.5 million on its term loan facility. The impact on our annual results of operations of a hypothetical one percentage point interest rate change on the outstanding balance of the credit facility as of May 5, 2024 would be $9.0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covered by this report. Based on that evaluation, the Chief Executive Officer and Chief Financial Officer have concluded that these disclosure controls and procedures are effective.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practices or processes that materially affected, or are reasonably likely to materially affect, our internal control over financial reporting during our first quarter ended May 5,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Consolidated Financial Statements set forth in Part I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discussion in “Risk Factors” in Item 1A of the Company's Annual Report on Form 10-K for the year ended February 4, 2024.</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repurchase of our common stock, in millions, except per share amounts, during the thirteen weeks ended May 5,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5"/>
                <w:szCs w:val="15"/>
                <w:color w:val="auto"/>
              </w:rPr>
            </w:pPr>
          </w:p>
        </w:tc>
        <w:tc>
          <w:tcPr>
            <w:tcW w:w="23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 as Part of Publicly</w:t>
            </w:r>
          </w:p>
        </w:tc>
        <w:tc>
          <w:tcPr>
            <w:tcW w:w="260" w:type="dxa"/>
            <w:vAlign w:val="bottom"/>
          </w:tcPr>
          <w:p>
            <w:pPr>
              <w:spacing w:after="0"/>
              <w:rPr>
                <w:sz w:val="14"/>
                <w:szCs w:val="14"/>
                <w:color w:val="auto"/>
              </w:rPr>
            </w:pPr>
          </w:p>
        </w:tc>
        <w:tc>
          <w:tcPr>
            <w:tcW w:w="23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Repurchased</w:t>
            </w:r>
          </w:p>
        </w:tc>
      </w:tr>
      <w:tr>
        <w:trPr>
          <w:trHeight w:val="17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9"/>
              </w:rPr>
              <w:t xml:space="preserve">Repurchased </w:t>
            </w:r>
            <w:r>
              <w:rPr>
                <w:rFonts w:ascii="Times New Roman" w:cs="Times New Roman" w:eastAsia="Times New Roman" w:hAnsi="Times New Roman"/>
                <w:sz w:val="18"/>
                <w:szCs w:val="18"/>
                <w:b w:val="1"/>
                <w:bCs w:val="1"/>
                <w:color w:val="auto"/>
                <w:w w:val="99"/>
                <w:vertAlign w:val="superscript"/>
              </w:rPr>
              <w:t>(2)</w:t>
            </w:r>
          </w:p>
        </w:tc>
        <w:tc>
          <w:tcPr>
            <w:tcW w:w="1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2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7"/>
              </w:rPr>
              <w:t xml:space="preserve">Announced Plans </w:t>
            </w:r>
            <w:r>
              <w:rPr>
                <w:rFonts w:ascii="Times New Roman" w:cs="Times New Roman" w:eastAsia="Times New Roman" w:hAnsi="Times New Roman"/>
                <w:sz w:val="18"/>
                <w:szCs w:val="18"/>
                <w:b w:val="1"/>
                <w:bCs w:val="1"/>
                <w:color w:val="auto"/>
                <w:w w:val="97"/>
                <w:vertAlign w:val="superscript"/>
              </w:rPr>
              <w:t>(2) (3)</w:t>
            </w:r>
          </w:p>
        </w:tc>
        <w:tc>
          <w:tcPr>
            <w:tcW w:w="260" w:type="dxa"/>
            <w:vAlign w:val="bottom"/>
          </w:tcPr>
          <w:p>
            <w:pPr>
              <w:spacing w:after="0"/>
              <w:rPr>
                <w:sz w:val="14"/>
                <w:szCs w:val="14"/>
                <w:color w:val="auto"/>
              </w:rPr>
            </w:pPr>
          </w:p>
        </w:tc>
        <w:tc>
          <w:tcPr>
            <w:tcW w:w="23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 xml:space="preserve">Under the Plans </w:t>
            </w:r>
            <w:r>
              <w:rPr>
                <w:rFonts w:ascii="Times New Roman" w:cs="Times New Roman" w:eastAsia="Times New Roman" w:hAnsi="Times New Roman"/>
                <w:sz w:val="9"/>
                <w:szCs w:val="9"/>
                <w:b w:val="1"/>
                <w:bCs w:val="1"/>
                <w:color w:val="auto"/>
              </w:rPr>
              <w:t>(4)</w:t>
            </w:r>
          </w:p>
        </w:tc>
      </w:tr>
      <w:tr>
        <w:trPr>
          <w:trHeight w:val="23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4"/>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5, 2024 to March 3, 2024</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4, 2024 to April 7,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8, 2024 to May 5,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190.2</w:t>
            </w:r>
          </w:p>
        </w:tc>
      </w:tr>
      <w:tr>
        <w:trPr>
          <w:trHeight w:val="27"/>
        </w:trPr>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340" w:right="80" w:hanging="332"/>
        <w:spacing w:after="0" w:line="223"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uses a "4-5-4" calendar to determine the months in each quarter. The periods presented represent the 4 week and 5 week periods making up the thirteen weeks ended May 5, 2024.</w:t>
      </w:r>
    </w:p>
    <w:p>
      <w:pPr>
        <w:ind w:left="340" w:right="100" w:hanging="332"/>
        <w:spacing w:after="0" w:line="220"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cumulative shares repurchased under repurchase program(s). Excludes shares withheld for tax purposes on behalf of our employees in connection with the vesting of time-based and performance-based restricted stock units totaling 0.03 for the thirteen weeks ended May 5, 2024.</w:t>
      </w:r>
    </w:p>
    <w:p>
      <w:pPr>
        <w:spacing w:after="0" w:line="1" w:lineRule="exact"/>
        <w:rPr>
          <w:rFonts w:ascii="Times New Roman" w:cs="Times New Roman" w:eastAsia="Times New Roman" w:hAnsi="Times New Roman"/>
          <w:sz w:val="21"/>
          <w:szCs w:val="21"/>
          <w:color w:val="auto"/>
          <w:vertAlign w:val="superscript"/>
        </w:rPr>
      </w:pPr>
    </w:p>
    <w:p>
      <w:pPr>
        <w:jc w:val="both"/>
        <w:ind w:left="340" w:right="100" w:hanging="332"/>
        <w:spacing w:after="0" w:line="233"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Board of Directors approved a share repurchase program in March 2023, with approved increases in April and September 2023 and February 2024 (see further discussion at Note 6 to our consolidated financial statements). Under the program, the Company may repurchase shares on the open market, through privately negotiated transactions, and through trading plans designed to comply with Rule 10b5-1 of the Securities Exchange Act of 1934, as amended. The share repurchase program(s) may be modified, suspended or discontinued at any time.</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201"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cumulative share repurchase authorizations in effect, less cumulative purchases, at the end of each period presented.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3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Christopher Morris, Chief Executive Officer of the Registrant, pursuant to 17 CFR 240.13a-14(a) or 17 CFR 240.15d-14(a).</w:t>
            </w: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Michael A. Quartieri, Chief Financial Officer of the Registrant, pursuant to 17 CFR 240.13a-14(a) or 17 CFR 240.15d-</w:t>
            </w:r>
          </w:p>
        </w:tc>
        <w:tc>
          <w:tcPr>
            <w:tcW w:w="340" w:type="dxa"/>
            <w:vAlign w:val="bottom"/>
            <w:tcBorders>
              <w:top w:val="single" w:sz="8" w:color="0000FF"/>
            </w:tcBorders>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14(a).</w:t>
            </w:r>
          </w:p>
        </w:tc>
        <w:tc>
          <w:tcPr>
            <w:tcW w:w="9680" w:type="dxa"/>
            <w:vAlign w:val="bottom"/>
            <w:gridSpan w:val="6"/>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Christopher Morris, Chief Executive Officer of the Registrant, pursuant to 18 U.S.C. Section 1350, as adopted pursuant to</w:t>
            </w: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460" w:type="dxa"/>
            <w:vAlign w:val="bottom"/>
            <w:tcBorders>
              <w:top w:val="single" w:sz="8" w:color="0000FF"/>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Michael A. Quartieri, Chief Financial Officer of the Registrant, pursuant to 18 U.S.C. Section 1350, as adopted pursuant to</w:t>
            </w:r>
          </w:p>
        </w:tc>
        <w:tc>
          <w:tcPr>
            <w:tcW w:w="10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40" w:type="dxa"/>
            <w:vAlign w:val="bottom"/>
            <w:gridSpan w:val="5"/>
          </w:tcPr>
          <w:p>
            <w:pPr>
              <w:spacing w:after="0"/>
              <w:rPr>
                <w:sz w:val="17"/>
                <w:szCs w:val="17"/>
                <w:color w:val="auto"/>
              </w:rPr>
            </w:pPr>
          </w:p>
        </w:tc>
      </w:tr>
      <w:tr>
        <w:trPr>
          <w:trHeight w:val="32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Instance Document—the instance document does not appear in the Interactive Data File because its XBRL tags are</w:t>
            </w:r>
          </w:p>
        </w:tc>
      </w:tr>
      <w:tr>
        <w:trPr>
          <w:trHeight w:val="234"/>
        </w:trPr>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Schema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Calculation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Definition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Label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Inline Taxonomy Extension Presentation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DAVE &amp; BUSTER’S ENTERTAINMENT, INC.,</w:t>
            </w:r>
          </w:p>
        </w:tc>
      </w:tr>
      <w:tr>
        <w:trPr>
          <w:trHeight w:val="234"/>
        </w:trPr>
        <w:tc>
          <w:tcPr>
            <w:tcW w:w="3420" w:type="dxa"/>
            <w:vAlign w:val="bottom"/>
          </w:tcPr>
          <w:p>
            <w:pPr>
              <w:spacing w:after="0"/>
              <w:rPr>
                <w:sz w:val="20"/>
                <w:szCs w:val="20"/>
                <w:color w:val="auto"/>
              </w:rPr>
            </w:pP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54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Morris</w:t>
            </w:r>
          </w:p>
        </w:tc>
      </w:tr>
      <w:tr>
        <w:trPr>
          <w:trHeight w:val="27"/>
        </w:trPr>
        <w:tc>
          <w:tcPr>
            <w:tcW w:w="3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Morris</w:t>
            </w:r>
          </w:p>
        </w:tc>
      </w:tr>
      <w:tr>
        <w:trPr>
          <w:trHeight w:val="270"/>
        </w:trPr>
        <w:tc>
          <w:tcPr>
            <w:tcW w:w="34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A. Quartieri</w:t>
            </w:r>
          </w:p>
        </w:tc>
      </w:tr>
      <w:tr>
        <w:trPr>
          <w:trHeight w:val="27"/>
        </w:trPr>
        <w:tc>
          <w:tcPr>
            <w:tcW w:w="3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Quartieri</w:t>
            </w:r>
          </w:p>
        </w:tc>
      </w:tr>
      <w:tr>
        <w:trPr>
          <w:trHeight w:val="270"/>
        </w:trPr>
        <w:tc>
          <w:tcPr>
            <w:tcW w:w="34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31"/>
        </w:trPr>
        <w:tc>
          <w:tcPr>
            <w:tcW w:w="3420" w:type="dxa"/>
            <w:vAlign w:val="bottom"/>
          </w:tcPr>
          <w:p>
            <w:pPr>
              <w:spacing w:after="0"/>
              <w:rPr>
                <w:sz w:val="24"/>
                <w:szCs w:val="24"/>
                <w:color w:val="auto"/>
              </w:rPr>
            </w:pPr>
          </w:p>
        </w:tc>
        <w:tc>
          <w:tcPr>
            <w:tcW w:w="24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31</w:t>
            </w:r>
          </w:p>
        </w:tc>
        <w:tc>
          <w:tcPr>
            <w:tcW w:w="538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Morris, Chief Executive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440" w:hanging="328"/>
        <w:spacing w:after="0" w:line="312" w:lineRule="auto"/>
        <w:tabs>
          <w:tab w:leader="none" w:pos="64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Morris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Morris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Quartieri, Chief Financial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440" w:hanging="328"/>
        <w:spacing w:after="0" w:line="312" w:lineRule="auto"/>
        <w:tabs>
          <w:tab w:leader="none" w:pos="64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A. Quartieri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Quartieri</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5, 2024, as filed with the Securities and Exchange Commission on the date hereof (the “Report”), I, Christopher Morris, Chief Executive Officer of the Company, certify, pursuant to 18 U.S.C. Section 1350, that:</w:t>
      </w:r>
    </w:p>
    <w:p>
      <w:pPr>
        <w:spacing w:after="0" w:line="17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5, 2024, as filed with the Securities and Exchange Commission on the date hereof (the “Report”), I, Michael A. Quartieri, Chief Financial Officer of the Company, certify, pursuant to 18 U.S.C. Section 1350, that:</w:t>
      </w:r>
    </w:p>
    <w:p>
      <w:pPr>
        <w:spacing w:after="0" w:line="1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2024-06-12T15:30:12Z</dcterms:created>
  <dcterms:modified xsi:type="dcterms:W3CDTF">2024-06-12T15:30:12Z</dcterms:modified>
</cp:coreProperties>
</file>