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6"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4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SECTION 13 OR 15(d) OF THE SECURITIES EXCHANGE ACT OF 1934</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November 3, 2019</w:t>
      </w:r>
    </w:p>
    <w:p>
      <w:pPr>
        <w:spacing w:after="0" w:line="7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14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4132580</wp:posOffset>
            </wp:positionH>
            <wp:positionV relativeFrom="paragraph">
              <wp:posOffset>-7620</wp:posOffset>
            </wp:positionV>
            <wp:extent cx="1134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6"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3760" w:type="dxa"/>
            <w:vAlign w:val="bottom"/>
            <w:gridSpan w:val="2"/>
          </w:tcPr>
          <w:p>
            <w:pPr>
              <w:jc w:val="center"/>
              <w:ind w:left="1679"/>
              <w:spacing w:after="0"/>
              <w:rPr>
                <w:sz w:val="20"/>
                <w:szCs w:val="20"/>
                <w:color w:val="auto"/>
              </w:rPr>
            </w:pPr>
            <w:r>
              <w:rPr>
                <w:rFonts w:ascii="Arial" w:cs="Arial" w:eastAsia="Arial" w:hAnsi="Arial"/>
                <w:sz w:val="18"/>
                <w:szCs w:val="18"/>
                <w:b w:val="1"/>
                <w:bCs w:val="1"/>
                <w:color w:val="auto"/>
                <w:w w:val="91"/>
              </w:rPr>
              <w:t>Delaware</w:t>
            </w: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ind w:right="1762"/>
              <w:spacing w:after="0"/>
              <w:rPr>
                <w:sz w:val="20"/>
                <w:szCs w:val="20"/>
                <w:color w:val="auto"/>
              </w:rPr>
            </w:pPr>
            <w:r>
              <w:rPr>
                <w:rFonts w:ascii="Arial" w:cs="Arial" w:eastAsia="Arial" w:hAnsi="Arial"/>
                <w:sz w:val="18"/>
                <w:szCs w:val="18"/>
                <w:b w:val="1"/>
                <w:bCs w:val="1"/>
                <w:color w:val="auto"/>
                <w:w w:val="89"/>
              </w:rPr>
              <w:t>35-2382255</w:t>
            </w:r>
          </w:p>
        </w:tc>
        <w:tc>
          <w:tcPr>
            <w:tcW w:w="0" w:type="dxa"/>
            <w:vAlign w:val="bottom"/>
          </w:tcPr>
          <w:p>
            <w:pPr>
              <w:spacing w:after="0"/>
              <w:rPr>
                <w:sz w:val="1"/>
                <w:szCs w:val="1"/>
                <w:color w:val="auto"/>
              </w:rPr>
            </w:pPr>
          </w:p>
        </w:tc>
      </w:tr>
      <w:tr>
        <w:trPr>
          <w:trHeight w:val="149"/>
        </w:trPr>
        <w:tc>
          <w:tcPr>
            <w:tcW w:w="3760" w:type="dxa"/>
            <w:vAlign w:val="bottom"/>
            <w:gridSpan w:val="2"/>
          </w:tcPr>
          <w:p>
            <w:pPr>
              <w:jc w:val="center"/>
              <w:ind w:left="16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762"/>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760" w:type="dxa"/>
            <w:vAlign w:val="bottom"/>
            <w:gridSpan w:val="2"/>
          </w:tcPr>
          <w:p>
            <w:pPr>
              <w:jc w:val="center"/>
              <w:ind w:left="1699"/>
              <w:spacing w:after="0"/>
              <w:rPr>
                <w:sz w:val="20"/>
                <w:szCs w:val="20"/>
                <w:color w:val="auto"/>
              </w:rPr>
            </w:pPr>
            <w:r>
              <w:rPr>
                <w:rFonts w:ascii="Arial" w:cs="Arial" w:eastAsia="Arial" w:hAnsi="Arial"/>
                <w:sz w:val="14"/>
                <w:szCs w:val="14"/>
                <w:b w:val="1"/>
                <w:bCs w:val="1"/>
                <w:color w:val="auto"/>
                <w:w w:val="95"/>
              </w:rPr>
              <w:t>Incorporation or Organization)</w:t>
            </w:r>
          </w:p>
        </w:tc>
        <w:tc>
          <w:tcPr>
            <w:tcW w:w="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6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3"/>
              </w:rPr>
              <w:t>2481 Mañana Drive</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8"/>
              </w:rPr>
              <w:t>Dallas, Texas 75220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5"/>
              </w:rPr>
              <w:t>(Zip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2"/>
          </w:tcPr>
          <w:p>
            <w:pPr>
              <w:jc w:val="center"/>
              <w:ind w:left="522"/>
              <w:spacing w:after="0"/>
              <w:rPr>
                <w:sz w:val="20"/>
                <w:szCs w:val="20"/>
                <w:color w:val="auto"/>
              </w:rPr>
            </w:pPr>
            <w:r>
              <w:rPr>
                <w:rFonts w:ascii="Arial" w:cs="Arial" w:eastAsia="Arial" w:hAnsi="Arial"/>
                <w:sz w:val="18"/>
                <w:szCs w:val="18"/>
                <w:b w:val="1"/>
                <w:bCs w:val="1"/>
                <w:color w:val="auto"/>
                <w:w w:val="90"/>
              </w:rPr>
              <w:t>(214) 357-9588</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7480" w:type="dxa"/>
            <w:vAlign w:val="bottom"/>
            <w:gridSpan w:val="6"/>
          </w:tcPr>
          <w:p>
            <w:pPr>
              <w:ind w:left="420"/>
              <w:spacing w:after="0"/>
              <w:rPr>
                <w:sz w:val="20"/>
                <w:szCs w:val="20"/>
                <w:color w:val="auto"/>
              </w:rPr>
            </w:pPr>
            <w:r>
              <w:rPr>
                <w:rFonts w:ascii="Arial" w:cs="Arial" w:eastAsia="Arial" w:hAnsi="Arial"/>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6"/>
                <w:szCs w:val="16"/>
                <w:color w:val="auto"/>
              </w:rPr>
            </w:pPr>
          </w:p>
        </w:tc>
        <w:tc>
          <w:tcPr>
            <w:tcW w:w="3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9"/>
              </w:rPr>
              <w:t>PLAY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99695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200"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left="200" w:right="340" w:firstLine="441"/>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33" w:lineRule="exact"/>
        <w:rPr>
          <w:sz w:val="24"/>
          <w:szCs w:val="24"/>
          <w:color w:val="auto"/>
        </w:rPr>
      </w:pPr>
    </w:p>
    <w:p>
      <w:pPr>
        <w:ind w:left="200"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40" w:right="1120"/>
        <w:spacing w:after="0" w:line="280"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December 4, 2019, the registrant had 30,570,973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540" w:right="2580"/>
        <w:spacing w:after="0" w:line="255" w:lineRule="auto"/>
        <w:rPr>
          <w:sz w:val="20"/>
          <w:szCs w:val="20"/>
          <w:color w:val="auto"/>
        </w:rPr>
      </w:pPr>
      <w:r>
        <w:rPr>
          <w:rFonts w:ascii="Arial" w:cs="Arial" w:eastAsia="Arial" w:hAnsi="Arial"/>
          <w:sz w:val="18"/>
          <w:szCs w:val="18"/>
          <w:b w:val="1"/>
          <w:bCs w:val="1"/>
          <w:color w:val="auto"/>
        </w:rPr>
        <w:t>DAVE &amp; BUSTER’S ENTERTAINMENT, INC. FORM 10-Q FOR QUARTERLY PERIOD ENDED NOVEMBER 3, 2019 TABLE OF CONTENTS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720" w:type="dxa"/>
            <w:vAlign w:val="bottom"/>
            <w:gridSpan w:val="4"/>
            <w:vMerge w:val="restart"/>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860" w:type="dxa"/>
            <w:vAlign w:val="bottom"/>
            <w:vMerge w:val="continue"/>
          </w:tcPr>
          <w:p>
            <w:pPr>
              <w:spacing w:after="0"/>
              <w:rPr>
                <w:sz w:val="14"/>
                <w:szCs w:val="14"/>
                <w:color w:val="auto"/>
              </w:rPr>
            </w:pPr>
          </w:p>
        </w:tc>
        <w:tc>
          <w:tcPr>
            <w:tcW w:w="2400" w:type="dxa"/>
            <w:vAlign w:val="bottom"/>
            <w:tcBorders>
              <w:bottom w:val="single" w:sz="8" w:color="0000EE"/>
            </w:tcBorders>
            <w:gridSpan w:val="8"/>
            <w:vMerge w:val="continue"/>
          </w:tcPr>
          <w:p>
            <w:pPr>
              <w:spacing w:after="0"/>
              <w:rPr>
                <w:sz w:val="14"/>
                <w:szCs w:val="14"/>
                <w:color w:val="auto"/>
              </w:rPr>
            </w:pPr>
          </w:p>
        </w:tc>
        <w:tc>
          <w:tcPr>
            <w:tcW w:w="572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00" w:type="dxa"/>
            <w:vAlign w:val="bottom"/>
            <w:gridSpan w:val="7"/>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6340" w:type="dxa"/>
            <w:vAlign w:val="bottom"/>
            <w:gridSpan w:val="6"/>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120" w:type="dxa"/>
            <w:vAlign w:val="bottom"/>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100" w:type="dxa"/>
            <w:vAlign w:val="bottom"/>
            <w:gridSpan w:val="5"/>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6780" w:type="dxa"/>
            <w:vAlign w:val="bottom"/>
            <w:gridSpan w:val="8"/>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3760" w:type="dxa"/>
            <w:vAlign w:val="bottom"/>
            <w:gridSpan w:val="3"/>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812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812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3"/>
        </w:trPr>
        <w:tc>
          <w:tcPr>
            <w:tcW w:w="86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700" w:type="dxa"/>
            <w:vAlign w:val="bottom"/>
            <w:gridSpan w:val="9"/>
          </w:tcPr>
          <w:p>
            <w:pPr>
              <w:jc w:val="right"/>
              <w:ind w:right="176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0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20" w:type="dxa"/>
            <w:vAlign w:val="bottom"/>
          </w:tcPr>
          <w:p>
            <w:pPr>
              <w:jc w:val="center"/>
              <w:ind w:left="175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12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20" w:type="dxa"/>
            <w:vAlign w:val="bottom"/>
          </w:tcPr>
          <w:p>
            <w:pPr>
              <w:jc w:val="center"/>
              <w:ind w:left="1730"/>
              <w:spacing w:after="0"/>
              <w:rPr>
                <w:sz w:val="20"/>
                <w:szCs w:val="20"/>
                <w:color w:val="auto"/>
              </w:rPr>
            </w:pPr>
            <w:r>
              <w:rPr>
                <w:rFonts w:ascii="Arial" w:cs="Arial" w:eastAsia="Arial" w:hAnsi="Arial"/>
                <w:sz w:val="18"/>
                <w:szCs w:val="18"/>
                <w:b w:val="1"/>
                <w:bCs w:val="1"/>
                <w:color w:val="auto"/>
              </w:rPr>
              <w:t>DAVE &amp; BUSTER’S ENTERTAINMENT, INC.</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2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20" w:type="dxa"/>
            <w:vAlign w:val="bottom"/>
          </w:tcPr>
          <w:p>
            <w:pPr>
              <w:jc w:val="center"/>
              <w:ind w:left="1730"/>
              <w:spacing w:after="0"/>
              <w:rPr>
                <w:sz w:val="20"/>
                <w:szCs w:val="20"/>
                <w:color w:val="auto"/>
              </w:rPr>
            </w:pPr>
            <w:r>
              <w:rPr>
                <w:rFonts w:ascii="Arial" w:cs="Arial" w:eastAsia="Arial" w:hAnsi="Arial"/>
                <w:sz w:val="18"/>
                <w:szCs w:val="18"/>
                <w:color w:val="auto"/>
                <w:w w:val="87"/>
              </w:rPr>
              <w:t>(in thousands, except share and per share amounts)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November 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2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$657,348 and $578,178 accumulated depreciation as of November 3, 2019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3, 2019, respectively)</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878,203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967,697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and deferred charges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2,298,187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20" w:type="dxa"/>
            <w:vAlign w:val="bottom"/>
            <w:vMerge w:val="restart"/>
          </w:tcPr>
          <w:p>
            <w:pPr>
              <w:jc w:val="center"/>
              <w:ind w:right="51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Deferred occupancy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1,174,772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Common stock, par value $0.01; authorized: 400,000,000 shares; issued: 43,350,485 shares at November 3, 2019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9"/>
              </w:rPr>
              <w:t>and 43,177,476 shares at February 3, 2019; outstanding: 30,566,973 shares at November 3, 2019 and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37,522,085 shares at February 3, 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Treasury stock, 12,783,512 and 5,655,391 shares as of November 3, 2019 and February 3, 2019, respectively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(595,041)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2,298,187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05"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420" w:right="2180"/>
        <w:spacing w:after="0" w:line="255"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Thirteen Weeks</w:t>
            </w:r>
          </w:p>
        </w:tc>
        <w:tc>
          <w:tcPr>
            <w:tcW w:w="24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560" w:type="dxa"/>
            <w:vAlign w:val="bottom"/>
            <w:gridSpan w:val="4"/>
          </w:tcPr>
          <w:p>
            <w:pPr>
              <w:ind w:left="4180"/>
              <w:spacing w:after="0"/>
              <w:rPr>
                <w:sz w:val="20"/>
                <w:szCs w:val="20"/>
                <w:color w:val="auto"/>
              </w:rPr>
            </w:pPr>
            <w:r>
              <w:rPr>
                <w:rFonts w:ascii="Arial" w:cs="Arial" w:eastAsia="Arial" w:hAnsi="Arial"/>
                <w:sz w:val="14"/>
                <w:szCs w:val="14"/>
                <w:b w:val="1"/>
                <w:bCs w:val="1"/>
                <w:color w:val="auto"/>
              </w:rPr>
              <w:t>November 3, 2019</w:t>
            </w: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w w:val="99"/>
              </w:rPr>
              <w:t>November 4,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4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4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174,715</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4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110,713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4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4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292,853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4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w w:val="91"/>
                <w:shd w:val="clear" w:color="auto" w:fill="CCEEFF"/>
              </w:rPr>
              <w:t>Income before provision (benefit) for income taxes</w:t>
            </w:r>
          </w:p>
        </w:tc>
        <w:tc>
          <w:tcPr>
            <w:tcW w:w="4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389</w:t>
            </w: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12,151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of derivatives, net of tax</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loss</w:t>
            </w:r>
          </w:p>
        </w:tc>
        <w:tc>
          <w:tcPr>
            <w:tcW w:w="4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shd w:val="clear" w:color="auto" w:fill="CCEEFF"/>
              </w:rPr>
              <w:t>Total comprehensive income (loss)</w:t>
            </w:r>
          </w:p>
        </w:tc>
        <w:tc>
          <w:tcPr>
            <w:tcW w:w="4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(1,027)</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36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436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88"/>
              </w:rPr>
              <w:t>Weighted average shares used in per share calculations: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Basic</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30,980,878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38,892,288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31,515,454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39,855,648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05"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420" w:right="2180"/>
        <w:spacing w:after="0" w:line="255"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500" w:type="dxa"/>
            <w:vAlign w:val="bottom"/>
            <w:gridSpan w:val="4"/>
          </w:tcPr>
          <w:p>
            <w:pPr>
              <w:jc w:val="center"/>
              <w:ind w:left="1616"/>
              <w:spacing w:after="0"/>
              <w:rPr>
                <w:sz w:val="20"/>
                <w:szCs w:val="20"/>
                <w:color w:val="auto"/>
              </w:rPr>
            </w:pPr>
            <w:r>
              <w:rPr>
                <w:rFonts w:ascii="Arial" w:cs="Arial" w:eastAsia="Arial" w:hAnsi="Arial"/>
                <w:sz w:val="14"/>
                <w:szCs w:val="14"/>
                <w:b w:val="1"/>
                <w:bCs w:val="1"/>
                <w:color w:val="auto"/>
                <w:w w:val="96"/>
              </w:rPr>
              <w:t>Thirty-nine Weeks</w:t>
            </w: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Thirty-nine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November 3, 2019</w:t>
            </w:r>
          </w:p>
        </w:tc>
        <w:tc>
          <w:tcPr>
            <w:tcW w:w="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4,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596,754</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321,334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897,070</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of derivatives, net of tax</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loss</w:t>
            </w:r>
          </w:p>
        </w:tc>
        <w:tc>
          <w:tcPr>
            <w:tcW w:w="20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Basic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34,405,503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39,314,271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35,042,311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05"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440" w:right="2260"/>
        <w:spacing w:after="0" w:line="255" w:lineRule="auto"/>
        <w:rPr>
          <w:sz w:val="20"/>
          <w:szCs w:val="20"/>
          <w:color w:val="auto"/>
        </w:rPr>
      </w:pPr>
      <w:r>
        <w:rPr>
          <w:rFonts w:ascii="Arial" w:cs="Arial" w:eastAsia="Arial" w:hAnsi="Arial"/>
          <w:sz w:val="18"/>
          <w:szCs w:val="18"/>
          <w:b w:val="1"/>
          <w:bCs w:val="1"/>
          <w:color w:val="auto"/>
        </w:rPr>
        <w:t xml:space="preserve">DAVE &amp; BUSTER’S ENTERTAINMENT, INC. CONSOLIDATED STATEMENT OF STOCKHOLDERS’ EQUITY (UNAUDITED) </w:t>
      </w:r>
      <w:r>
        <w:rPr>
          <w:rFonts w:ascii="Arial" w:cs="Arial" w:eastAsia="Arial" w:hAnsi="Arial"/>
          <w:sz w:val="18"/>
          <w:szCs w:val="18"/>
          <w:color w:val="auto"/>
        </w:rPr>
        <w:t>(in thousands, except share amounts)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w w:val="95"/>
              </w:rPr>
              <w:t>Thirteen Weeks Ended November 3, 2019</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4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At Cost</w:t>
            </w:r>
          </w:p>
        </w:tc>
        <w:tc>
          <w:tcPr>
            <w:tcW w:w="1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9"/>
                <w:szCs w:val="9"/>
                <w:color w:val="auto"/>
              </w:rPr>
            </w:pPr>
          </w:p>
        </w:tc>
        <w:tc>
          <w:tcPr>
            <w:tcW w:w="1820" w:type="dxa"/>
            <w:vAlign w:val="bottom"/>
            <w:tcBorders>
              <w:bottom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gridSpan w:val="4"/>
            <w:vMerge w:val="restart"/>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82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Amt.</w:t>
            </w:r>
          </w:p>
        </w:tc>
        <w:tc>
          <w:tcPr>
            <w:tcW w:w="2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Amt.</w:t>
            </w:r>
          </w:p>
        </w:tc>
        <w:tc>
          <w:tcPr>
            <w:tcW w:w="140" w:type="dxa"/>
            <w:vAlign w:val="bottom"/>
            <w:vMerge w:val="restart"/>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4,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43,337,125</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$433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10,358,291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$(497,862)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$417,779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$249,302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w w:val="86"/>
              </w:rPr>
              <w:t>482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Unrealized loss of derivatives, net of tax</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13,360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164</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2,425,221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(97,179)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Dividends declared ($0.16 per share)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November 3,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43,350,485</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12,783,512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(595,041)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413,374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w w:val="95"/>
              </w:rPr>
              <w:t>Thirteen Weeks Ended November 4, 2018</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4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At Cost</w:t>
            </w:r>
          </w:p>
        </w:tc>
        <w:tc>
          <w:tcPr>
            <w:tcW w:w="1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9"/>
                <w:szCs w:val="9"/>
                <w:color w:val="auto"/>
              </w:rPr>
            </w:pPr>
          </w:p>
        </w:tc>
        <w:tc>
          <w:tcPr>
            <w:tcW w:w="1820" w:type="dxa"/>
            <w:vAlign w:val="bottom"/>
            <w:tcBorders>
              <w:bottom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gridSpan w:val="4"/>
            <w:vMerge w:val="restart"/>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82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Amt.</w:t>
            </w:r>
          </w:p>
        </w:tc>
        <w:tc>
          <w:tcPr>
            <w:tcW w:w="2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Amt.</w:t>
            </w:r>
          </w:p>
        </w:tc>
        <w:tc>
          <w:tcPr>
            <w:tcW w:w="140" w:type="dxa"/>
            <w:vAlign w:val="bottom"/>
            <w:vMerge w:val="restart"/>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5,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42,937,988</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$325,951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3,910,033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$(209,084)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$324,240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$440,925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11,856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436,706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(24,997)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($0.15 per share)</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(5,842)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Balance November 4,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43,137,976</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431</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329,394</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4,346,739</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(234,081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425,311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05"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440" w:right="2260"/>
        <w:spacing w:after="0" w:line="255" w:lineRule="auto"/>
        <w:rPr>
          <w:sz w:val="20"/>
          <w:szCs w:val="20"/>
          <w:color w:val="auto"/>
        </w:rPr>
      </w:pPr>
      <w:r>
        <w:rPr>
          <w:rFonts w:ascii="Arial" w:cs="Arial" w:eastAsia="Arial" w:hAnsi="Arial"/>
          <w:sz w:val="18"/>
          <w:szCs w:val="18"/>
          <w:b w:val="1"/>
          <w:bCs w:val="1"/>
          <w:color w:val="auto"/>
        </w:rPr>
        <w:t xml:space="preserve">DAVE &amp; BUSTER’S ENTERTAINMENT, INC. CONSOLIDATED STATEMENT OF STOCKHOLDERS’ EQUITY (UNAUDITED) </w:t>
      </w:r>
      <w:r>
        <w:rPr>
          <w:rFonts w:ascii="Arial" w:cs="Arial" w:eastAsia="Arial" w:hAnsi="Arial"/>
          <w:sz w:val="18"/>
          <w:szCs w:val="18"/>
          <w:color w:val="auto"/>
        </w:rPr>
        <w:t>(in thousands, except share amounts)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Thirty-nine Weeks Ended November 3, 2019</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gridSpan w:val="3"/>
            <w:vMerge w:val="restart"/>
          </w:tcPr>
          <w:p>
            <w:pPr>
              <w:jc w:val="right"/>
              <w:ind w:right="592"/>
              <w:spacing w:after="0"/>
              <w:rPr>
                <w:sz w:val="20"/>
                <w:szCs w:val="20"/>
                <w:color w:val="auto"/>
              </w:rPr>
            </w:pPr>
            <w:r>
              <w:rPr>
                <w:rFonts w:ascii="Arial" w:cs="Arial" w:eastAsia="Arial" w:hAnsi="Arial"/>
                <w:sz w:val="14"/>
                <w:szCs w:val="14"/>
                <w:b w:val="1"/>
                <w:bCs w:val="1"/>
                <w:color w:val="auto"/>
              </w:rPr>
              <w:t>At Cost</w:t>
            </w:r>
          </w:p>
        </w:tc>
        <w:tc>
          <w:tcPr>
            <w:tcW w:w="1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8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9"/>
                <w:szCs w:val="9"/>
                <w:color w:val="auto"/>
              </w:rPr>
            </w:pPr>
          </w:p>
        </w:tc>
        <w:tc>
          <w:tcPr>
            <w:tcW w:w="1840" w:type="dxa"/>
            <w:vAlign w:val="bottom"/>
            <w:tcBorders>
              <w:bottom w:val="single" w:sz="8" w:color="auto"/>
            </w:tcBorders>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0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2"/>
                <w:szCs w:val="2"/>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Amt.</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2"/>
                <w:szCs w:val="2"/>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Amt.</w:t>
            </w:r>
          </w:p>
        </w:tc>
        <w:tc>
          <w:tcPr>
            <w:tcW w:w="160" w:type="dxa"/>
            <w:vAlign w:val="bottom"/>
            <w:vMerge w:val="restart"/>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3,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43,177,476</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331,255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5,655,391</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$(297,129)</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353,962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Cumulative effect of a change in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accounting principle, net of tax</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8"/>
              </w:rPr>
              <w:t>Unrealized foreign currency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gain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Unrealized loss of derivatives, net of</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tax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776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7,128,121</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(297,912)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(297,912)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($0.46 per 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Balance November 3,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43,350,485</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434</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337,510</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12,783,512</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(595,041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$ 148,121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Thirty-nine Weeks Ended November 4, 2018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1"/>
                <w:szCs w:val="11"/>
                <w:color w:val="auto"/>
              </w:rPr>
            </w:pPr>
          </w:p>
        </w:tc>
        <w:tc>
          <w:tcPr>
            <w:tcW w:w="110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5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gridSpan w:val="3"/>
            <w:vMerge w:val="restart"/>
          </w:tcPr>
          <w:p>
            <w:pPr>
              <w:jc w:val="right"/>
              <w:ind w:right="573"/>
              <w:spacing w:after="0"/>
              <w:rPr>
                <w:sz w:val="20"/>
                <w:szCs w:val="20"/>
                <w:color w:val="auto"/>
              </w:rPr>
            </w:pPr>
            <w:r>
              <w:rPr>
                <w:rFonts w:ascii="Arial" w:cs="Arial" w:eastAsia="Arial" w:hAnsi="Arial"/>
                <w:sz w:val="14"/>
                <w:szCs w:val="14"/>
                <w:b w:val="1"/>
                <w:bCs w:val="1"/>
                <w:color w:val="auto"/>
              </w:rPr>
              <w:t>At Cost</w:t>
            </w:r>
          </w:p>
        </w:tc>
        <w:tc>
          <w:tcPr>
            <w:tcW w:w="1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15"/>
              <w:spacing w:after="0" w:line="14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Amt.</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7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Amt.</w:t>
            </w: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4,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42,660,806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320,488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2,558,721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(147,331)</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foreign currency translation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5,771</w:t>
            </w:r>
          </w:p>
        </w:tc>
        <w:tc>
          <w:tcPr>
            <w:tcW w:w="20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1,788,018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(86,750)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($0.15 per share)</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Balance November 4,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43,137,976</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431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329,394</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4,346,739</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(234,081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0"/>
              </w:rPr>
              <w:t>(687)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425,311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05"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00" w:type="dxa"/>
            <w:vAlign w:val="bottom"/>
            <w:gridSpan w:val="4"/>
          </w:tcPr>
          <w:p>
            <w:pPr>
              <w:ind w:left="880"/>
              <w:spacing w:after="0"/>
              <w:rPr>
                <w:sz w:val="20"/>
                <w:szCs w:val="20"/>
                <w:color w:val="auto"/>
              </w:rPr>
            </w:pPr>
            <w:r>
              <w:rPr>
                <w:rFonts w:ascii="Arial" w:cs="Arial" w:eastAsia="Arial" w:hAnsi="Arial"/>
                <w:sz w:val="14"/>
                <w:szCs w:val="14"/>
                <w:b w:val="1"/>
                <w:bCs w:val="1"/>
                <w:color w:val="auto"/>
              </w:rPr>
              <w:t>Thirty-nine Weeks</w:t>
            </w:r>
          </w:p>
        </w:tc>
        <w:tc>
          <w:tcPr>
            <w:tcW w:w="15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Thirty-nine Weeks</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3, 2019</w:t>
            </w:r>
          </w:p>
        </w:tc>
        <w:tc>
          <w:tcPr>
            <w:tcW w:w="3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4, 2018</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75,281</w:t>
            </w:r>
          </w:p>
        </w:tc>
        <w:tc>
          <w:tcPr>
            <w:tcW w:w="36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Loss on disposal of fixed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(5,305)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Income tax receivable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Other assets and deferred charges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Deferred occupancy costs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217,789</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(172,888)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(163,745)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Proceeds from insurance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(172,273)</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Payments of debt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(104,250)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(174,250)</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Repurchase of common stock under share repurchase program</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(297,317)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(86,077)</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(5,842)</w:t>
            </w: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cash and cash equivalents</w:t>
            </w:r>
          </w:p>
        </w:tc>
        <w:tc>
          <w:tcPr>
            <w:tcW w:w="8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20,880</w:t>
            </w:r>
          </w:p>
        </w:tc>
        <w:tc>
          <w:tcPr>
            <w:tcW w:w="3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Decrease in fixed asset accounts payable</w:t>
            </w:r>
          </w:p>
        </w:tc>
        <w:tc>
          <w:tcPr>
            <w:tcW w:w="11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 net</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26,086</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Cash paid for interest, net</w:t>
            </w:r>
          </w:p>
        </w:tc>
        <w:tc>
          <w:tcPr>
            <w:tcW w:w="11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13,920</w:t>
            </w:r>
          </w:p>
        </w:tc>
        <w:tc>
          <w:tcPr>
            <w:tcW w:w="36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Dividend declared, not paid</w:t>
            </w:r>
          </w:p>
        </w:tc>
        <w:tc>
          <w:tcPr>
            <w:tcW w:w="11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4,887</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05"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440" w:right="2580"/>
        <w:spacing w:after="0" w:line="255"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Dave &amp; Buster’s Entertainment, Inc. (“D&amp;B Entertainment”) is a Delaware corporation formed in June 2010. References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first three quarters of fiscal 2019, we opened fourteen stores and permanently closed one store in Duluth (Atlanta), Georgia on March 3, 2019. As of November 3, 2019, we owned and operated 134 stores located in 39 states, Puerto Rico and one Canadian province.</w:t>
      </w:r>
    </w:p>
    <w:p>
      <w:pPr>
        <w:spacing w:after="0" w:line="16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thirty-nine weeks ended November 3, 2019 are not necessarily indicative of results that may be expected for any other interim period or for the fiscal year ending February 2, 2020. Our quarterly financial data should be read in conjunction with the audited financial statements and notes thereto for the year ended February 3, 2019, included in our Annual Report on Form 10-K as filed with the SEC.</w:t>
      </w:r>
    </w:p>
    <w:p>
      <w:pPr>
        <w:spacing w:after="0" w:line="18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operate on a 52 or 53-week fiscal year that ends on the Sunday after the Saturday closest to January 31. Each quarterly period reported has 13 weeks. Fiscal 2019 and 2018, which end on February 2, 2020 and February 3, 2019, contain 52 weeks.</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We consider transaction settlements in process from credit card companies and all highly-liquid investments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$2,246 and $12,782 are presented in “Accounts payable” in the Consolidated Balance Sheets as of November 3, 2019 and February 3, 2019, respectively. Changes in the book overdraft position are presented within “Net cash provided by operating activities” within the Consolidated Statements of Cash Flows.</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58"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when they were evaluated for impairment. During the thirty-nine weeks ended November 3, 2019, there were no impairments recognized.</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05"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 The Company entered into three interest rate swap agreements to manage our exposure to interest rate movements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total $350,000 and the fixed rate of interest for all agreements is 2.47% plus the applicable spread. The agreements became effective on February 28, 2019 and mature on August 17, 2022, which is the maturity date of our credit facility. The Company has designated its interest rate swap agreements as a cash flow hedge and accounts for the underlying activity in accordance with hedge accounting. To the extent that the swaps are effective in offsetting the variability of the hedged cash flows, changes in the fair value of the derivatives are not included in earnings but are included in other comprehensive loss. These changes in fair value are subsequently reclassified into net earnings as a component of interest expense as the hedged interest payments are made on our variable rate debt. Cash flows related to the interest rate swaps are included as component of interest expense and in operating activities. Any portion of the fair value of the swaps determined to be ineffective will be recognized currently in earnings.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derivative instruments were outstanding as of the end of the period:</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92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November 3, 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8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tcPr>
          <w:p>
            <w:pPr>
              <w:spacing w:after="0"/>
              <w:rPr>
                <w:sz w:val="18"/>
                <w:szCs w:val="18"/>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Accrued liabilities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4"/>
              </w:rPr>
              <w:t>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activity in accumulated other comprehensive loss related to our interest rate swap derivative instruments:</w:t>
      </w:r>
    </w:p>
    <w:p>
      <w:pPr>
        <w:spacing w:after="0" w:line="22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Thirteen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Thirty-nine</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gridSpan w:val="4"/>
          </w:tcPr>
          <w:p>
            <w:pPr>
              <w:ind w:left="780"/>
              <w:spacing w:after="0"/>
              <w:rPr>
                <w:sz w:val="20"/>
                <w:szCs w:val="20"/>
                <w:color w:val="auto"/>
              </w:rPr>
            </w:pPr>
            <w:r>
              <w:rPr>
                <w:rFonts w:ascii="Arial" w:cs="Arial" w:eastAsia="Arial" w:hAnsi="Arial"/>
                <w:sz w:val="14"/>
                <w:szCs w:val="14"/>
                <w:b w:val="1"/>
                <w:bCs w:val="1"/>
                <w:color w:val="auto"/>
              </w:rPr>
              <w:t>November 3, 2019</w:t>
            </w:r>
          </w:p>
        </w:tc>
        <w:tc>
          <w:tcPr>
            <w:tcW w:w="1560" w:type="dxa"/>
            <w:vAlign w:val="bottom"/>
            <w:gridSpan w:val="4"/>
          </w:tcPr>
          <w:p>
            <w:pPr>
              <w:jc w:val="center"/>
              <w:ind w:left="216"/>
              <w:spacing w:after="0"/>
              <w:rPr>
                <w:sz w:val="20"/>
                <w:szCs w:val="20"/>
                <w:color w:val="auto"/>
              </w:rPr>
            </w:pPr>
            <w:r>
              <w:rPr>
                <w:rFonts w:ascii="Arial" w:cs="Arial" w:eastAsia="Arial" w:hAnsi="Arial"/>
                <w:sz w:val="14"/>
                <w:szCs w:val="14"/>
                <w:b w:val="1"/>
                <w:bCs w:val="1"/>
                <w:color w:val="auto"/>
                <w:w w:val="92"/>
              </w:rPr>
              <w:t>November 3, 2019</w:t>
            </w:r>
          </w:p>
        </w:tc>
      </w:tr>
      <w:tr>
        <w:trPr>
          <w:trHeight w:val="190"/>
        </w:trPr>
        <w:tc>
          <w:tcPr>
            <w:tcW w:w="20" w:type="dxa"/>
            <w:vAlign w:val="bottom"/>
          </w:tcPr>
          <w:p>
            <w:pPr>
              <w:spacing w:after="0"/>
              <w:rPr>
                <w:sz w:val="16"/>
                <w:szCs w:val="16"/>
                <w:color w:val="auto"/>
              </w:rPr>
            </w:pPr>
          </w:p>
        </w:tc>
        <w:tc>
          <w:tcPr>
            <w:tcW w:w="44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shd w:val="clear" w:color="auto" w:fill="CCEEFF"/>
              </w:rPr>
              <w:t>Loss recognized in accumulated other comprehensive loss</w:t>
            </w: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(2,483)</w:t>
            </w: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(10,623)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0"/>
              </w:rPr>
              <w:t>Loss reclassified from accumulated other comprehensive loss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into net earnings (1)</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shd w:val="clear" w:color="auto" w:fill="CCEEFF"/>
              </w:rPr>
              <w:t>Income tax benefit of interest rate swaps in accumulated other</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comprehensive loss</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r>
    </w:tbl>
    <w:p>
      <w:pPr>
        <w:spacing w:after="0" w:line="25" w:lineRule="exact"/>
        <w:rPr>
          <w:sz w:val="20"/>
          <w:szCs w:val="20"/>
          <w:color w:val="auto"/>
        </w:rPr>
      </w:pPr>
    </w:p>
    <w:p>
      <w:pPr>
        <w:ind w:left="640" w:hanging="436"/>
        <w:spacing w:after="0"/>
        <w:tabs>
          <w:tab w:leader="none" w:pos="64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Amounts reclassified into net earnings are included in “Interest expense, net” in the Consolidated Statements of Comprehensive Income.</w:t>
      </w:r>
    </w:p>
    <w:p>
      <w:pPr>
        <w:spacing w:after="0" w:line="20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Amusement revenues are primarily recognized upon utilization of game play credits on power cards purchased and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customers to activate most of the video and redemption games. We have deferred a portion of revenues for the estimated unfulfilled performance obligations related to unused game play credits which we believe our customers will utilize in the future. During the thirteen weeks and thirty-nine weeks ended November 3, 2019, we recognized revenue of approximately $3,000 and $20,000, respectively, related to the amount in deferred amusement revenue as of the end of fiscal 2018.</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thirty-nine weeks ended November 3, 2019, we recognized revenue of approximately $2,800 and $4,100, respectively, related to the amount in deferred gift card revenue as of the end of fiscal 2018, of which approximately $260 and $690 was gift card breakage revenue.</w:t>
      </w:r>
    </w:p>
    <w:p>
      <w:pPr>
        <w:spacing w:after="0" w:line="18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b w:val="1"/>
          <w:bCs w:val="1"/>
          <w:i w:val="1"/>
          <w:iCs w:val="1"/>
          <w:color w:val="auto"/>
        </w:rPr>
        <w:t xml:space="preserve">Stockholders’ equity </w:t>
      </w:r>
      <w:r>
        <w:rPr>
          <w:rFonts w:ascii="Arial" w:cs="Arial" w:eastAsia="Arial" w:hAnsi="Arial"/>
          <w:sz w:val="17"/>
          <w:szCs w:val="17"/>
          <w:color w:val="auto"/>
        </w:rPr>
        <w:t>— Our Board of Directors has approved a share repurchase program under which the Company may repurchase shares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open market, through privately negotiated transactions and through trading plans. The share repurchase program may be modified, suspended or discontinued at any time. On July 12, 2019, the Company increased its share repurchase authorization to $800,000. The share repurchase authorization expires at the end of fiscal 2020. During the thirteen and thirty-nine weeks ended November 3, 2019, the Company purchased 2,425,021 and 7,116,585 shares of common stock at an average cost of $40.07 and $41.78 per share, respectively. As of November 3, 2019, we have approximately $172,820 of share repurchase authorization remaining under the current plan.</w:t>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05"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In our consolidated financial statements, the Company treats shares withheld for tax purposes on behalf of our employees in connection with the vesting of time-based and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thirty-nine weeks ended November 3, 2019, we withheld 11,536 shares of common stock to satisfy $595 of employees’ tax obligations.</w:t>
      </w:r>
    </w:p>
    <w:p>
      <w:pPr>
        <w:spacing w:after="0" w:line="19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b w:val="1"/>
          <w:bCs w:val="1"/>
          <w:i w:val="1"/>
          <w:iCs w:val="1"/>
          <w:color w:val="auto"/>
        </w:rPr>
        <w:t xml:space="preserve">Recently adopted accounting guidance </w:t>
      </w:r>
      <w:r>
        <w:rPr>
          <w:rFonts w:ascii="Arial" w:cs="Arial" w:eastAsia="Arial" w:hAnsi="Arial"/>
          <w:sz w:val="16"/>
          <w:szCs w:val="16"/>
          <w:color w:val="auto"/>
        </w:rPr>
        <w:t>— On February 4, 2019, we adopted Accounting Standard Update (“ASU”) 2016-02, Leases (Topic 842).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new guidance requires the recognition of lease liabilities, representing future minimum lease payments on a discounted basis, and corresponding right-of-use (“ROU”) assets on the balance sheet for most leases. We adopted this standard using a modified retrospective approach, and we elected the transition method that allows us to initially apply the new standard at the adoption date and recognize a cumulative-effect adjustment to the opening balance of retained earnings in the period of adoption. The comparative period information has not been restated.</w:t>
      </w:r>
    </w:p>
    <w:p>
      <w:pPr>
        <w:spacing w:after="0" w:line="1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adoption of ASU 2016-02, we applied the package of practical expedients, which eliminated the requirements to reassess prior conclusions about lease identification, lease classification and initial direct costs. We also elected a short-term lease exception policy and an accounting policy to not separate non-lease components from lease components for our facility leases. The adoption of this guidance resulted in the recognition of ROU assets related to our operating leases of $877,714 and operating lease liabilities of $1,116,252. At the date of adoption, all lease-related balances consisting of $239,416 of deferred occupancy costs (including unfavorable lease liabilities) and $878 of favorable lease assets have been eliminated as an adjustment to ROU assets. We also recorded a cumulative effect reduction to the opening balance of retained earnings of $145, net of tax, from adoption of this guidance. There was no significant impact to our results of operations or cash flows.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 In January 2017, the Financial Accounting Standards Board (“FASB”) issued ASU 2017-04, Intangibles</w:t>
      </w:r>
    </w:p>
    <w:p>
      <w:pPr>
        <w:spacing w:after="0" w:line="46" w:lineRule="exact"/>
        <w:rPr>
          <w:sz w:val="20"/>
          <w:szCs w:val="20"/>
          <w:color w:val="auto"/>
        </w:rPr>
      </w:pPr>
    </w:p>
    <w:p>
      <w:pPr>
        <w:ind w:left="200" w:right="20"/>
        <w:spacing w:after="0" w:line="292" w:lineRule="auto"/>
        <w:rPr>
          <w:sz w:val="20"/>
          <w:szCs w:val="20"/>
          <w:color w:val="auto"/>
        </w:rPr>
      </w:pPr>
      <w:r>
        <w:rPr>
          <w:rFonts w:ascii="Arial" w:cs="Arial" w:eastAsia="Arial" w:hAnsi="Arial"/>
          <w:sz w:val="16"/>
          <w:szCs w:val="16"/>
          <w:color w:val="auto"/>
        </w:rPr>
        <w:t>–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63"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eliminates, modifies and adds disclosure requirements for fair value measurements. The update is effective for fiscal years beginning after December 15, 2019 and for interim periods within those fiscal years, with early adoption permitted. The Company does not anticipate the updated guidance will have a material impact on its consolidated financial statements.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05"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Accrued Liabilities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160" w:type="dxa"/>
            <w:vAlign w:val="bottom"/>
            <w:gridSpan w:val="6"/>
          </w:tcPr>
          <w:p>
            <w:pPr>
              <w:ind w:left="640"/>
              <w:spacing w:after="0"/>
              <w:rPr>
                <w:sz w:val="20"/>
                <w:szCs w:val="20"/>
                <w:color w:val="auto"/>
              </w:rPr>
            </w:pPr>
            <w:r>
              <w:rPr>
                <w:rFonts w:ascii="Arial" w:cs="Arial" w:eastAsia="Arial" w:hAnsi="Arial"/>
                <w:sz w:val="14"/>
                <w:szCs w:val="14"/>
                <w:b w:val="1"/>
                <w:bCs w:val="1"/>
                <w:color w:val="auto"/>
              </w:rPr>
              <w:t>November 3, 2019</w:t>
            </w:r>
          </w:p>
        </w:tc>
        <w:tc>
          <w:tcPr>
            <w:tcW w:w="14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February 3, 2019</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 portion of operating lease liabilities, net (refer to</w:t>
            </w:r>
          </w:p>
        </w:tc>
        <w:tc>
          <w:tcPr>
            <w:tcW w:w="6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4)</w:t>
            </w: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44,666</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Current portion of deferred occupancy costs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Amusement redemption liability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Property taxes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Deferred gift card revenue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insurance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Dividend payable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Sales and use taxes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Current portion of derivatives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Variable rent liabilities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(refer to Note 5)</w:t>
            </w: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8,948</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199,125</w:t>
            </w: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157,164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Debt</w:t>
            </w: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0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November 3, 2019</w:t>
            </w:r>
          </w:p>
        </w:tc>
        <w:tc>
          <w:tcPr>
            <w:tcW w:w="14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February 3, 2019</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facility - revolver</w:t>
            </w: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386,000</w:t>
            </w:r>
          </w:p>
        </w:tc>
        <w:tc>
          <w:tcPr>
            <w:tcW w:w="4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 term</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Debt issuance costs - term</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640,384</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November 3, 2019, we had letters of credit outstanding of $8,147 and $105,853 of borrowing available under our revolving credit facility.</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one-month LIBOR plus a spread ranging from 1.25% to 2.00% for the term loans and the revolving loans. The interest rate at November 3, 2019 was based on one-month LIBOR plus 1.50%. As of November 3, 2019, the Company’s weighted average interest rate on outstanding borrowings was 4.03%, including the impact of the interest rate swap agreements. The weighted average effective rate includes amortization of debt issuance costs, commitment and other fees.</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05"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November 3, 2019, we were in compliance with our restrictive and financial ratio covenants of our credit facility.</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ectPr>
          <w:pgSz w:w="11900" w:h="16838" w:orient="portrait"/>
          <w:cols w:equalWidth="0" w:num="1">
            <w:col w:w="11220"/>
          </w:cols>
          <w:pgMar w:left="240" w:top="40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Interest expense on credit facilities</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Amortization of issuance cost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Capitalized interest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Change in fair value of interest rate cap</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interest expense, net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Thirteen Weeks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Thirteen Weeks</w:t>
            </w: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19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November 3, 2019</w:t>
            </w: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7"/>
              </w:rPr>
              <w:t>November 4, 2018</w:t>
            </w:r>
          </w:p>
        </w:tc>
      </w:tr>
      <w:tr>
        <w:trPr>
          <w:trHeight w:val="195"/>
        </w:trPr>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6,095</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-865505</wp:posOffset>
            </wp:positionV>
            <wp:extent cx="531685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6855" cy="1460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-582295</wp:posOffset>
            </wp:positionV>
            <wp:extent cx="531685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6855" cy="13716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-307975</wp:posOffset>
            </wp:positionV>
            <wp:extent cx="531685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980" w:space="720"/>
            <w:col w:w="4520"/>
          </w:cols>
          <w:pgMar w:left="240" w:top="405" w:right="439" w:bottom="1440" w:gutter="0" w:footer="0" w:header="0"/>
          <w:type w:val="continuous"/>
        </w:sect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140" w:type="dxa"/>
            <w:vAlign w:val="bottom"/>
            <w:gridSpan w:val="4"/>
          </w:tcPr>
          <w:p>
            <w:pPr>
              <w:ind w:left="1160"/>
              <w:spacing w:after="0"/>
              <w:rPr>
                <w:sz w:val="20"/>
                <w:szCs w:val="20"/>
                <w:color w:val="auto"/>
              </w:rPr>
            </w:pPr>
            <w:r>
              <w:rPr>
                <w:rFonts w:ascii="Arial" w:cs="Arial" w:eastAsia="Arial" w:hAnsi="Arial"/>
                <w:sz w:val="14"/>
                <w:szCs w:val="14"/>
                <w:b w:val="1"/>
                <w:bCs w:val="1"/>
                <w:color w:val="auto"/>
              </w:rPr>
              <w:t>Thirty-nine Weeks</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9"/>
              </w:rPr>
              <w:t>Thirty-nine Weeks</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3, 2019</w:t>
            </w: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4, 2018</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Capitalized interest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14,771</w:t>
            </w:r>
          </w:p>
        </w:tc>
        <w:tc>
          <w:tcPr>
            <w:tcW w:w="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 Contingent rent and other variable rent are included as variable lease costs in the table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expense consisted of the following:</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Thirteen Weeks</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9"/>
              </w:rPr>
              <w:t>Thirty-nine Weeks</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180" w:type="dxa"/>
            <w:vAlign w:val="bottom"/>
            <w:gridSpan w:val="4"/>
          </w:tcPr>
          <w:p>
            <w:pPr>
              <w:ind w:left="2180"/>
              <w:spacing w:after="0"/>
              <w:rPr>
                <w:sz w:val="20"/>
                <w:szCs w:val="20"/>
                <w:color w:val="auto"/>
              </w:rPr>
            </w:pPr>
            <w:r>
              <w:rPr>
                <w:rFonts w:ascii="Arial" w:cs="Arial" w:eastAsia="Arial" w:hAnsi="Arial"/>
                <w:sz w:val="14"/>
                <w:szCs w:val="14"/>
                <w:b w:val="1"/>
                <w:bCs w:val="1"/>
                <w:color w:val="auto"/>
              </w:rPr>
              <w:t>November 3, 2019</w:t>
            </w: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3, 2019</w:t>
            </w: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w:t>
            </w:r>
          </w:p>
        </w:tc>
        <w:tc>
          <w:tcPr>
            <w:tcW w:w="2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Variable</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2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Store lease expense is included in “Other store operating expenses” or “Pre-opening costs,” accordingly, and corporate lease expense is included in “General and administrative expenses” in the Consolidated Statements of Comprehensive Income.</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Operating leases are included within the “Operating lease right of use assets”, “Accrued liabilities” and “Operating lease liabilities” in the Consolidated Balance Sheets. Operating lease ROU assets and lease liabilities are recognized at commencement date based on the present value of lease payments over the lease term and include both facility and equipment leases. The operating lease ROU asset is reduced by leasehold improvement incentives as the incentives are earned. As of November 3, 2019, the balance of leasehold improvement incentive receivables was $5,907 and is reflected as a reduction of the current portion of operating lease liabilities. The Company uses its incremental borrowing rate at commencement date in determining the present value of lease payments. The Company uses judgment in determining its incremental borrowing rate, which includes selecting a yield curve based on a hypothetical credit rating.</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05"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information related to leases is as follows: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80" w:type="dxa"/>
            <w:vAlign w:val="bottom"/>
            <w:gridSpan w:val="6"/>
          </w:tcPr>
          <w:p>
            <w:pPr>
              <w:ind w:left="740"/>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8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rPr>
              <w:t>The maturities of our operating lease liabilities are as follows as of November 3, 2019:</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1,436,809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1,955,707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Interest</w:t>
            </w: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730,362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discounted operating lease liabilities</w:t>
            </w:r>
          </w:p>
        </w:tc>
        <w:tc>
          <w:tcPr>
            <w:tcW w:w="78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1,225,345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Operating lease payments in the table above includes minimum lease payments for six future sites for which the lease has commenced, and the stores are expected to open in fiscal 2019 and the first half of fiscal 2020. Operating lease payments exclude minimum lease payments for seventeen executed facility leases for which we have not yet taken possession.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February 3, 2019, aggregate minimum annual lease payments under facility and equipment operating leases were as follows:</w:t>
      </w:r>
    </w:p>
    <w:p>
      <w:pPr>
        <w:spacing w:after="0" w:line="24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122,501</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2020</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117,908</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111,642</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2022</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104,195</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100,779</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1,229,803</w:t>
            </w:r>
          </w:p>
        </w:tc>
        <w:tc>
          <w:tcPr>
            <w:tcW w:w="80" w:type="dxa"/>
            <w:vAlign w:val="bottom"/>
            <w:tcBorders>
              <w:bottom w:val="single" w:sz="8" w:color="CCEEFF"/>
            </w:tcBorders>
          </w:tcPr>
          <w:p>
            <w:pPr>
              <w:spacing w:after="0"/>
              <w:rPr>
                <w:sz w:val="18"/>
                <w:szCs w:val="18"/>
                <w:color w:val="auto"/>
              </w:rPr>
            </w:pPr>
          </w:p>
        </w:tc>
      </w:tr>
      <w:tr>
        <w:trPr>
          <w:trHeight w:val="21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1,786,828</w:t>
            </w:r>
          </w:p>
        </w:tc>
        <w:tc>
          <w:tcPr>
            <w:tcW w:w="8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June 30, 2017, we agreed to settle litigation related to alleged violations of the Employee Retirement Income Security Act. The settlement agreement was preliminarily approved by the court on December 7, 2018 with final approval on July 19, 2019. To cover the net costs of settlement, including payment to any opt-in members and class attorneys, as well as related settlement administration costs, we recorded a net charge of $2,550 (representing $7,500 of gross settlement costs less $4,950 of insurance recoveries) during fiscal 2017. During the third quarter of fiscal 2019, all funds required to be paid under the final settlement and release agreement were remitted to a settlement fund as directed by the court.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405"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With respect to these California Cases, where the Company has determined that a loss is reasonably possible but not probable, the Company is unable to estimate the amount or range of the reasonably possible loss due to the inherent difficulties of predicting the outcome of uncertainties regarding legal proceedings. The Company’s assessments are based on estimates and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05"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Earnings per share</w:t>
      </w:r>
    </w:p>
    <w:p>
      <w:pPr>
        <w:spacing w:after="0" w:line="10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235,368 and 11,222 in the thirteen weeks ended November 3, 2019 and November 4, 2018, respectively, and 134,450 and 60,154 in the thirty-nine weeks ended November 3, 2019 and November 4, 2018, respectively.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Thirteen Weeks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November 3, 2019</w:t>
            </w:r>
          </w:p>
        </w:tc>
        <w:tc>
          <w:tcPr>
            <w:tcW w:w="6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November 4, 2018</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8"/>
              </w:rPr>
              <w:t>Weighted average number of common shares outstanding</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30,980,878</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38,892,288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Weighted average dilutive impact of equity-based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963,360</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and common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equivalent shares outstanding (diluted)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31,515,454</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39,855,648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w w:val="94"/>
              </w:rPr>
              <w:t>Thirty-nine Weeks</w:t>
            </w:r>
          </w:p>
        </w:tc>
        <w:tc>
          <w:tcPr>
            <w:tcW w:w="1880" w:type="dxa"/>
            <w:vAlign w:val="bottom"/>
            <w:gridSpan w:val="4"/>
          </w:tcPr>
          <w:p>
            <w:pPr>
              <w:ind w:left="660"/>
              <w:spacing w:after="0"/>
              <w:rPr>
                <w:sz w:val="20"/>
                <w:szCs w:val="20"/>
                <w:color w:val="auto"/>
              </w:rPr>
            </w:pPr>
            <w:r>
              <w:rPr>
                <w:rFonts w:ascii="Arial" w:cs="Arial" w:eastAsia="Arial" w:hAnsi="Arial"/>
                <w:sz w:val="14"/>
                <w:szCs w:val="14"/>
                <w:b w:val="1"/>
                <w:bCs w:val="1"/>
                <w:color w:val="auto"/>
                <w:w w:val="99"/>
              </w:rPr>
              <w:t>Thirty-nine Weeks</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November 3, 2019</w:t>
            </w:r>
          </w:p>
        </w:tc>
        <w:tc>
          <w:tcPr>
            <w:tcW w:w="6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November 4, 2018</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75,281</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8"/>
              </w:rPr>
              <w:t>Weighted average number of common shares outstanding</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34,405,503</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39,314,271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Weighted average dilutive impact of equity-based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636,808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942,960</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and common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equivalent shares outstanding (diluted)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35,042,311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40,257,231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432"/>
        </w:trPr>
        <w:tc>
          <w:tcPr>
            <w:tcW w:w="4920" w:type="dxa"/>
            <w:vAlign w:val="bottom"/>
            <w:gridSpan w:val="2"/>
          </w:tcPr>
          <w:p>
            <w:pPr>
              <w:jc w:val="right"/>
              <w:ind w:right="55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05"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Share-Based Compensation</w:t>
      </w:r>
    </w:p>
    <w:p>
      <w:pPr>
        <w:spacing w:after="0" w:line="10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and restricted stock are included in general and administrative expenses and were as follows: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November 3, 2019</w:t>
            </w:r>
          </w:p>
        </w:tc>
        <w:tc>
          <w:tcPr>
            <w:tcW w:w="178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w w:val="92"/>
              </w:rPr>
              <w:t>November 4, 2018</w:t>
            </w:r>
          </w:p>
        </w:tc>
        <w:tc>
          <w:tcPr>
            <w:tcW w:w="68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November 3, 2019</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November 4, 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and restricted stock</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6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6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share-based compensation expense</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6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6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stock option awards during the thirty-nine weeks ended November 3, 2019 were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2014 Stock Incentive Plan</w:t>
            </w:r>
          </w:p>
        </w:tc>
        <w:tc>
          <w:tcPr>
            <w:tcW w:w="196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of 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of Options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1,134,218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359,984</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222,266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52.04</w:t>
            </w:r>
          </w:p>
        </w:tc>
        <w:tc>
          <w:tcPr>
            <w:tcW w:w="4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49.29</w:t>
            </w:r>
          </w:p>
        </w:tc>
        <w:tc>
          <w:tcPr>
            <w:tcW w:w="4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November 3,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1,332,440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301,600</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Exercisable at November 3,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301,600</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total intrinsic value of options exercised during the thirty-nine weeks ended November 3, 2019 was $2,736. The unrecognized expense related to our stock option plan totaled approximately $3,056 as of November 3, 2019 and will be expensed over a weighted average period of 2.2 years.</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Transactions related to time-based and performance-based RSU’s and restricted stock during the thirty-nine weeks ended November 3, 2019 were as follows:</w:t>
      </w:r>
    </w:p>
    <w:p>
      <w:pPr>
        <w:spacing w:after="0" w:line="15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3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220,830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72,768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Vested</w:t>
            </w:r>
          </w:p>
        </w:tc>
        <w:tc>
          <w:tcPr>
            <w:tcW w:w="4000" w:type="dxa"/>
            <w:vAlign w:val="bottom"/>
            <w:gridSpan w:val="3"/>
          </w:tcPr>
          <w:p>
            <w:pPr>
              <w:jc w:val="right"/>
              <w:ind w:right="220"/>
              <w:spacing w:after="0"/>
              <w:rPr>
                <w:sz w:val="20"/>
                <w:szCs w:val="20"/>
                <w:color w:val="auto"/>
              </w:rPr>
            </w:pPr>
            <w:r>
              <w:rPr>
                <w:rFonts w:ascii="Arial" w:cs="Arial" w:eastAsia="Arial" w:hAnsi="Arial"/>
                <w:sz w:val="18"/>
                <w:szCs w:val="18"/>
                <w:color w:val="auto"/>
              </w:rPr>
              <w:t>(102,405)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Outstanding at November 3, 2019</w:t>
            </w:r>
          </w:p>
        </w:tc>
        <w:tc>
          <w:tcPr>
            <w:tcW w:w="30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20" w:type="dxa"/>
            <w:vAlign w:val="bottom"/>
          </w:tcPr>
          <w:p>
            <w:pPr>
              <w:jc w:val="right"/>
              <w:ind w:right="209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05"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$5,751 as of November 3, 2019 and will be expensed over a weighted average period of 2.1 years.</w:t>
      </w:r>
    </w:p>
    <w:p>
      <w:pPr>
        <w:spacing w:after="0" w:line="190"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During the thirty-nine weeks ended November 3, 2019, and November 4, 2018, excess tax benefits of $912 and $4,555, respectively, were recognized as a benefit in the “Provision for income taxes” in the Consolidated Statement of Comprehensive Income and classified as a source in operating activities in the Consolidated Statement of Cash Flows.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05"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2, 2019.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2019.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Our stores average 41,000 square feet, range in size between 16,000 and 66,000 square feet and are open seven days a week, with hours of operation typically from 11:30 a.m. to midnight on Sunday through Thursday and 11:30 a.m. to 2:00 a.m. on Friday and Saturday.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near-term strategies are as follows:</w:t>
      </w:r>
    </w:p>
    <w:p>
      <w:pPr>
        <w:spacing w:after="0" w:line="117" w:lineRule="exact"/>
        <w:rPr>
          <w:sz w:val="20"/>
          <w:szCs w:val="20"/>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Revitalize our existing stores</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deeper guest engagement</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disciplined cost management</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high-return new stores</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capital to shareholders</w:t>
      </w:r>
    </w:p>
    <w:p>
      <w:pPr>
        <w:spacing w:after="0" w:line="225"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Our revitalization of existing stores includes the re-energizing of our dining rooms through the installation of “Wow Walls,” LED television displays that create high-energy, contemporary, sports and entertainment-oriented dining areas. This cutting-edge visual technology, which has been deployed across 37 stores at the end of the third quarter of fiscal 2019, is designed to drive greater traffic and food and beverage penetration. We will continue to invest in food, beverage, amusement and viewing innovations to enhance our offerings and the guest experience.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focused on building deeper guest engagement through initiatives such as the nation-wide launch of the Dave &amp; Buster’s mobile app, which we launched in the third quarter of fiscal 2019. The Company’s investments in enhanced data analytics will provide valuable customer insights, actionable intelligence and ultimately drive deeper engagements with existing and new customers, by enabling easier access to our product offerings, limited time offers and targeted promotions.</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05"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firstLine="441"/>
        <w:spacing w:after="0" w:line="277" w:lineRule="auto"/>
        <w:rPr>
          <w:sz w:val="20"/>
          <w:szCs w:val="20"/>
          <w:color w:val="auto"/>
        </w:rPr>
      </w:pPr>
      <w:r>
        <w:rPr>
          <w:rFonts w:ascii="Arial" w:cs="Arial" w:eastAsia="Arial" w:hAnsi="Arial"/>
          <w:sz w:val="17"/>
          <w:szCs w:val="17"/>
          <w:color w:val="auto"/>
        </w:rPr>
        <w:t>We utilize disciplined cost management, including G&amp;A savings and operational efficiencies to fuel growth investments. The Company has identified future cost savings opportunities that we intend to pursue in the near-term. We intend to utilize a significant portion of these cost reductions to fund store technology, data analytics and digital marketing investments to fuel growth in comparable store sales.</w:t>
      </w:r>
    </w:p>
    <w:p>
      <w:pPr>
        <w:spacing w:after="0" w:line="17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invest in highest-return new store locations to strengthen the Dave &amp; Buster’s brand and portfolio over the long term. During the first thirty-nine weeks of fiscal 2019, the Company opened fourteen new stores, compared to twelve new store openings in the comparable 2018 period. We currently anticipate opening sixteen new stores in fiscal 2019. As part of this strategy, we are actively evaluating new initiatives related to store format. Our efforts include rightsizing the square footage of new stores to match market sales potential and evaluating the pace of new store openings to enhance focus on both new stores and existing store revitalization.</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robust initiatives to return capital to shareholders encompasses both share repurchases and dividend payments. During the first three quarters of fiscal 2019 we increased our total share repurchase authorization to $800 million and executed additional share repurchases totaling $297,317. We also declared dividends totaling $15,724 during the same period.</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Although we will focus our efforts on the near-term priorities, we will continue to evaluate other opportunities as part of our ongoing strategic planning process.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62" w:lineRule="exact"/>
        <w:rPr>
          <w:sz w:val="20"/>
          <w:szCs w:val="20"/>
          <w:color w:val="auto"/>
        </w:rPr>
      </w:pPr>
    </w:p>
    <w:p>
      <w:pPr>
        <w:jc w:val="both"/>
        <w:ind w:left="200" w:right="60" w:firstLine="441"/>
        <w:spacing w:after="0" w:line="340" w:lineRule="auto"/>
        <w:rPr>
          <w:sz w:val="20"/>
          <w:szCs w:val="20"/>
          <w:color w:val="auto"/>
        </w:rPr>
      </w:pPr>
      <w:r>
        <w:rPr>
          <w:rFonts w:ascii="Arial" w:cs="Arial" w:eastAsia="Arial" w:hAnsi="Arial"/>
          <w:sz w:val="15"/>
          <w:szCs w:val="15"/>
          <w:b w:val="1"/>
          <w:bCs w:val="1"/>
          <w:i w:val="1"/>
          <w:iCs w:val="1"/>
          <w:color w:val="auto"/>
        </w:rPr>
        <w:t xml:space="preserve">Comparable store sales. </w:t>
      </w:r>
      <w:r>
        <w:rPr>
          <w:rFonts w:ascii="Arial" w:cs="Arial" w:eastAsia="Arial" w:hAnsi="Arial"/>
          <w:sz w:val="15"/>
          <w:szCs w:val="15"/>
          <w:color w:val="auto"/>
        </w:rPr>
        <w:t>Comparable store sales are a year-over-year comparison of sales at stores open at the end of the period which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99 stores as of November 3, 2019.</w:t>
      </w:r>
    </w:p>
    <w:p>
      <w:pPr>
        <w:spacing w:after="0" w:line="13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November 4, 2018 and November 3, 2019, we opened seventeen new stores, nine of which were in new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9"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05"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9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5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operate on a 52 or 53-week fiscal year that ends on the Sunday after the Saturday closest to January 31. Each quarterly period has 13 weeks, except in a 53-week year when the fourth quarter has 14 weeks. All references to the third quarter of 2019 relate to the 13-week period ended November 3, 2019. All references to the third quarter of 2018 relate to the 13-week period ended November 4, 2018. Fiscal 2019 and fiscal 2018 consist of 52 weeks. All dollar amounts are presented in thousands, unless otherwise noted, except share and per share amounts.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05"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Thirteen Weeks Ended November 3, 2019 Compared to Thirteen Weeks Ended November 4, 2018</w:t>
      </w:r>
    </w:p>
    <w:p>
      <w:pPr>
        <w:spacing w:after="0" w:line="10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34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Thirteen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November 3, 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November 4, 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124,637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118,807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174,715</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163,332</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299,352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282,139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33,384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31,163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52,180</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48,734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110,713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96,267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33,340</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30,574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292,853</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266,667</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(benefit)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Comparable stores open at end of period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260" w:hanging="436"/>
        <w:spacing w:after="0" w:line="207" w:lineRule="auto"/>
        <w:tabs>
          <w:tab w:leader="none" w:pos="6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Our store in Duluth (Atlanta), Georgia permanently closed on March 3, 2019 as we did not exercise the renewal option and has been excluded from fiscal 2019 store counts and comparable store sales.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240" w:top="405"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Thirteen Weeks</w:t>
            </w:r>
          </w:p>
        </w:tc>
        <w:tc>
          <w:tcPr>
            <w:tcW w:w="20" w:type="dxa"/>
            <w:vAlign w:val="bottom"/>
          </w:tcPr>
          <w:p>
            <w:pPr>
              <w:spacing w:after="0"/>
              <w:rPr>
                <w:sz w:val="14"/>
                <w:szCs w:val="14"/>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194"/>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November 3, 2019</w:t>
            </w: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$11,856</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33,340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30,574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39,839</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46,046</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on asset disposal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Pre-opening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4,740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Adjusted EBITDA</w:t>
            </w:r>
          </w:p>
        </w:tc>
        <w:tc>
          <w:tcPr>
            <w:tcW w:w="20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46,290</w:t>
            </w:r>
          </w:p>
        </w:tc>
        <w:tc>
          <w:tcPr>
            <w:tcW w:w="3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52,669</w:t>
            </w:r>
          </w:p>
        </w:tc>
        <w:tc>
          <w:tcPr>
            <w:tcW w:w="3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 w:lineRule="exact"/>
        <w:rPr>
          <w:sz w:val="20"/>
          <w:szCs w:val="20"/>
          <w:color w:val="auto"/>
        </w:rPr>
      </w:pPr>
    </w:p>
    <w:p>
      <w:pPr>
        <w:ind w:left="640" w:hanging="436"/>
        <w:spacing w:after="0"/>
        <w:tabs>
          <w:tab w:leader="none" w:pos="6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64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Thirteen Weeks</w:t>
            </w:r>
          </w:p>
        </w:tc>
        <w:tc>
          <w:tcPr>
            <w:tcW w:w="140" w:type="dxa"/>
            <w:vAlign w:val="bottom"/>
          </w:tcPr>
          <w:p>
            <w:pPr>
              <w:spacing w:after="0"/>
              <w:rPr>
                <w:sz w:val="14"/>
                <w:szCs w:val="14"/>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197"/>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November 3, 2019</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$15,472</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16,210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15,043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33,340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4,740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60,294</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65,829</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form landlords”).</w:t>
      </w:r>
    </w:p>
    <w:p>
      <w:pPr>
        <w:spacing w:after="0" w:line="15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Thirteen Weeks</w:t>
            </w:r>
          </w:p>
        </w:tc>
        <w:tc>
          <w:tcPr>
            <w:tcW w:w="80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00" w:type="dxa"/>
            <w:vAlign w:val="bottom"/>
            <w:gridSpan w:val="3"/>
          </w:tcPr>
          <w:p>
            <w:pPr>
              <w:ind w:left="1780"/>
              <w:spacing w:after="0"/>
              <w:rPr>
                <w:sz w:val="20"/>
                <w:szCs w:val="20"/>
                <w:color w:val="auto"/>
              </w:rPr>
            </w:pPr>
            <w:r>
              <w:rPr>
                <w:rFonts w:ascii="Arial" w:cs="Arial" w:eastAsia="Arial" w:hAnsi="Arial"/>
                <w:sz w:val="14"/>
                <w:szCs w:val="14"/>
                <w:b w:val="1"/>
                <w:bCs w:val="1"/>
                <w:color w:val="auto"/>
                <w:w w:val="92"/>
              </w:rPr>
              <w:t>November 3, 2019</w:t>
            </w:r>
          </w:p>
        </w:tc>
        <w:tc>
          <w:tcPr>
            <w:tcW w:w="1980" w:type="dxa"/>
            <w:vAlign w:val="bottom"/>
            <w:gridSpan w:val="4"/>
          </w:tcPr>
          <w:p>
            <w:pPr>
              <w:ind w:left="800"/>
              <w:spacing w:after="0"/>
              <w:rPr>
                <w:sz w:val="20"/>
                <w:szCs w:val="20"/>
                <w:color w:val="auto"/>
              </w:rPr>
            </w:pPr>
            <w:r>
              <w:rPr>
                <w:rFonts w:ascii="Arial" w:cs="Arial" w:eastAsia="Arial" w:hAnsi="Arial"/>
                <w:sz w:val="14"/>
                <w:szCs w:val="14"/>
                <w:b w:val="1"/>
                <w:bCs w:val="1"/>
                <w:color w:val="auto"/>
                <w:w w:val="97"/>
              </w:rPr>
              <w:t>November 4, 2018</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1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52,147</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Games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1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capital additions</w:t>
            </w:r>
          </w:p>
        </w:tc>
        <w:tc>
          <w:tcPr>
            <w:tcW w:w="1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60,803</w:t>
            </w:r>
          </w:p>
        </w:tc>
        <w:tc>
          <w:tcPr>
            <w:tcW w:w="8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55,477</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Payments from landlords</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7,240</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2,552</w:t>
            </w:r>
          </w:p>
        </w:tc>
        <w:tc>
          <w:tcPr>
            <w:tcW w:w="80" w:type="dxa"/>
            <w:vAlign w:val="bottom"/>
            <w:shd w:val="clear" w:color="auto" w:fill="CCEEFF"/>
          </w:tcPr>
          <w:p>
            <w:pPr>
              <w:spacing w:after="0"/>
              <w:rPr>
                <w:sz w:val="17"/>
                <w:szCs w:val="17"/>
                <w:color w:val="auto"/>
              </w:rPr>
            </w:pP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0" w:type="dxa"/>
            <w:vAlign w:val="bottom"/>
          </w:tcPr>
          <w:p>
            <w:pPr>
              <w:jc w:val="right"/>
              <w:ind w:right="939"/>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05"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3"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Total revenues increased $17,213, or 6.1%, to $299,352 in the third quarter of fiscal 2019 compared to total revenues of $282,139 in the third quarter of fiscal 2018. For the thirteen weeks ended November 3, 2019, we derived 27.9% of our total revenue from food sales, 13.7% from beverage sales, 57.4% from amusement sales and 1.0% from other sources. For the thirteen weeks ended November 4, 2018, we derived 28.3% of our total revenue from food sales, 13.8% from beverage sales, 57.1% from amusement sales and 0.8% from other sources.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increase in revenues for the third quarter of fiscal 2019 compared to the third quarter of 2018 were from the following sources:</w:t>
      </w: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(9,718)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Non-comparable stores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26,230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17,213</w:t>
            </w:r>
          </w:p>
        </w:tc>
        <w:tc>
          <w:tcPr>
            <w:tcW w:w="8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Comparable store revenue decreased $9,718, or 4.1%, in the third quarter of fiscal 2019 compared to the third quarter of fiscal 2018. Comparable store revenue compared to prior year was negatively impacted by sales transfers to new stores that we opened in markets where we operate and increased competitive pressure. Comparable walk-in revenues, which accounted for 90.9% of comparable store revenue for the third quarter of fiscal 2019, decreased 4.6% compared to the similar period in fiscal 2018. Comparable store special events revenues, which accounted for 9.1% of comparable store revenue for the third quarter of fiscal 2019, increased 0.7% compared to the third quarter of fiscal 2018.</w:t>
      </w:r>
    </w:p>
    <w:p>
      <w:pPr>
        <w:spacing w:after="0" w:line="1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Food sales at comparable stores decreased by $3,228, or 4.9%, to $63,042 in the third quarter of fiscal 2019 from $66,270 in the third quarter of fiscal 2018. Beverage sales at comparable stores decreased by $1,160, or 3.6%, to $31,278 in the third quarter of fiscal 2019 from $32,438 in the 2018 comparison period. Comparable store amusement and other revenues in the third quarter of fiscal 2019 decreased by $5,330, or 3.9%, to $130,510 from $135,840 in the comparable thirteen weeks of fiscal 2018. The decrease in amusement sales was due in part to lower customer volumes partially offset by various pricing initiatives in the current year, including an increase in new card fees with the launch of our RFID power card in the first quarter of fiscal 2019.</w:t>
      </w:r>
    </w:p>
    <w:p>
      <w:pPr>
        <w:spacing w:after="0" w:line="19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Non-comparable store revenue increased $26,230 for the third quarter of fiscal 2019 compared to the third quarter of fiscal 2018. The increase in non-comparable store revenue was primarily driven by 212 additional operating store weeks contributed by our thirty-five non-comparable stores, seventeen of which opened subsequent to the third quarter of fiscal 2018, partially offset by a decrease in revenue due to the closure of our store in Duluth (Atlanta), Georgia on March 3,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The total cost of products was $52,180 for the third quarter of fiscal 2019 and $48,734 for the third quarter of fiscal 2018. The total cost of products as a percentage of total revenues was 17.4% and 17.3% for the third quarter of fiscal 2019 and fiscal 2018, respectively.</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Cost of food and beverage products increased to $33,384 in the third quarter of fiscal 2019 compared to $31,163 for the third quarter of fiscal 2018 due primarily to the increased sales volume related to new store openings. Cost of food and beverage products, as a percentage of food and beverage revenues, increased 60 basis points to 26.8% for the third quarter of fiscal 2019 from 26.2% for the third quarter of fiscal 2018. The unfavorable year-over-year increase in food and beverage costs as a percentage of revenue was primarily driven by increased poultry costs in the current year due to additional weeks featuring our “All You Can Eat” wings and higher costs due to our shift to fresh juices at the bar.</w:t>
      </w:r>
    </w:p>
    <w:p>
      <w:pPr>
        <w:spacing w:after="0" w:line="173"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Cost of amusement and other increased to $18,796 in the third quarter of fiscal 2019 compared to $17,571 in the third quarter of fiscal 2018. The costs of amusement and other, as a percentage of amusement and other revenues, remained unchanged at 10.8% for both the third quarter of fiscal 2019 and the third quarter of fiscal 2018. Increases in cost of amusements due to recently imposed tariffs were largely offset by price increases in WIN!.</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05"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03"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Total operating payroll and benefits increased by $4,856, or 6.8%, to $76,165 in the third quarter of fiscal 2019 compared to $71,309 in the third quarter of fiscal 2018. This increase was primarily due to labor associated with the additional operating store weeks of our non-comparable stores. The total cost of operating payroll and benefits, as a percentage of total revenues, increased 10 basis points to 25.4% in the third quarter of fiscal 2019 compared to 25.3% for the third quarter of fiscal 2018. This increase was due to margin pressure on management labor due to decreased comparable store sales offset by hourly labor improvements compared to the prior year.</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Other store operating expenses increased by $14,446, or 15.0%, to $110,713 in the third quarter of fiscal 2019 compared to $96,267 in the third quarter of fiscal 2018, primarily due to new store openings. Other store operating expenses as a percentage of total revenues increased 300 basis points to 37.1% in the third quarter of fiscal 2019 compared to 34.1% in the third quarter of fiscal 2018. This increase was due primarily to higher occupancy costs associated with our non-comparable stores and the deleveraging impact of lower comparable store sales, the absence of $2,195 of business interruption insurance recoveries recognized during the third quarter of fiscal 2018 and additional legal and marketing costs in the current quarter. These cost increases were partially offset by lower maintenance costs.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General and administrative expenses increased by $1,167, or 7.8%, to $16,210 in the third quarter of fiscal 2019 compared to $15,043 in the third quarter of fiscal 2018. The increase in general and administrative expenses was primarily driven by increased professional services costs partially offset by lower labor costs, mainly incentive compensation, at our corporate headquarters. General and administrative expenses, as a percentage of total revenues increased 10 basis points to 5.4% in the third quarter of fiscal 2019 compared to 5.3% in the third quarter of fiscal 2018.</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Depreciation and amortization expense increased by $2,766 or 9.0%, to $33,340 in the third quarter of fiscal 2019 compared to $30,574 in the third quarter of fiscal 2018. Increased depreciation due to our 2018 and 2019 capital expenditures for new stores, operating initiatives, games and maintenance capital, was partially offset by other assets reaching the end of their depreciable lives.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Pre-opening costs decreased by $495 to $4,245 in the third quarter of fiscal 2019 compared to $4,740 in the third quarter of fiscal 2018</w:t>
      </w:r>
      <w:r>
        <w:rPr>
          <w:rFonts w:ascii="Arial" w:cs="Arial" w:eastAsia="Arial" w:hAnsi="Arial"/>
          <w:sz w:val="17"/>
          <w:szCs w:val="17"/>
          <w:b w:val="1"/>
          <w:bCs w:val="1"/>
          <w:i w:val="1"/>
          <w:iCs w:val="1"/>
          <w:color w:val="auto"/>
        </w:rPr>
        <w:t>.</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Interest expense, net increased by $2,789 to $6,110 in the third quarter of fiscal 2019 compared to $3,321 in the third quarter of fiscal 2018 due primarily to an increase in average outstanding debt.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income tax benefit of $93 in the third quarter of fiscal 2019 was driven primarily by a reduction in our estimated annual effective tax rate. The lower estimated effective tax rate is driven by the impact of lower projected state tax expense and the favorable rate impact of tax credits. During the third quarter of fiscal 2018, the effective tax rate of 2.4% was favorably impacted by excess tax benefits associated with share-based compensation, which had little impact in the third quarter of fiscal 2019.</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05"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Thirty-nine Weeks Ended November 3, 2019 Compared to Thirty-nine Weeks Ended November 4, 2018</w:t>
      </w:r>
    </w:p>
    <w:p>
      <w:pPr>
        <w:spacing w:after="0" w:line="10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Thirty-nine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November 3, 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November 4, 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410,779</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388,804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596,754</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544,713</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1,007,533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933,517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8"/>
              </w:rPr>
              <w:t>Cost of food and beverage (as a percentage of food and beverage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109,072</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101,181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1"/>
              </w:rPr>
              <w:t>Cost of amusement and other (as a percentage of amusement and other revenues)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173,528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161,429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217,939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321,334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284,432</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97,226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87,129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897,070</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813,511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110,600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22,815</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Comparable stores open at end of period (1)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260" w:hanging="436"/>
        <w:spacing w:after="0" w:line="207" w:lineRule="auto"/>
        <w:tabs>
          <w:tab w:leader="none" w:pos="6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Our store in Duluth (Atlanta), Georgia permanently closed on March 3, 2019 as we did not exercise the renewal option and has been excluded from fiscal 2019 store counts and comparable store sales.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405"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Thirty-nine Weeks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Thirty-nine Weeks</w:t>
            </w: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3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2"/>
              </w:rPr>
              <w:t>November 3, 2019</w:t>
            </w: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November 4,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87,785</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14,771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97,226</w:t>
            </w: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87,129</w:t>
            </w: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207,689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207,135</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 on asset disposal</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Pre-opening costs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15,970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Adjusted EBITDA</w:t>
            </w:r>
          </w:p>
        </w:tc>
        <w:tc>
          <w:tcPr>
            <w:tcW w:w="19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230,456</w:t>
            </w: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230,967</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2" w:lineRule="exact"/>
        <w:rPr>
          <w:sz w:val="20"/>
          <w:szCs w:val="20"/>
          <w:color w:val="auto"/>
        </w:rPr>
      </w:pPr>
    </w:p>
    <w:p>
      <w:pPr>
        <w:ind w:left="640" w:hanging="436"/>
        <w:spacing w:after="0"/>
        <w:tabs>
          <w:tab w:leader="none" w:pos="6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64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Thirty-nine Weeks</w:t>
            </w:r>
          </w:p>
        </w:tc>
        <w:tc>
          <w:tcPr>
            <w:tcW w:w="14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Thirty-nine Weeks</w:t>
            </w: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3, 2019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November 4,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$ 110,463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$120,006</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49,047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45,461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87,129</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Pre-opening costs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15,970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17,121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272,706</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269,717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reflects accrual-based capital additions. Capital additions do not include any reductions for Payments from landlords.</w:t>
      </w:r>
    </w:p>
    <w:p>
      <w:pPr>
        <w:spacing w:after="0" w:line="21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40" w:type="dxa"/>
            <w:vAlign w:val="bottom"/>
            <w:gridSpan w:val="3"/>
          </w:tcPr>
          <w:p>
            <w:pPr>
              <w:ind w:left="1700"/>
              <w:spacing w:after="0"/>
              <w:rPr>
                <w:sz w:val="20"/>
                <w:szCs w:val="20"/>
                <w:color w:val="auto"/>
              </w:rPr>
            </w:pPr>
            <w:r>
              <w:rPr>
                <w:rFonts w:ascii="Arial" w:cs="Arial" w:eastAsia="Arial" w:hAnsi="Arial"/>
                <w:sz w:val="14"/>
                <w:szCs w:val="14"/>
                <w:b w:val="1"/>
                <w:bCs w:val="1"/>
                <w:color w:val="auto"/>
                <w:w w:val="92"/>
              </w:rPr>
              <w:t>Thirty-nine Weeks</w:t>
            </w:r>
          </w:p>
        </w:tc>
        <w:tc>
          <w:tcPr>
            <w:tcW w:w="2040" w:type="dxa"/>
            <w:vAlign w:val="bottom"/>
            <w:gridSpan w:val="4"/>
          </w:tcPr>
          <w:p>
            <w:pPr>
              <w:ind w:left="820"/>
              <w:spacing w:after="0"/>
              <w:rPr>
                <w:sz w:val="20"/>
                <w:szCs w:val="20"/>
                <w:color w:val="auto"/>
              </w:rPr>
            </w:pPr>
            <w:r>
              <w:rPr>
                <w:rFonts w:ascii="Arial" w:cs="Arial" w:eastAsia="Arial" w:hAnsi="Arial"/>
                <w:sz w:val="14"/>
                <w:szCs w:val="14"/>
                <w:b w:val="1"/>
                <w:bCs w:val="1"/>
                <w:color w:val="auto"/>
                <w:w w:val="99"/>
              </w:rPr>
              <w:t>Thirty-nine Weeks</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November 3, 2019</w:t>
            </w:r>
          </w:p>
        </w:tc>
        <w:tc>
          <w:tcPr>
            <w:tcW w:w="8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November 4, 2018</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1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143,594</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Games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1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capital additions</w:t>
            </w:r>
          </w:p>
        </w:tc>
        <w:tc>
          <w:tcPr>
            <w:tcW w:w="17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172,577</w:t>
            </w: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163,271</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Payments from landlords</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28,581</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33,097</w:t>
            </w:r>
          </w:p>
        </w:tc>
        <w:tc>
          <w:tcPr>
            <w:tcW w:w="80" w:type="dxa"/>
            <w:vAlign w:val="bottom"/>
            <w:shd w:val="clear" w:color="auto" w:fill="CCEEFF"/>
          </w:tcPr>
          <w:p>
            <w:pPr>
              <w:spacing w:after="0"/>
              <w:rPr>
                <w:sz w:val="17"/>
                <w:szCs w:val="17"/>
                <w:color w:val="auto"/>
              </w:rPr>
            </w:pP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00" w:type="dxa"/>
            <w:vAlign w:val="bottom"/>
          </w:tcPr>
          <w:p>
            <w:pPr>
              <w:jc w:val="right"/>
              <w:ind w:right="839"/>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40"/>
          </w:cols>
          <w:pgMar w:left="240" w:top="405" w:right="7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3"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Total revenues increased $74,016, or 7.9%, to $1,007,533 in the thirty-nine week period ended November 3, 2019 compared to total revenues of $933,517 in the thirty-nine week period ended November 4, 2018. For the thirty-nine weeks ended November 3, 2019, we derived 27.9% of our total revenue from food sales, 12.9% from beverage sales, 58.4% from amusement sales and 0.8% from other sources. For the thirty-nine weeks ended November 4, 2018, we derived 28.5% of our total revenue from food sales, 13.1% from beverage sales, 57.7% from amusement sales and 0.7% from other sources.</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net increase in revenues for the thirty-nine weeks ended November 3, 2019 compared to the thirty-nine week period ended November 4, 2018, were from the following sources:</w:t>
      </w:r>
    </w:p>
    <w:p>
      <w:pPr>
        <w:spacing w:after="0" w:line="18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$(15,520)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Non-comparable stores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88,451</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$ 74,016</w:t>
            </w:r>
          </w:p>
        </w:tc>
        <w:tc>
          <w:tcPr>
            <w:tcW w:w="8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Comparable store revenue decreased $15,520, or 1.9%, in the thirty-nine weeks ended November 3, 2019 compared to the thirty-nine weeks ended November 4, 2018. Comparable store revenue compared to prior year was negatively impacted by an unfavorable shift in the current year holiday/school break calendar, sales transfers to new stores that we opened in markets where we operate and increased competitive pressure. Comparable walk-in revenues, which accounted for 91.2% of comparable store revenue for the thirty-nine weeks ended November 3, 2019, decreased 2.2% compared to the similar period in fiscal 2018. Comparable store special events revenues, which accounted for 8.8% of comparable store revenue for the thirty-nine weeks ended November 3, 2019, increased 1.2% compared to the similar period in fiscal 2018.</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Food sales at comparable stores decreased by $8,504, or 3.7%, to $219,396 in the thirty-nine weeks ended November 3, 2019 from $227,900 in the thirty-nine weeks ended November 4, 2018. Beverage sales at comparable stores decreased by $3,453, or 3.3%, to $101,811 in the thirty-nine week period ended November 3, 2019 from $105,264 in the 2018 comparison period. Comparable store amusement and other revenues in the thirty-nine week period ended November 3, 2019 decreased by $3,563, or 0.8%, to $463,199 from $466,762 in the comparable thirty-nine weeks of fiscal 2018. The decrease in amusement sales was due in part to lower customer volumes partially offset by various pricing initiatives in the current year, including an increase in new card fees with the launch of our RFID power card.</w:t>
      </w:r>
    </w:p>
    <w:p>
      <w:pPr>
        <w:spacing w:after="0" w:line="178"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Non-comparable store revenue increased $88,451, for the thirty-nine week period ended November 3, 2019 compared to the thirty-nine week period ended November 4, 2018. The increase in non-comparable store revenue was primarily driven by 606 additional operating store weeks contributed by our thirty-five non-comparable stores, seventeen of which opened subsequent to the third quarter of fiscal 2018, partially offset by a decrease in revenue due to the closure of our store in Duluth (Atlanta), Georgia on March 3, 2019.</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total cost of products was $173,528 for the thirty-nine week period ended November 3, 2019 and $161,429 for the thirty-nine week period ended November 4, 2018. The total cost of products as a percentage of total revenues was 17.2% and 17.3% for the thirty-nine weeks ended November 3, 2019 and the thirty-nine week period ended November 4, 2018, respectively.</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Cost of food and beverage products increased to $109,072 in the thirty-nine week period ended November 3, 2019 compared to $101,181 for the thirty-nine week period ended November 4, 2018, due primarily to the increased sales volume related to new store openings. Cost of food and beverage products, as a percentage of food and beverage revenues, increased 60 basis points to 26.6% for the thirty-nine week period ended November 3, 2019 from 26.0% for the thirty-nine week period ended November 4, 2018. Higher meat costs resulting from our upgraded steak products, higher poultry costs due to our “All You Can Eat” wings promotion and higher bar consumable costs due to our shift to fresh juices at the bar as well as the impact of our larger non-comparable store group, were partially offset by declines in seafood costs and increases in food and beverage prices.</w:t>
      </w:r>
    </w:p>
    <w:p>
      <w:pPr>
        <w:spacing w:after="0" w:line="16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Cost of amusement and other increased to $64,456 in the thirty-nine week period ended November 3, 2019 compared to $60,248 in the thirty-nine week period ended November 4, 2018. The costs of amusement and other, as a percentage of amusement and other revenues, decreased 30 basis points to 10.8% for the thirty-nine week period ended November 3, 2019 from 11.1% for the thirty-nine week period ended November 4, 2018. The decrease in cost of amusement and other as a percentage of revenue was due, in part, to lower expense associated with our estimated amusement redemption liabilities, an increase in the price of power cards and a shift in game play to non-redemption games.</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05"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03"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Total operating payroll and benefits increased by $22,026, or 10.1%, to $239,965 in the thirty-nine week period ended November 3, 2019 compared to $217,939 in the thirty-nine week period ended November 4, 2018. This increase was primarily due to labor associated with the additional operating store weeks of our non-comparable stores. The total cost of operating payroll and benefits, as a percentage of total revenues, increased 50 basis points to 23.8% in the thirty-nine week period ended November 3, 2019 compared to 23.3% for the thirty-nine week period ended November 4, 2018. This increase was due to an hourly wage rate increase of 4.3% and unfavorable leverage on decreased comparable store sales.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Other store operating expenses increased by $36,902, or 13.0%, to $321,334 in the thirty-nine week period ended November 3, 2019 compared to $284,432 in the thirty-nine week period ended November 4, 2018, primarily due to new store openings. Other store operating expenses as a percentage of total revenues increased 140 basis points to 31.9% in the thirty-nine week period ended November 3, 2019 compared to 30.5% in the thirty-nine week period ended November 4, 2018. This increase was due primarily to higher occupancy costs associated with our non-comparable stores and the deleveraging impact of lower comparable store sales, the absence of hurricane-related business interruption proceeds recorded in the prior year and incremental legal and sports viewing costs.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General and administrative expenses increased by $3,586, or 7.9%, to $49,047 in the thirty-nine week period ended November 3, 2019 compared to $45,461 in the thirty-nine week period ended November 4, 2018. The increase in general and administrative expenses was primarily driven by increased compensation and professional services costs at our corporate headquarters. General and administrative expenses, as a percentage of total revenues remained unchanged at 4.9% in both thirty-nine week periods ended November 3, 2019 and November 4, 2018.</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Depreciation and amortization expense increased by $10,097 or 11.6%, to $97,226 in the thirty-nine week period ended November 3, 2019 compared to $87,129 in the thirty-nine week period ended November 4, 2018. Increased depreciation due to our 2018 and 2019 capital expenditures for new stores, operating initiatives, games and maintenance capital, was partially offset by other assets reaching the end of their depreciable lives.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Pre-opening costs decreased by $1,151 to $15,970 in the thirty-nine week period ended November 3, 2019 compared to $17,121 in the comparable time period of fiscal 2018 due to the timing of new store openings</w:t>
      </w:r>
      <w:r>
        <w:rPr>
          <w:rFonts w:ascii="Arial" w:cs="Arial" w:eastAsia="Arial" w:hAnsi="Arial"/>
          <w:sz w:val="18"/>
          <w:szCs w:val="18"/>
          <w:b w:val="1"/>
          <w:bCs w:val="1"/>
          <w:i w:val="1"/>
          <w:iCs w:val="1"/>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Interest expense, net increased by $5,365 to $14,771 in the thirty-nine week period ended November 3, 2019 compared to $9,406 in the thirty-nine week period ended November 4, 2018 due primarily to an increase in average outstanding debt and to a lesser extent, higher interest rates.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effective income tax rate increased to 21.3% in the thirty-nine weeks ended November 3, 2019 compared to 20.6% in the thirty-nine week period ended November 4, 2018. The increase primarily reflects lower excess tax benefits associated with share-based compensation, partially offset by higher tax credits and a favorable change in the mix of jurisdictional earnings.</w:t>
      </w:r>
    </w:p>
    <w:p>
      <w:pPr>
        <w:spacing w:after="0" w:line="285" w:lineRule="exact"/>
        <w:rPr>
          <w:sz w:val="20"/>
          <w:szCs w:val="20"/>
          <w:color w:val="auto"/>
        </w:rPr>
      </w:pPr>
    </w:p>
    <w:p>
      <w:pPr>
        <w:jc w:val="right"/>
        <w:ind w:right="8520"/>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jc w:val="right"/>
        <w:ind w:right="84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At November 3, 2019, we had cash and cash equivalents of $20,880 and a net working capital deficit of $209,774. We are able to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05"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300" w:firstLine="441"/>
        <w:spacing w:after="0" w:line="273" w:lineRule="auto"/>
        <w:rPr>
          <w:sz w:val="20"/>
          <w:szCs w:val="20"/>
          <w:color w:val="auto"/>
        </w:rPr>
      </w:pPr>
      <w:r>
        <w:rPr>
          <w:rFonts w:ascii="Arial" w:cs="Arial" w:eastAsia="Arial" w:hAnsi="Arial"/>
          <w:sz w:val="17"/>
          <w:szCs w:val="17"/>
          <w:color w:val="auto"/>
        </w:rPr>
        <w:t>Based on our current business plan, we believe our cash and cash equivalents combined with expected cash flows from operations, available borrowings under the revolving portion of our credit facility and expected payments from landlords should be sufficient not only for our operating requirements but also to enable us, in the aggregate, to finance our capital allocation strategy, including capital expenditures, share repurchases, cash dividends and any required debt payments through at least the next twelve months and the foreseeable future.</w:t>
      </w:r>
    </w:p>
    <w:p>
      <w:pPr>
        <w:spacing w:after="0" w:line="17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expect to spend between $249,000 and $254,000 ($215,000 to $220,000 net of payments from landlord) in capital additions during fiscal 2019. The fiscal 2019 additions are expected to include approximately $201,000 to $206,000 ($167,000 to $172,000 net of payments from landlords) for new store construction and operating improvement initiatives, $19,000 for game refreshment and $29,000 in maintenance capital. A portion of the 2019 new store spend is related to stores that will be under construction in 2019 but will not be open until 2020.</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We maintain a $500,000 unsecured revolving credit facility. Availability under the revolving credit facility is reduced by outstanding letters of credit, which are used to support our self-insurance programs. At November 3, 2019, we had net availability for borrowings of $105,853 based on an outstanding revolver balance of $386,000 and $8,147 in standby letters of credit. We had total outstanding debt obligation of $656,000 under the existing term loan and revolving credit facility, which matures in August 2022. At November 3, 2019, the Company was in compliance with all our covenants contained in our existing credit facility, and none are expected to impact our liquidity or capital resources.</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use interest rate swaps in the management of our exposure to fluctuations in interest rates on our variable rate credit facility. Refer to Note 1 of the Unaudited Consolidated Financial Statements for further discussion.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At November 3, 2019, we had approximately $172,820 remaining of a total $800,000 share repurchase authorization. The existing share repurchase program expires at the end of fiscal 2020. During the thirty-nine weeks ended November 3, 2019, we declared cash dividends of $15,724. Our Board of Directors may authorize capital allocation initiatives, including additional dividends, to return value to shareholders as allowable under our existing credit facility.</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 Net cash provided by operating activities decreased $19,211 in the thirty-nine weeks ended November 3, 2019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thirty-nine weeks ended November 4, 2018 driven primarily by net cash flows associated with changes in working capital as well as lower operating income.</w:t>
      </w:r>
    </w:p>
    <w:p>
      <w:pPr>
        <w:spacing w:after="0" w:line="18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Cash flow generated from operations provides us with a significant source of liquidity. Our operating cash flows result primarily from cash received from our customers, offset by cash payments we make for products and services, employee compensation, operations and occupancy costs.</w:t>
      </w:r>
    </w:p>
    <w:p>
      <w:pPr>
        <w:spacing w:after="0" w:line="124"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used in investing activities primarily reflects capital expenditures.</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During the thirty-nine weeks ended November 3, 2019, the Company spent approximately $146,000 ($117,000 net of payments from landlords) for new store construction and operating improvement initiatives, $12,000 for game refreshment and $15,000 for maintenance capital.</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05"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During the thirty-nine weeks ended November 4, 2018, we spent approximately $122,000 ($89,000 net of payments from landlords) for new store construction and operating improvement initiatives, $25,000 for game refreshment and $17,000 for maintenance capital.</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 Cash used in financing activities primarily reflected approximately $297,000 of share repurchases and approximately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$11,000 of cash dividends paid, partially offset by $261,750 of net proceeds from borrowings of debt in the thirty-nine weeks ended November 3,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the thirty-nine weeks ended November 4, 2018, cash used in financing activities primarily reflected approximately $86,000 of share repurchases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approximately $6,000 of cash dividends paid, partially offset by $17,000 of net proceeds from borrowings.</w:t>
      </w:r>
    </w:p>
    <w:p>
      <w:pPr>
        <w:spacing w:after="0" w:line="3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February 3, 2019, as reported on Form 10-K filed with SEC on April 2,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2, 2019.</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2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one-month LIBOR, plus an applicable margin. Effective February 28, 2019, the Company entered into an interest rate swap agreement with a notional amount of $350,000 to manage our exposure to interest rate movements on our variable rate credit facility. The agreement converts the floating interest rate to a fixed interest rate of approximately 2.5% plus a spread from the effective date through the term of our existing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05"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28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Effective February 4, 2019 we adopted the new guidance for lease accounting (Topic 842). As a result, changes to processes and procedures occurred that affected the Company’s internal control over financial reporting. While we believe the Company’s internal control over financial reporting for affected processes and procedures is effective, we will continue to evaluate and monitor these changes and assess the effectiveness of our internal control over financial reporting as of the end of our fiscal year.</w:t>
      </w:r>
    </w:p>
    <w:p>
      <w:pPr>
        <w:spacing w:after="0" w:line="18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third quarter ended November 3, 2019, that have materially affected, or are reasonably likely to materially affect, our internal control over financial reporting.</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in the risk factors previously disclosed in our Annual Report as filed on Form 10-K on April 2, 2019.</w:t>
      </w: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05"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regarding repurchase of our common stock, in thousands, except share amounts, during the thirteen weeks ended November 3, 2019:</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6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95"/>
              </w:rPr>
              <w:t>Total Number</w:t>
            </w:r>
          </w:p>
        </w:tc>
        <w:tc>
          <w:tcPr>
            <w:tcW w:w="6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6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(1)</w:t>
            </w:r>
          </w:p>
        </w:tc>
        <w:tc>
          <w:tcPr>
            <w:tcW w:w="4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Repurchased as Part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Repurchased</w:t>
            </w:r>
          </w:p>
        </w:tc>
        <w:tc>
          <w:tcPr>
            <w:tcW w:w="15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Paid per Share</w:t>
            </w:r>
          </w:p>
        </w:tc>
        <w:tc>
          <w:tcPr>
            <w:tcW w:w="2400" w:type="dxa"/>
            <w:vAlign w:val="bottom"/>
            <w:gridSpan w:val="2"/>
          </w:tcPr>
          <w:p>
            <w:pPr>
              <w:jc w:val="center"/>
              <w:ind w:left="539"/>
              <w:spacing w:after="0" w:line="158" w:lineRule="exact"/>
              <w:rPr>
                <w:sz w:val="20"/>
                <w:szCs w:val="20"/>
                <w:color w:val="auto"/>
              </w:rPr>
            </w:pPr>
            <w:r>
              <w:rPr>
                <w:rFonts w:ascii="Arial" w:cs="Arial" w:eastAsia="Arial" w:hAnsi="Arial"/>
                <w:sz w:val="14"/>
                <w:szCs w:val="14"/>
                <w:b w:val="1"/>
                <w:bCs w:val="1"/>
                <w:color w:val="auto"/>
                <w:w w:val="92"/>
              </w:rPr>
              <w:t>Publicly Announced Plan (2)</w:t>
            </w:r>
          </w:p>
        </w:tc>
        <w:tc>
          <w:tcPr>
            <w:tcW w:w="2720" w:type="dxa"/>
            <w:vAlign w:val="bottom"/>
            <w:gridSpan w:val="4"/>
          </w:tcPr>
          <w:p>
            <w:pPr>
              <w:ind w:left="640"/>
              <w:spacing w:after="0" w:line="158" w:lineRule="exact"/>
              <w:rPr>
                <w:sz w:val="20"/>
                <w:szCs w:val="20"/>
                <w:color w:val="auto"/>
              </w:rPr>
            </w:pPr>
            <w:r>
              <w:rPr>
                <w:rFonts w:ascii="Arial" w:cs="Arial" w:eastAsia="Arial" w:hAnsi="Arial"/>
                <w:sz w:val="14"/>
                <w:szCs w:val="14"/>
                <w:b w:val="1"/>
                <w:bCs w:val="1"/>
                <w:color w:val="auto"/>
                <w:w w:val="96"/>
              </w:rPr>
              <w:t>Repurchased Under the Plan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5, 2019 – September 1, 2019</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39.65</w:t>
            </w:r>
          </w:p>
        </w:tc>
        <w:tc>
          <w:tcPr>
            <w:tcW w:w="6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190,683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September 2, 2019 – October 6, 2019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425,021</w:t>
            </w:r>
          </w:p>
        </w:tc>
        <w:tc>
          <w:tcPr>
            <w:tcW w:w="9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42.03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425,021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172,820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7, 2019 – November 3, 2019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Monthly information is presented by reference to our fiscal periods during the thirteen weeks ended November 3, 2019.</w:t>
      </w:r>
    </w:p>
    <w:p>
      <w:pPr>
        <w:spacing w:after="0" w:line="1" w:lineRule="exact"/>
        <w:rPr>
          <w:rFonts w:ascii="Arial" w:cs="Arial" w:eastAsia="Arial" w:hAnsi="Arial"/>
          <w:sz w:val="27"/>
          <w:szCs w:val="27"/>
          <w:color w:val="auto"/>
          <w:vertAlign w:val="superscript"/>
        </w:rPr>
      </w:pPr>
    </w:p>
    <w:p>
      <w:pPr>
        <w:jc w:val="both"/>
        <w:ind w:left="640" w:right="440" w:hanging="436"/>
        <w:spacing w:after="0" w:line="224" w:lineRule="auto"/>
        <w:tabs>
          <w:tab w:leader="none" w:pos="64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2" w:lineRule="exact"/>
        <w:rPr>
          <w:rFonts w:ascii="Arial" w:cs="Arial" w:eastAsia="Arial" w:hAnsi="Arial"/>
          <w:sz w:val="26"/>
          <w:szCs w:val="26"/>
          <w:color w:val="auto"/>
          <w:vertAlign w:val="superscript"/>
        </w:rPr>
      </w:pPr>
    </w:p>
    <w:p>
      <w:pPr>
        <w:ind w:left="640" w:hanging="436"/>
        <w:spacing w:after="0" w:line="180" w:lineRule="auto"/>
        <w:tabs>
          <w:tab w:leader="none" w:pos="64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Based on total share repurchase authorization in effect on November 3, 2019.</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05"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0" w:type="dxa"/>
            <w:vAlign w:val="bottom"/>
          </w:tcPr>
          <w:p>
            <w:pPr>
              <w:jc w:val="center"/>
              <w:ind w:right="174"/>
              <w:spacing w:after="0"/>
              <w:rPr>
                <w:sz w:val="20"/>
                <w:szCs w:val="20"/>
                <w:color w:val="auto"/>
              </w:rPr>
            </w:pPr>
            <w:r>
              <w:rPr>
                <w:rFonts w:ascii="Arial" w:cs="Arial" w:eastAsia="Arial" w:hAnsi="Arial"/>
                <w:sz w:val="18"/>
                <w:szCs w:val="18"/>
                <w:b w:val="1"/>
                <w:bCs w:val="1"/>
                <w:color w:val="auto"/>
                <w:w w:val="94"/>
              </w:rPr>
              <w:t>Item 6.</w:t>
            </w:r>
          </w:p>
        </w:tc>
        <w:tc>
          <w:tcPr>
            <w:tcW w:w="9900" w:type="dxa"/>
            <w:vAlign w:val="bottom"/>
            <w:gridSpan w:val="6"/>
          </w:tcPr>
          <w:p>
            <w:pPr>
              <w:ind w:left="3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Exhibit</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20" w:type="dxa"/>
            <w:vAlign w:val="bottom"/>
            <w:gridSpan w:val="4"/>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Number</w:t>
            </w: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00" w:type="dxa"/>
            <w:vAlign w:val="bottom"/>
          </w:tcPr>
          <w:p>
            <w:pPr>
              <w:ind w:left="60"/>
              <w:spacing w:after="0"/>
              <w:rPr>
                <w:sz w:val="20"/>
                <w:szCs w:val="20"/>
                <w:color w:val="auto"/>
              </w:rPr>
            </w:pPr>
            <w:r>
              <w:rPr>
                <w:rFonts w:ascii="Arial" w:cs="Arial" w:eastAsia="Arial" w:hAnsi="Arial"/>
                <w:sz w:val="18"/>
                <w:szCs w:val="18"/>
                <w:color w:val="auto"/>
              </w:rPr>
              <w:t>31.1*</w:t>
            </w: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Brian A. Jenkins, Chief Executive Officer of the Registrant, pursuant to 17 CFR 240.13a-14(a) or 17 CFR 240.15d-14(a).</w:t>
              </w:r>
            </w:hyperlink>
          </w:p>
        </w:tc>
        <w:tc>
          <w:tcPr>
            <w:tcW w:w="0" w:type="dxa"/>
            <w:vAlign w:val="bottom"/>
          </w:tcPr>
          <w:p>
            <w:pPr>
              <w:spacing w:after="0"/>
              <w:rPr>
                <w:sz w:val="1"/>
                <w:szCs w:val="1"/>
                <w:color w:val="auto"/>
              </w:rPr>
            </w:pPr>
          </w:p>
        </w:tc>
      </w:tr>
      <w:tr>
        <w:trPr>
          <w:trHeight w:val="304"/>
        </w:trPr>
        <w:tc>
          <w:tcPr>
            <w:tcW w:w="800" w:type="dxa"/>
            <w:vAlign w:val="bottom"/>
          </w:tcPr>
          <w:p>
            <w:pPr>
              <w:ind w:left="60"/>
              <w:spacing w:after="0"/>
              <w:rPr>
                <w:sz w:val="20"/>
                <w:szCs w:val="20"/>
                <w:color w:val="auto"/>
              </w:rPr>
            </w:pPr>
            <w:r>
              <w:rPr>
                <w:rFonts w:ascii="Arial" w:cs="Arial" w:eastAsia="Arial" w:hAnsi="Arial"/>
                <w:sz w:val="18"/>
                <w:szCs w:val="18"/>
                <w:color w:val="auto"/>
              </w:rPr>
              <w:t>31.2*</w:t>
            </w:r>
          </w:p>
        </w:tc>
        <w:tc>
          <w:tcPr>
            <w:tcW w:w="98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Scott J. Bowman, Chief Financial Officer of the Registrant, pursuant to 17 CFR 240.13a-14(a) or 17 CFR 240.15d-14(a).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60"/>
              <w:spacing w:after="0"/>
              <w:rPr>
                <w:sz w:val="20"/>
                <w:szCs w:val="20"/>
                <w:color w:val="auto"/>
              </w:rPr>
            </w:pPr>
            <w:r>
              <w:rPr>
                <w:rFonts w:ascii="Arial" w:cs="Arial" w:eastAsia="Arial" w:hAnsi="Arial"/>
                <w:sz w:val="18"/>
                <w:szCs w:val="18"/>
                <w:color w:val="auto"/>
              </w:rPr>
              <w:t>32.1*</w:t>
            </w:r>
          </w:p>
        </w:tc>
        <w:tc>
          <w:tcPr>
            <w:tcW w:w="9900" w:type="dxa"/>
            <w:vAlign w:val="bottom"/>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Brian A. Jenkins, Chief Executive Officer of the Registrant, pursuant to 18 U.S.C. Section 1350, as adopted pursuant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Section 906 of the Sarbanes-Oxley Act of 2002.</w:t>
              </w:r>
            </w:hyperlink>
          </w:p>
        </w:tc>
        <w:tc>
          <w:tcPr>
            <w:tcW w:w="628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60"/>
              <w:spacing w:after="0"/>
              <w:rPr>
                <w:sz w:val="20"/>
                <w:szCs w:val="20"/>
                <w:color w:val="auto"/>
              </w:rPr>
            </w:pPr>
            <w:r>
              <w:rPr>
                <w:rFonts w:ascii="Arial" w:cs="Arial" w:eastAsia="Arial" w:hAnsi="Arial"/>
                <w:sz w:val="18"/>
                <w:szCs w:val="18"/>
                <w:color w:val="auto"/>
              </w:rPr>
              <w:t>32.2*</w:t>
            </w:r>
          </w:p>
        </w:tc>
        <w:tc>
          <w:tcPr>
            <w:tcW w:w="97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Scott J. Bowman, Chief Financial Officer of the Registrant, pursuant to 18 U.S.C. Section 1350, as adopted pursuant to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Section 906 of the Sarbanes-Oxley Act of 2002.</w:t>
              </w:r>
            </w:hyperlink>
          </w:p>
        </w:tc>
        <w:tc>
          <w:tcPr>
            <w:tcW w:w="6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ind w:left="60"/>
              <w:spacing w:after="0"/>
              <w:rPr>
                <w:sz w:val="20"/>
                <w:szCs w:val="20"/>
                <w:color w:val="auto"/>
              </w:rPr>
            </w:pPr>
            <w:r>
              <w:rPr>
                <w:rFonts w:ascii="Arial" w:cs="Arial" w:eastAsia="Arial" w:hAnsi="Arial"/>
                <w:sz w:val="18"/>
                <w:szCs w:val="18"/>
                <w:color w:val="auto"/>
              </w:rPr>
              <w:t>101</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Interactive Data files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right="3340" w:firstLine="58"/>
        <w:spacing w:after="0" w:line="481" w:lineRule="auto"/>
        <w:tabs>
          <w:tab w:leader="none" w:pos="9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05"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7"/>
          <w:szCs w:val="17"/>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6"/>
          <w:szCs w:val="16"/>
          <w:color w:val="auto"/>
        </w:rPr>
        <w:t>By:  /s/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05" w:right="5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32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32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6"/>
          <w:szCs w:val="16"/>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November 3, 2019 as filed with the Securities and Exchange Commission on the date hereof (the “Report”), I, Brian A. Jenkins, Chief Executive Officer of the Company, certify, pursuant to 18 U.S.C. Section 1350, that:</w:t>
      </w:r>
    </w:p>
    <w:p>
      <w:pPr>
        <w:spacing w:after="0" w:line="87" w:lineRule="exact"/>
        <w:rPr>
          <w:sz w:val="20"/>
          <w:szCs w:val="20"/>
          <w:color w:val="auto"/>
        </w:rPr>
      </w:pPr>
    </w:p>
    <w:p>
      <w:pPr>
        <w:ind w:left="980" w:right="38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November 3, 2019 as filed with the Securities and Exchange Commission on the date hereof (the “Report”), I, Scott J. Bowman, Chief Financial Officer of the Company, certify, pursuant to 18 U.S.C. Section 1350, that:</w:t>
      </w:r>
    </w:p>
    <w:p>
      <w:pPr>
        <w:spacing w:after="0" w:line="87" w:lineRule="exact"/>
        <w:rPr>
          <w:sz w:val="20"/>
          <w:szCs w:val="20"/>
          <w:color w:val="auto"/>
        </w:rPr>
      </w:pPr>
    </w:p>
    <w:p>
      <w:pPr>
        <w:ind w:left="980" w:right="38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endash "/>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2019-12-28T01:04:43Z</dcterms:created>
  <dcterms:modified xsi:type="dcterms:W3CDTF">2019-12-28T01:04:43Z</dcterms:modified>
</cp:coreProperties>
</file>