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478790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503555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65" w:lineRule="exact"/>
        <w:rPr>
          <w:sz w:val="24"/>
          <w:szCs w:val="24"/>
          <w:color w:val="auto"/>
        </w:rPr>
      </w:pPr>
    </w:p>
    <w:p>
      <w:pPr>
        <w:ind w:left="480" w:hanging="45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30, 2023</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80" w:hanging="457"/>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4100" w:type="dxa"/>
            <w:vAlign w:val="bottom"/>
            <w:gridSpan w:val="4"/>
          </w:tcPr>
          <w:p>
            <w:pPr>
              <w:ind w:left="20"/>
              <w:spacing w:after="0"/>
              <w:rPr>
                <w:sz w:val="20"/>
                <w:szCs w:val="20"/>
                <w:color w:val="auto"/>
              </w:rPr>
            </w:pPr>
            <w:r>
              <w:rPr>
                <w:rFonts w:ascii="Arial" w:cs="Arial" w:eastAsia="Arial" w:hAnsi="Arial"/>
                <w:sz w:val="18"/>
                <w:szCs w:val="18"/>
                <w:b w:val="1"/>
                <w:bCs w:val="1"/>
                <w:color w:val="auto"/>
              </w:rPr>
              <w:t>FOR THE TRANSITION PERIOD FROM</w:t>
            </w:r>
          </w:p>
        </w:tc>
        <w:tc>
          <w:tcPr>
            <w:tcW w:w="3920" w:type="dxa"/>
            <w:vAlign w:val="bottom"/>
            <w:gridSpan w:val="5"/>
          </w:tcPr>
          <w:p>
            <w:pPr>
              <w:spacing w:after="0"/>
              <w:rPr>
                <w:sz w:val="20"/>
                <w:szCs w:val="20"/>
                <w:color w:val="auto"/>
              </w:rPr>
            </w:pPr>
            <w:r>
              <w:rPr>
                <w:rFonts w:ascii="Arial" w:cs="Arial" w:eastAsia="Arial" w:hAnsi="Arial"/>
                <w:sz w:val="18"/>
                <w:szCs w:val="18"/>
                <w:b w:val="1"/>
                <w:bCs w:val="1"/>
                <w:color w:val="auto"/>
              </w:rPr>
              <w:t>TO</w:t>
            </w:r>
          </w:p>
        </w:tc>
      </w:tr>
      <w:tr>
        <w:trPr>
          <w:trHeight w:val="20"/>
        </w:trPr>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335"/>
        </w:trPr>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2"/>
          </w:tcPr>
          <w:p>
            <w:pPr>
              <w:jc w:val="center"/>
              <w:ind w:left="101"/>
              <w:spacing w:after="0"/>
              <w:rPr>
                <w:sz w:val="20"/>
                <w:szCs w:val="20"/>
                <w:color w:val="auto"/>
              </w:rPr>
            </w:pPr>
            <w:r>
              <w:rPr>
                <w:rFonts w:ascii="Arial" w:cs="Arial" w:eastAsia="Arial" w:hAnsi="Arial"/>
                <w:sz w:val="18"/>
                <w:szCs w:val="18"/>
                <w:b w:val="1"/>
                <w:bCs w:val="1"/>
                <w:color w:val="auto"/>
                <w:w w:val="87"/>
              </w:rPr>
              <w:t>Commission File No. 001-35664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30"/>
        </w:trPr>
        <w:tc>
          <w:tcPr>
            <w:tcW w:w="3200" w:type="dxa"/>
            <w:vAlign w:val="bottom"/>
          </w:tcPr>
          <w:p>
            <w:pPr>
              <w:spacing w:after="0"/>
              <w:rPr>
                <w:sz w:val="24"/>
                <w:szCs w:val="24"/>
                <w:color w:val="auto"/>
              </w:rPr>
            </w:pPr>
          </w:p>
        </w:tc>
        <w:tc>
          <w:tcPr>
            <w:tcW w:w="8020" w:type="dxa"/>
            <w:vAlign w:val="bottom"/>
            <w:gridSpan w:val="9"/>
          </w:tcPr>
          <w:p>
            <w:pPr>
              <w:jc w:val="center"/>
              <w:ind w:right="3101"/>
              <w:spacing w:after="0"/>
              <w:rPr>
                <w:sz w:val="20"/>
                <w:szCs w:val="20"/>
                <w:color w:val="auto"/>
              </w:rPr>
            </w:pPr>
            <w:r>
              <w:rPr>
                <w:rFonts w:ascii="Arial" w:cs="Arial" w:eastAsia="Arial" w:hAnsi="Arial"/>
                <w:sz w:val="28"/>
                <w:szCs w:val="28"/>
                <w:b w:val="1"/>
                <w:bCs w:val="1"/>
                <w:color w:val="auto"/>
                <w:w w:val="92"/>
              </w:rPr>
              <w:t>Dave &amp; Buster’s Entertainment, Inc.</w:t>
            </w:r>
          </w:p>
        </w:tc>
      </w:tr>
      <w:tr>
        <w:trPr>
          <w:trHeight w:val="228"/>
        </w:trPr>
        <w:tc>
          <w:tcPr>
            <w:tcW w:w="3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560" w:type="dxa"/>
            <w:vAlign w:val="bottom"/>
            <w:gridSpan w:val="8"/>
          </w:tcPr>
          <w:p>
            <w:pPr>
              <w:jc w:val="center"/>
              <w:ind w:right="3561"/>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369"/>
        </w:trPr>
        <w:tc>
          <w:tcPr>
            <w:tcW w:w="3200" w:type="dxa"/>
            <w:vAlign w:val="bottom"/>
          </w:tcPr>
          <w:p>
            <w:pPr>
              <w:jc w:val="center"/>
              <w:ind w:left="2341"/>
              <w:spacing w:after="0"/>
              <w:rPr>
                <w:sz w:val="20"/>
                <w:szCs w:val="20"/>
                <w:color w:val="auto"/>
              </w:rPr>
            </w:pPr>
            <w:r>
              <w:rPr>
                <w:rFonts w:ascii="Arial" w:cs="Arial" w:eastAsia="Arial" w:hAnsi="Arial"/>
                <w:sz w:val="18"/>
                <w:szCs w:val="18"/>
                <w:b w:val="1"/>
                <w:bCs w:val="1"/>
                <w:color w:val="auto"/>
                <w:w w:val="88"/>
              </w:rPr>
              <w:t>Delaware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20" w:type="dxa"/>
            <w:vAlign w:val="bottom"/>
            <w:gridSpan w:val="5"/>
          </w:tcPr>
          <w:p>
            <w:pPr>
              <w:jc w:val="right"/>
              <w:ind w:right="2281"/>
              <w:spacing w:after="0"/>
              <w:rPr>
                <w:sz w:val="20"/>
                <w:szCs w:val="20"/>
                <w:color w:val="auto"/>
              </w:rPr>
            </w:pPr>
            <w:r>
              <w:rPr>
                <w:rFonts w:ascii="Arial" w:cs="Arial" w:eastAsia="Arial" w:hAnsi="Arial"/>
                <w:sz w:val="18"/>
                <w:szCs w:val="18"/>
                <w:b w:val="1"/>
                <w:bCs w:val="1"/>
                <w:color w:val="auto"/>
              </w:rPr>
              <w:t>35-2382255</w:t>
            </w:r>
          </w:p>
        </w:tc>
      </w:tr>
      <w:tr>
        <w:trPr>
          <w:trHeight w:val="214"/>
        </w:trPr>
        <w:tc>
          <w:tcPr>
            <w:tcW w:w="7300" w:type="dxa"/>
            <w:vAlign w:val="bottom"/>
            <w:gridSpan w:val="5"/>
          </w:tcPr>
          <w:p>
            <w:pPr>
              <w:jc w:val="center"/>
              <w:ind w:right="1680"/>
              <w:spacing w:after="0"/>
              <w:rPr>
                <w:sz w:val="20"/>
                <w:szCs w:val="20"/>
                <w:color w:val="auto"/>
              </w:rPr>
            </w:pPr>
            <w:r>
              <w:rPr>
                <w:rFonts w:ascii="Arial" w:cs="Arial" w:eastAsia="Arial" w:hAnsi="Arial"/>
                <w:sz w:val="14"/>
                <w:szCs w:val="14"/>
                <w:b w:val="1"/>
                <w:bCs w:val="1"/>
                <w:color w:val="auto"/>
                <w:w w:val="91"/>
              </w:rPr>
              <w:t>(State of Incorporation)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2"/>
          </w:tcPr>
          <w:p>
            <w:pPr>
              <w:jc w:val="center"/>
              <w:ind w:right="1821"/>
              <w:spacing w:after="0"/>
              <w:rPr>
                <w:sz w:val="20"/>
                <w:szCs w:val="20"/>
                <w:color w:val="auto"/>
              </w:rPr>
            </w:pPr>
            <w:r>
              <w:rPr>
                <w:rFonts w:ascii="Arial" w:cs="Arial" w:eastAsia="Arial" w:hAnsi="Arial"/>
                <w:sz w:val="14"/>
                <w:szCs w:val="14"/>
                <w:b w:val="1"/>
                <w:bCs w:val="1"/>
                <w:color w:val="auto"/>
                <w:w w:val="96"/>
              </w:rPr>
              <w:t>(I.R.S. Employer ID)</w:t>
            </w:r>
          </w:p>
        </w:tc>
      </w:tr>
      <w:tr>
        <w:trPr>
          <w:trHeight w:val="326"/>
        </w:trPr>
        <w:tc>
          <w:tcPr>
            <w:tcW w:w="7300" w:type="dxa"/>
            <w:vAlign w:val="bottom"/>
            <w:gridSpan w:val="5"/>
          </w:tcPr>
          <w:p>
            <w:pPr>
              <w:jc w:val="center"/>
              <w:ind w:right="1680"/>
              <w:spacing w:after="0"/>
              <w:rPr>
                <w:sz w:val="20"/>
                <w:szCs w:val="20"/>
                <w:color w:val="auto"/>
              </w:rPr>
            </w:pPr>
            <w:r>
              <w:rPr>
                <w:rFonts w:ascii="Arial" w:cs="Arial" w:eastAsia="Arial" w:hAnsi="Arial"/>
                <w:sz w:val="18"/>
                <w:szCs w:val="18"/>
                <w:b w:val="1"/>
                <w:bCs w:val="1"/>
                <w:color w:val="auto"/>
                <w:w w:val="87"/>
              </w:rPr>
              <w:t>1221 S. Beltline Rd., Suite 500, Coppell, Texas, 75019</w:t>
            </w:r>
          </w:p>
        </w:tc>
        <w:tc>
          <w:tcPr>
            <w:tcW w:w="3920" w:type="dxa"/>
            <w:vAlign w:val="bottom"/>
            <w:gridSpan w:val="5"/>
          </w:tcPr>
          <w:p>
            <w:pPr>
              <w:jc w:val="right"/>
              <w:ind w:right="2181"/>
              <w:spacing w:after="0"/>
              <w:rPr>
                <w:sz w:val="20"/>
                <w:szCs w:val="20"/>
                <w:color w:val="auto"/>
              </w:rPr>
            </w:pPr>
            <w:r>
              <w:rPr>
                <w:rFonts w:ascii="Arial" w:cs="Arial" w:eastAsia="Arial" w:hAnsi="Arial"/>
                <w:sz w:val="18"/>
                <w:szCs w:val="18"/>
                <w:b w:val="1"/>
                <w:bCs w:val="1"/>
                <w:color w:val="auto"/>
              </w:rPr>
              <w:t>(214)357-9588</w:t>
            </w:r>
          </w:p>
        </w:tc>
      </w:tr>
      <w:tr>
        <w:trPr>
          <w:trHeight w:val="214"/>
        </w:trPr>
        <w:tc>
          <w:tcPr>
            <w:tcW w:w="7300" w:type="dxa"/>
            <w:vAlign w:val="bottom"/>
            <w:gridSpan w:val="5"/>
          </w:tcPr>
          <w:p>
            <w:pPr>
              <w:jc w:val="center"/>
              <w:ind w:right="1680"/>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0" w:type="dxa"/>
            <w:vAlign w:val="bottom"/>
          </w:tcPr>
          <w:p>
            <w:pPr>
              <w:spacing w:after="0"/>
              <w:rPr>
                <w:sz w:val="18"/>
                <w:szCs w:val="18"/>
                <w:color w:val="auto"/>
              </w:rPr>
            </w:pPr>
          </w:p>
        </w:tc>
        <w:tc>
          <w:tcPr>
            <w:tcW w:w="3780" w:type="dxa"/>
            <w:vAlign w:val="bottom"/>
            <w:gridSpan w:val="4"/>
          </w:tcPr>
          <w:p>
            <w:pPr>
              <w:jc w:val="center"/>
              <w:ind w:right="1721"/>
              <w:spacing w:after="0"/>
              <w:rPr>
                <w:sz w:val="20"/>
                <w:szCs w:val="20"/>
                <w:color w:val="auto"/>
              </w:rPr>
            </w:pPr>
            <w:r>
              <w:rPr>
                <w:rFonts w:ascii="Arial" w:cs="Arial" w:eastAsia="Arial" w:hAnsi="Arial"/>
                <w:sz w:val="14"/>
                <w:szCs w:val="14"/>
                <w:b w:val="1"/>
                <w:bCs w:val="1"/>
                <w:color w:val="auto"/>
                <w:w w:val="90"/>
              </w:rPr>
              <w:t>(Registrant’s telephone number)</w:t>
            </w:r>
          </w:p>
        </w:tc>
      </w:tr>
      <w:tr>
        <w:trPr>
          <w:trHeight w:val="395"/>
        </w:trPr>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7"/>
          </w:tcPr>
          <w:p>
            <w:pPr>
              <w:jc w:val="center"/>
              <w:ind w:right="3661"/>
              <w:spacing w:after="0"/>
              <w:rPr>
                <w:sz w:val="20"/>
                <w:szCs w:val="20"/>
                <w:color w:val="auto"/>
              </w:rPr>
            </w:pPr>
            <w:r>
              <w:rPr>
                <w:rFonts w:ascii="Arial" w:cs="Arial" w:eastAsia="Arial" w:hAnsi="Arial"/>
                <w:sz w:val="14"/>
                <w:szCs w:val="14"/>
                <w:b w:val="1"/>
                <w:bCs w:val="1"/>
                <w:color w:val="auto"/>
                <w:w w:val="89"/>
              </w:rPr>
              <w:t>Securities registered pursuant to Section 12(b) of the Act:</w:t>
            </w:r>
          </w:p>
        </w:tc>
      </w:tr>
      <w:tr>
        <w:trPr>
          <w:trHeight w:val="329"/>
        </w:trPr>
        <w:tc>
          <w:tcPr>
            <w:tcW w:w="3200" w:type="dxa"/>
            <w:vAlign w:val="bottom"/>
          </w:tcPr>
          <w:p>
            <w:pPr>
              <w:jc w:val="center"/>
              <w:ind w:left="381"/>
              <w:spacing w:after="0"/>
              <w:rPr>
                <w:sz w:val="20"/>
                <w:szCs w:val="20"/>
                <w:color w:val="auto"/>
              </w:rPr>
            </w:pPr>
            <w:r>
              <w:rPr>
                <w:rFonts w:ascii="Arial" w:cs="Arial" w:eastAsia="Arial" w:hAnsi="Arial"/>
                <w:sz w:val="14"/>
                <w:szCs w:val="14"/>
                <w:b w:val="1"/>
                <w:bCs w:val="1"/>
                <w:color w:val="auto"/>
                <w:w w:val="87"/>
              </w:rPr>
              <w:t>Title of each class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1"/>
              </w:rPr>
              <w:t>Trading Symbol(s)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80" w:type="dxa"/>
            <w:vAlign w:val="bottom"/>
          </w:tcPr>
          <w:p>
            <w:pPr>
              <w:jc w:val="center"/>
              <w:ind w:right="441"/>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37"/>
        </w:trPr>
        <w:tc>
          <w:tcPr>
            <w:tcW w:w="3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r>
      <w:tr>
        <w:trPr>
          <w:trHeight w:val="230"/>
        </w:trPr>
        <w:tc>
          <w:tcPr>
            <w:tcW w:w="3200" w:type="dxa"/>
            <w:vAlign w:val="bottom"/>
          </w:tcPr>
          <w:p>
            <w:pPr>
              <w:jc w:val="center"/>
              <w:ind w:left="381"/>
              <w:spacing w:after="0"/>
              <w:rPr>
                <w:sz w:val="20"/>
                <w:szCs w:val="20"/>
                <w:color w:val="auto"/>
              </w:rPr>
            </w:pPr>
            <w:r>
              <w:rPr>
                <w:rFonts w:ascii="Arial" w:cs="Arial" w:eastAsia="Arial" w:hAnsi="Arial"/>
                <w:sz w:val="18"/>
                <w:szCs w:val="18"/>
                <w:b w:val="1"/>
                <w:bCs w:val="1"/>
                <w:color w:val="auto"/>
                <w:w w:val="87"/>
              </w:rPr>
              <w:t>Common Stock $0.01 par value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gridSpan w:val="2"/>
          </w:tcPr>
          <w:p>
            <w:pPr>
              <w:jc w:val="center"/>
              <w:ind w:left="41"/>
              <w:spacing w:after="0"/>
              <w:rPr>
                <w:sz w:val="20"/>
                <w:szCs w:val="20"/>
                <w:color w:val="auto"/>
              </w:rPr>
            </w:pPr>
            <w:r>
              <w:rPr>
                <w:rFonts w:ascii="Arial" w:cs="Arial" w:eastAsia="Arial" w:hAnsi="Arial"/>
                <w:sz w:val="18"/>
                <w:szCs w:val="18"/>
                <w:b w:val="1"/>
                <w:bCs w:val="1"/>
                <w:color w:val="auto"/>
                <w:w w:val="95"/>
              </w:rPr>
              <w:t>PLAY</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180" w:type="dxa"/>
            <w:vAlign w:val="bottom"/>
          </w:tcPr>
          <w:p>
            <w:pPr>
              <w:jc w:val="center"/>
              <w:ind w:right="441"/>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15" w:lineRule="exact"/>
        <w:rPr>
          <w:sz w:val="24"/>
          <w:szCs w:val="24"/>
          <w:color w:val="auto"/>
        </w:rPr>
      </w:pPr>
    </w:p>
    <w:p>
      <w:pPr>
        <w:ind w:right="120" w:firstLine="474"/>
        <w:spacing w:after="0" w:line="224"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68" w:lineRule="exact"/>
        <w:rPr>
          <w:sz w:val="24"/>
          <w:szCs w:val="24"/>
          <w:color w:val="auto"/>
        </w:rPr>
      </w:pPr>
    </w:p>
    <w:p>
      <w:pPr>
        <w:ind w:right="20" w:firstLine="474"/>
        <w:spacing w:after="0" w:line="224"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right="120" w:firstLine="474"/>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6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360"/>
              <w:spacing w:after="0"/>
              <w:rPr>
                <w:sz w:val="20"/>
                <w:szCs w:val="20"/>
                <w:color w:val="auto"/>
              </w:rPr>
            </w:pPr>
            <w:r>
              <w:rPr>
                <w:rFonts w:ascii="Arial" w:cs="Arial" w:eastAsia="Arial" w:hAnsi="Arial"/>
                <w:sz w:val="18"/>
                <w:szCs w:val="18"/>
                <w:color w:val="auto"/>
              </w:rPr>
              <w:t>x</w:t>
            </w:r>
          </w:p>
        </w:tc>
        <w:tc>
          <w:tcPr>
            <w:tcW w:w="49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84" w:lineRule="exact"/>
        <w:rPr>
          <w:sz w:val="24"/>
          <w:szCs w:val="24"/>
          <w:color w:val="auto"/>
        </w:rPr>
      </w:pPr>
    </w:p>
    <w:p>
      <w:pPr>
        <w:jc w:val="both"/>
        <w:ind w:right="280" w:firstLine="474"/>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80" w:right="1920"/>
        <w:spacing w:after="0" w:line="292" w:lineRule="exact"/>
        <w:rPr>
          <w:sz w:val="20"/>
          <w:szCs w:val="20"/>
          <w:color w:val="auto"/>
        </w:rPr>
      </w:pPr>
      <w:r>
        <w:rPr>
          <w:rFonts w:ascii="Arial" w:cs="Arial" w:eastAsia="Arial" w:hAnsi="Arial"/>
          <w:sz w:val="16"/>
          <w:szCs w:val="16"/>
          <w:color w:val="auto"/>
        </w:rPr>
        <w:t xml:space="preserve">Indicate by checkmark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As of August 31, 2023, the registrant had 42,945,327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741045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QUARTERLY PERIOD ENDED JULY 30, 2023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7"/>
        </w:trPr>
        <w:tc>
          <w:tcPr>
            <w:tcW w:w="1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18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9180" w:type="dxa"/>
            <w:vAlign w:val="bottom"/>
            <w:gridSpan w:val="10"/>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180" w:type="dxa"/>
            <w:vAlign w:val="bottom"/>
            <w:gridSpan w:val="10"/>
          </w:tcPr>
          <w:p>
            <w:pPr>
              <w:spacing w:after="0"/>
              <w:rPr>
                <w:sz w:val="20"/>
                <w:szCs w:val="20"/>
                <w:color w:val="auto"/>
              </w:rPr>
            </w:pPr>
            <w:r>
              <w:rPr>
                <w:rFonts w:ascii="Arial" w:cs="Arial" w:eastAsia="Arial" w:hAnsi="Arial"/>
                <w:sz w:val="18"/>
                <w:szCs w:val="18"/>
                <w:color w:val="0000FF"/>
              </w:rPr>
              <w:t>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28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9180" w:type="dxa"/>
            <w:vAlign w:val="bottom"/>
            <w:gridSpan w:val="1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Controls and Procedures</w:t>
            </w:r>
          </w:p>
        </w:tc>
        <w:tc>
          <w:tcPr>
            <w:tcW w:w="494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180" w:type="dxa"/>
            <w:vAlign w:val="bottom"/>
            <w:gridSpan w:val="10"/>
          </w:tcPr>
          <w:p>
            <w:pPr>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Legal Proceedings</w:t>
            </w:r>
          </w:p>
        </w:tc>
        <w:tc>
          <w:tcPr>
            <w:tcW w:w="788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Risk Factors</w:t>
            </w:r>
          </w:p>
        </w:tc>
        <w:tc>
          <w:tcPr>
            <w:tcW w:w="8300" w:type="dxa"/>
            <w:vAlign w:val="bottom"/>
            <w:gridSpan w:val="7"/>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27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7"/>
              </w:rPr>
              <w:t>Unregistered Sales of Equity Securities</w:t>
            </w:r>
          </w:p>
        </w:tc>
        <w:tc>
          <w:tcPr>
            <w:tcW w:w="642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9180" w:type="dxa"/>
            <w:vAlign w:val="bottom"/>
            <w:gridSpan w:val="10"/>
          </w:tcPr>
          <w:p>
            <w:pPr>
              <w:spacing w:after="0"/>
              <w:rPr>
                <w:sz w:val="20"/>
                <w:szCs w:val="20"/>
                <w:color w:val="auto"/>
              </w:rPr>
            </w:pPr>
            <w:r>
              <w:rPr>
                <w:rFonts w:ascii="Arial" w:cs="Arial" w:eastAsia="Arial" w:hAnsi="Arial"/>
                <w:sz w:val="18"/>
                <w:szCs w:val="18"/>
                <w:color w:val="0000FF"/>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160" w:type="dxa"/>
            <w:vAlign w:val="bottom"/>
          </w:tcPr>
          <w:p>
            <w:pPr>
              <w:spacing w:after="0"/>
              <w:rPr>
                <w:sz w:val="21"/>
                <w:szCs w:val="21"/>
                <w:color w:val="auto"/>
              </w:rPr>
            </w:pP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3"/>
              </w:rPr>
              <w:t>Signatures</w:t>
            </w:r>
          </w:p>
        </w:tc>
        <w:tc>
          <w:tcPr>
            <w:tcW w:w="8440" w:type="dxa"/>
            <w:vAlign w:val="bottom"/>
            <w:gridSpan w:val="8"/>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28"/>
        </w:trPr>
        <w:tc>
          <w:tcPr>
            <w:tcW w:w="1160" w:type="dxa"/>
            <w:vAlign w:val="bottom"/>
          </w:tcPr>
          <w:p>
            <w:pPr>
              <w:spacing w:after="0"/>
              <w:rPr>
                <w:sz w:val="24"/>
                <w:szCs w:val="24"/>
                <w:color w:val="auto"/>
              </w:rPr>
            </w:pPr>
          </w:p>
        </w:tc>
        <w:tc>
          <w:tcPr>
            <w:tcW w:w="6300" w:type="dxa"/>
            <w:vAlign w:val="bottom"/>
            <w:gridSpan w:val="9"/>
          </w:tcPr>
          <w:p>
            <w:pPr>
              <w:ind w:left="4420"/>
              <w:spacing w:after="0"/>
              <w:rPr>
                <w:sz w:val="20"/>
                <w:szCs w:val="20"/>
                <w:color w:val="auto"/>
              </w:rPr>
            </w:pPr>
            <w:r>
              <w:rPr>
                <w:rFonts w:ascii="Arial" w:cs="Arial" w:eastAsia="Arial" w:hAnsi="Arial"/>
                <w:sz w:val="18"/>
                <w:szCs w:val="18"/>
                <w:color w:val="auto"/>
              </w:rPr>
              <w:t>2</w:t>
            </w:r>
          </w:p>
        </w:tc>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 FINANCIAL INFORMATION</w:t>
      </w:r>
    </w:p>
    <w:p>
      <w:pPr>
        <w:spacing w:after="0" w:line="1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1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(in millions, except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July 30, 2023</w:t>
            </w:r>
          </w:p>
        </w:tc>
        <w:tc>
          <w:tcPr>
            <w:tcW w:w="160" w:type="dxa"/>
            <w:vAlign w:val="bottom"/>
          </w:tcPr>
          <w:p>
            <w:pPr>
              <w:spacing w:after="0"/>
              <w:rPr>
                <w:sz w:val="15"/>
                <w:szCs w:val="15"/>
                <w:color w:val="auto"/>
              </w:rPr>
            </w:pPr>
          </w:p>
        </w:tc>
        <w:tc>
          <w:tcPr>
            <w:tcW w:w="128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January 29, 2023</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5"/>
                <w:szCs w:val="15"/>
                <w:color w:val="auto"/>
              </w:rPr>
            </w:pPr>
          </w:p>
        </w:tc>
        <w:tc>
          <w:tcPr>
            <w:tcW w:w="1280" w:type="dxa"/>
            <w:vAlign w:val="bottom"/>
          </w:tcPr>
          <w:p>
            <w:pPr>
              <w:jc w:val="right"/>
              <w:ind w:right="353"/>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273"/>
        </w:trPr>
        <w:tc>
          <w:tcPr>
            <w:tcW w:w="7720" w:type="dxa"/>
            <w:vAlign w:val="bottom"/>
          </w:tcPr>
          <w:p>
            <w:pPr>
              <w:jc w:val="center"/>
              <w:spacing w:after="0"/>
              <w:rPr>
                <w:sz w:val="20"/>
                <w:szCs w:val="20"/>
                <w:color w:val="auto"/>
              </w:rPr>
            </w:pPr>
            <w:r>
              <w:rPr>
                <w:rFonts w:ascii="Arial" w:cs="Arial" w:eastAsia="Arial" w:hAnsi="Arial"/>
                <w:sz w:val="18"/>
                <w:szCs w:val="18"/>
                <w:b w:val="1"/>
                <w:bCs w:val="1"/>
                <w:color w:val="auto"/>
                <w:w w:val="88"/>
              </w:rPr>
              <w:t>ASSETS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color w:val="auto"/>
                <w:w w:val="89"/>
              </w:rPr>
              <w:t>Property and equipment (net of $1,130.2 and $1,043.7 of accumulated depreciation as of July 30, 2023 and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ind w:left="20"/>
              <w:spacing w:after="0"/>
              <w:rPr>
                <w:sz w:val="20"/>
                <w:szCs w:val="20"/>
                <w:color w:val="auto"/>
              </w:rPr>
            </w:pPr>
            <w:r>
              <w:rPr>
                <w:rFonts w:ascii="Arial" w:cs="Arial" w:eastAsia="Arial" w:hAnsi="Arial"/>
                <w:sz w:val="18"/>
                <w:szCs w:val="18"/>
                <w:color w:val="auto"/>
              </w:rPr>
              <w:t>January 29, 2023, respectively)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1,180.2</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Other assets and deferred charges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1,567.8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Common stock, par value $0.01; authorized: 400.00 shares; issued: 62.69 shares at July 30, 2023 and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62.42 at January 29, 2023; outstanding: 42.97 shares at July 30, 2023 and 48.41 at January 29, 2023</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rPr>
              <w:t>Preferred stock, 50.00 authorized; none issued</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w w:val="99"/>
              </w:rPr>
              <w:t>Treasury stock, 19.72 and 14.01 shares as of July 30, 2023 and January 29, 2023,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6"/>
        </w:trPr>
        <w:tc>
          <w:tcPr>
            <w:tcW w:w="77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56"/>
        </w:trPr>
        <w:tc>
          <w:tcPr>
            <w:tcW w:w="772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740"/>
          </w:cols>
          <w:pgMar w:left="320" w:top="127" w:right="8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40"/>
          </w:cols>
          <w:pgMar w:left="320" w:top="127" w:right="8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left="1240" w:right="1440"/>
        <w:spacing w:after="0" w:line="25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millions,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5"/>
                <w:szCs w:val="15"/>
                <w:color w:val="auto"/>
              </w:rPr>
            </w:pPr>
          </w:p>
        </w:tc>
        <w:tc>
          <w:tcPr>
            <w:tcW w:w="230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Twenty-Six Weeks Ended</w:t>
            </w:r>
          </w:p>
        </w:tc>
      </w:tr>
      <w:tr>
        <w:trPr>
          <w:trHeight w:val="37"/>
        </w:trPr>
        <w:tc>
          <w:tcPr>
            <w:tcW w:w="54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0"/>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30, 2023</w:t>
            </w:r>
          </w:p>
        </w:tc>
        <w:tc>
          <w:tcPr>
            <w:tcW w:w="16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 2022</w:t>
            </w: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30, 2023</w:t>
            </w:r>
          </w:p>
        </w:tc>
        <w:tc>
          <w:tcPr>
            <w:tcW w:w="160" w:type="dxa"/>
            <w:vAlign w:val="bottom"/>
          </w:tcPr>
          <w:p>
            <w:pPr>
              <w:spacing w:after="0"/>
              <w:rPr>
                <w:sz w:val="15"/>
                <w:szCs w:val="15"/>
                <w:color w:val="auto"/>
              </w:rPr>
            </w:pPr>
          </w:p>
        </w:tc>
        <w:tc>
          <w:tcPr>
            <w:tcW w:w="102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July 31, 2022</w:t>
            </w:r>
          </w:p>
        </w:tc>
      </w:tr>
      <w:tr>
        <w:trPr>
          <w:trHeight w:val="37"/>
        </w:trPr>
        <w:tc>
          <w:tcPr>
            <w:tcW w:w="54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Food and beverage revenues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308.9</w:t>
            </w:r>
          </w:p>
        </w:tc>
      </w:tr>
      <w:tr>
        <w:trPr>
          <w:trHeight w:val="27"/>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Cost of entertainment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food and beverage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Total cost of products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payroll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 expenses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Total operating costs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w:t>
            </w:r>
          </w:p>
        </w:tc>
      </w:tr>
      <w:tr>
        <w:trPr>
          <w:trHeight w:val="27"/>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foreign currency translation gain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Unrealized gain on derivatives, net of tax</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comprehensive gain</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6"/>
        </w:trPr>
        <w:tc>
          <w:tcPr>
            <w:tcW w:w="540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 per share:</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6"/>
        </w:trPr>
        <w:tc>
          <w:tcPr>
            <w:tcW w:w="540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Weighted average shares used in per share calculations: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r>
      <w:tr>
        <w:trPr>
          <w:trHeight w:val="236"/>
        </w:trPr>
        <w:tc>
          <w:tcPr>
            <w:tcW w:w="5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49.36</w:t>
            </w:r>
          </w:p>
        </w:tc>
      </w:tr>
    </w:tbl>
    <w:p>
      <w:pPr>
        <w:spacing w:after="0" w:line="318"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340"/>
          </w:cols>
          <w:pgMar w:left="320" w:top="127"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STOCKHOLDERS’ EQUITY (UNAUDITED) </w:t>
      </w:r>
      <w:r>
        <w:rPr>
          <w:rFonts w:ascii="Arial" w:cs="Arial" w:eastAsia="Arial" w:hAnsi="Arial"/>
          <w:sz w:val="18"/>
          <w:szCs w:val="18"/>
          <w:color w:val="auto"/>
        </w:rPr>
        <w:t>(in millions)</w:t>
      </w: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Twenty-Six Weeks Ended July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40" w:type="dxa"/>
            <w:vAlign w:val="bottom"/>
            <w:gridSpan w:val="4"/>
            <w:vMerge w:val="restart"/>
          </w:tcPr>
          <w:p>
            <w:pPr>
              <w:jc w:val="right"/>
              <w:ind w:right="27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22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Treasury Stock At Cost</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28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22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restart"/>
          </w:tcPr>
          <w:p>
            <w:pPr>
              <w:jc w:val="center"/>
              <w:ind w:right="260"/>
              <w:spacing w:after="0" w:line="121"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760" w:type="dxa"/>
            <w:vAlign w:val="bottom"/>
          </w:tcPr>
          <w:p>
            <w:pPr>
              <w:ind w:left="340"/>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700" w:type="dxa"/>
            <w:vAlign w:val="bottom"/>
          </w:tcPr>
          <w:p>
            <w:pPr>
              <w:jc w:val="right"/>
              <w:ind w:right="2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29, 2023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62.42</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410.5</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w:t>
            </w:r>
          </w:p>
        </w:tc>
        <w:tc>
          <w:tcPr>
            <w:tcW w:w="360" w:type="dxa"/>
            <w:vAlign w:val="bottom"/>
          </w:tcPr>
          <w:p>
            <w:pPr>
              <w:jc w:val="right"/>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7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80"/>
        </w:trPr>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Balance April 30, 2023</w:t>
            </w: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62.51</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584.3</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17.63</w:t>
            </w:r>
          </w:p>
        </w:tc>
        <w:tc>
          <w:tcPr>
            <w:tcW w:w="80" w:type="dxa"/>
            <w:vAlign w:val="bottom"/>
          </w:tcPr>
          <w:p>
            <w:pPr>
              <w:spacing w:after="0"/>
              <w:rPr>
                <w:sz w:val="15"/>
                <w:szCs w:val="15"/>
                <w:color w:val="auto"/>
              </w:rPr>
            </w:pPr>
          </w:p>
        </w:tc>
        <w:tc>
          <w:tcPr>
            <w:tcW w:w="220" w:type="dxa"/>
            <w:vAlign w:val="bottom"/>
            <w:tcBorders>
              <w:top w:val="single" w:sz="8" w:color="auto"/>
            </w:tcBorders>
          </w:tcPr>
          <w:p>
            <w:pPr>
              <w:jc w:val="center"/>
              <w:ind w:right="3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542.4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359.9</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79"/>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Unrealized foreign currency translation</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gain</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w:t>
            </w:r>
          </w:p>
        </w:tc>
        <w:tc>
          <w:tcPr>
            <w:tcW w:w="360" w:type="dxa"/>
            <w:vAlign w:val="bottom"/>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7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12"/>
        </w:trPr>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Balance July 30, 2023</w:t>
            </w:r>
          </w:p>
        </w:tc>
        <w:tc>
          <w:tcPr>
            <w:tcW w:w="7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62.69</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590.1</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314.4</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9"/>
        </w:trPr>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Twenty-Six Weeks Ended July 31, 2022</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840" w:type="dxa"/>
            <w:vAlign w:val="bottom"/>
            <w:gridSpan w:val="4"/>
            <w:vMerge w:val="restart"/>
          </w:tcPr>
          <w:p>
            <w:pPr>
              <w:jc w:val="right"/>
              <w:ind w:right="27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Treasury Stock At Cost</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28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restart"/>
          </w:tcPr>
          <w:p>
            <w:pPr>
              <w:ind w:left="100"/>
              <w:spacing w:after="0" w:line="121" w:lineRule="exact"/>
              <w:rPr>
                <w:sz w:val="20"/>
                <w:szCs w:val="20"/>
                <w:color w:val="auto"/>
              </w:rPr>
            </w:pPr>
            <w:r>
              <w:rPr>
                <w:rFonts w:ascii="Arial" w:cs="Arial" w:eastAsia="Arial" w:hAnsi="Arial"/>
                <w:sz w:val="14"/>
                <w:szCs w:val="14"/>
                <w:b w:val="1"/>
                <w:bCs w:val="1"/>
                <w:color w:val="auto"/>
              </w:rPr>
              <w:t>Paid-In</w:t>
            </w:r>
          </w:p>
        </w:tc>
        <w:tc>
          <w:tcPr>
            <w:tcW w:w="222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vMerge w:val="restart"/>
          </w:tcPr>
          <w:p>
            <w:pPr>
              <w:jc w:val="center"/>
              <w:ind w:right="260"/>
              <w:spacing w:after="0" w:line="121"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9"/>
                <w:szCs w:val="9"/>
                <w:color w:val="auto"/>
              </w:rPr>
            </w:pPr>
          </w:p>
        </w:tc>
        <w:tc>
          <w:tcPr>
            <w:tcW w:w="940" w:type="dxa"/>
            <w:vAlign w:val="bottom"/>
            <w:gridSpan w:val="2"/>
            <w:vMerge w:val="restart"/>
          </w:tcPr>
          <w:p>
            <w:pPr>
              <w:ind w:left="80"/>
              <w:spacing w:after="0" w:line="121"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760" w:type="dxa"/>
            <w:vAlign w:val="bottom"/>
          </w:tcPr>
          <w:p>
            <w:pPr>
              <w:ind w:left="340"/>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700" w:type="dxa"/>
            <w:vAlign w:val="bottom"/>
          </w:tcPr>
          <w:p>
            <w:pPr>
              <w:jc w:val="right"/>
              <w:ind w:right="2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30, 2022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61.56</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548.8</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37"/>
        </w:trPr>
        <w:tc>
          <w:tcPr>
            <w:tcW w:w="3040" w:type="dxa"/>
            <w:vAlign w:val="bottom"/>
            <w:gridSpan w:val="2"/>
          </w:tcPr>
          <w:p>
            <w:pPr>
              <w:spacing w:after="0"/>
              <w:rPr>
                <w:sz w:val="3"/>
                <w:szCs w:val="3"/>
                <w:color w:val="auto"/>
              </w:rPr>
            </w:pPr>
          </w:p>
        </w:tc>
        <w:tc>
          <w:tcPr>
            <w:tcW w:w="44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Derivatives, net of tax</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7"/>
        </w:trPr>
        <w:tc>
          <w:tcPr>
            <w:tcW w:w="304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May 1, 2022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61.81</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558.0</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351.8</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37"/>
        </w:trPr>
        <w:tc>
          <w:tcPr>
            <w:tcW w:w="3040" w:type="dxa"/>
            <w:vAlign w:val="bottom"/>
            <w:gridSpan w:val="2"/>
          </w:tcPr>
          <w:p>
            <w:pPr>
              <w:spacing w:after="0"/>
              <w:rPr>
                <w:sz w:val="3"/>
                <w:szCs w:val="3"/>
                <w:color w:val="auto"/>
              </w:rPr>
            </w:pPr>
          </w:p>
        </w:tc>
        <w:tc>
          <w:tcPr>
            <w:tcW w:w="44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Derivatives, net of tax</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7"/>
        </w:trPr>
        <w:tc>
          <w:tcPr>
            <w:tcW w:w="304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Repurchase of common stock</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31, 2022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62.21</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Twenty-Six Weeks</w:t>
            </w: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Twenty-Six Weeks</w:t>
            </w:r>
          </w:p>
        </w:tc>
      </w:tr>
      <w:tr>
        <w:trPr>
          <w:trHeight w:val="183"/>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Ended July 30, 2023</w:t>
            </w:r>
          </w:p>
        </w:tc>
        <w:tc>
          <w:tcPr>
            <w:tcW w:w="120" w:type="dxa"/>
            <w:vAlign w:val="bottom"/>
          </w:tcPr>
          <w:p>
            <w:pPr>
              <w:spacing w:after="0"/>
              <w:rPr>
                <w:sz w:val="15"/>
                <w:szCs w:val="15"/>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Ended July 31, 2022</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6"/>
        </w:trPr>
        <w:tc>
          <w:tcPr>
            <w:tcW w:w="818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6"/>
        </w:trPr>
        <w:tc>
          <w:tcPr>
            <w:tcW w:w="818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debt refinancing</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6"/>
        </w:trPr>
        <w:tc>
          <w:tcPr>
            <w:tcW w:w="81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Changes in assets and liabilities, net of assets and liabilities acquired: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81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6"/>
        </w:trPr>
        <w:tc>
          <w:tcPr>
            <w:tcW w:w="81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 and deferred charges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6"/>
        </w:trPr>
        <w:tc>
          <w:tcPr>
            <w:tcW w:w="81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36"/>
        </w:trPr>
        <w:tc>
          <w:tcPr>
            <w:tcW w:w="81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a business,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Proceeds from sales of property and equipment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(922.2)</w:t>
            </w: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term loan and revolver</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821.5</w:t>
            </w: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Term loan and revolver payments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 under share repurchase program</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cash and cash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Ending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Change in fixed asset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(refund received) for income taxes,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6"/>
        </w:trPr>
        <w:tc>
          <w:tcPr>
            <w:tcW w:w="8180" w:type="dxa"/>
            <w:vAlign w:val="bottom"/>
          </w:tcPr>
          <w:p>
            <w:pPr>
              <w:ind w:left="180"/>
              <w:spacing w:after="0"/>
              <w:rPr>
                <w:sz w:val="20"/>
                <w:szCs w:val="20"/>
                <w:color w:val="auto"/>
              </w:rPr>
            </w:pPr>
            <w:r>
              <w:rPr>
                <w:rFonts w:ascii="Arial" w:cs="Arial" w:eastAsia="Arial" w:hAnsi="Arial"/>
                <w:sz w:val="18"/>
                <w:szCs w:val="18"/>
                <w:color w:val="auto"/>
              </w:rPr>
              <w:t>Cash paid for interest,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22.0</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The accompanying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w:t>
      </w:r>
    </w:p>
    <w:p>
      <w:pPr>
        <w:spacing w:after="0" w:line="162" w:lineRule="exact"/>
        <w:rPr>
          <w:sz w:val="20"/>
          <w:szCs w:val="20"/>
          <w:color w:val="auto"/>
        </w:rPr>
      </w:pPr>
    </w:p>
    <w:p>
      <w:pPr>
        <w:jc w:val="both"/>
        <w:ind w:firstLine="474"/>
        <w:spacing w:after="0" w:line="284" w:lineRule="auto"/>
        <w:rPr>
          <w:sz w:val="20"/>
          <w:szCs w:val="20"/>
          <w:color w:val="auto"/>
        </w:rPr>
      </w:pPr>
      <w:r>
        <w:rPr>
          <w:rFonts w:ascii="Arial" w:cs="Arial" w:eastAsia="Arial" w:hAnsi="Arial"/>
          <w:sz w:val="16"/>
          <w:szCs w:val="16"/>
          <w:color w:val="auto"/>
        </w:rPr>
        <w:t>On June 29, 2022 (the “Closing Date”), the Company completed its acquisition (the “Main Event Acquisition” or “the Acquisition”) of 100% of the equity interests of Ardent Leisure US Holding Inc. (“Ardent US”), pursuant to that certain Agreement and Plan of Merger (the “Merger Agreement”), dated April 6, 2022, by and among the Company, Ardent US, Delta Bravo Merger Sub, Inc, the Company’s wholly-owned subsidiary formed for the purpose of completing the transactions set forth in the Merger Agreement, for the limited purposes set forth therein, Ardent Leisure Group Limited (“Ardent”), and, for the limited purposes set forth therein, RB ME LP (“RedBird”) and RB ME Blocker, LLC, RB ME Series 2019 Investor Aggregator LP and RedBird Series 2019 GP Co-Invest, LP. Refer to Note 2, Business Combinations, for further discussion of the Main Event Acquisition.</w:t>
      </w:r>
    </w:p>
    <w:p>
      <w:pPr>
        <w:spacing w:after="0" w:line="169"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During the twenty-six weeks ended July 30, 2023, the Company opened seven stores, and as of July 30, 2023, the Company owned and operated 211 stores in 42 states, Puerto Rico and one Canadian province.</w:t>
      </w:r>
    </w:p>
    <w:p>
      <w:pPr>
        <w:spacing w:after="0" w:line="180"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The Company operates its business as two operating segments based on its major brands, Dave &amp; Buster's and Main Event. The Company has one reportable segment as both brands provide similar products and services to a similar customer base, are managed together by a single management team and share similar economic characteristics.</w:t>
      </w:r>
    </w:p>
    <w:p>
      <w:pPr>
        <w:spacing w:after="0" w:line="189" w:lineRule="exact"/>
        <w:rPr>
          <w:sz w:val="20"/>
          <w:szCs w:val="20"/>
          <w:color w:val="auto"/>
        </w:rPr>
      </w:pPr>
    </w:p>
    <w:p>
      <w:pPr>
        <w:jc w:val="both"/>
        <w:ind w:firstLine="474"/>
        <w:spacing w:after="0" w:line="325" w:lineRule="auto"/>
        <w:rPr>
          <w:sz w:val="20"/>
          <w:szCs w:val="20"/>
          <w:color w:val="auto"/>
        </w:rPr>
      </w:pPr>
      <w:r>
        <w:rPr>
          <w:rFonts w:ascii="Arial" w:cs="Arial" w:eastAsia="Arial" w:hAnsi="Arial"/>
          <w:sz w:val="16"/>
          <w:szCs w:val="16"/>
          <w:color w:val="auto"/>
        </w:rPr>
        <w:t>The Company operates on a 52 or 53-week fiscal year that ends on the Sunday after the Saturday closest to January 31. Each quarterly period reported has 13 weeks. Fiscal 2023, which ends on February 4, 2024, has 53 weeks. Fiscal 2022, which ended on January 29, 2023, had 52 weeks.</w:t>
      </w:r>
    </w:p>
    <w:p>
      <w:pPr>
        <w:spacing w:after="0" w:line="134" w:lineRule="exact"/>
        <w:rPr>
          <w:sz w:val="20"/>
          <w:szCs w:val="20"/>
          <w:color w:val="auto"/>
        </w:rPr>
      </w:pPr>
    </w:p>
    <w:p>
      <w:pPr>
        <w:jc w:val="both"/>
        <w:ind w:firstLine="474"/>
        <w:spacing w:after="0" w:line="283" w:lineRule="auto"/>
        <w:rPr>
          <w:sz w:val="20"/>
          <w:szCs w:val="20"/>
          <w:color w:val="auto"/>
        </w:rPr>
      </w:pPr>
      <w:r>
        <w:rPr>
          <w:rFonts w:ascii="Arial" w:cs="Arial" w:eastAsia="Arial" w:hAnsi="Arial"/>
          <w:sz w:val="16"/>
          <w:szCs w:val="16"/>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January 29, 2023, included in our Annual Report on Form 10-K. Amounts in the consolidated financial statements of this Quarterly Report on Form 10-Q are presented in millions. The amounts in the consolidated financial statements, and the notes thereto, of our Annual Report on Form 10-K were presented in thousands.</w:t>
      </w:r>
    </w:p>
    <w:p>
      <w:pPr>
        <w:spacing w:after="0" w:line="168"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and twenty-six weeks ended July 30, 2023 are not necessarily indicative of results that may be expected for any other interim period or for the full fiscal year ending February 4, 2024.</w:t>
      </w:r>
    </w:p>
    <w:p>
      <w:pPr>
        <w:spacing w:after="0" w:line="162"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We consider transaction settlements in process from credit card companies and all highly-liquid investments with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 book overdrafts. There were no book overdrafts as of July 30, 2023 or as of January 29, 2023.</w:t>
      </w:r>
    </w:p>
    <w:p>
      <w:pPr>
        <w:spacing w:after="0" w:line="191"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Fair value is defined as the price that would be received to sell an asset or paid to transfer a liability in an orderly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between market participants at the measurement date under current market conditions. In determining fair value, the accounting standards establish a three-level hierarchy for inputs used in measuring fair value.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ind w:right="100"/>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9" w:lineRule="exact"/>
        <w:rPr>
          <w:sz w:val="20"/>
          <w:szCs w:val="20"/>
          <w:color w:val="auto"/>
        </w:rPr>
      </w:pPr>
    </w:p>
    <w:p>
      <w:pPr>
        <w:jc w:val="both"/>
        <w:ind w:right="100" w:firstLine="474"/>
        <w:spacing w:after="0" w:line="250" w:lineRule="auto"/>
        <w:rPr>
          <w:sz w:val="20"/>
          <w:szCs w:val="20"/>
          <w:color w:val="auto"/>
        </w:rPr>
      </w:pPr>
      <w:r>
        <w:rPr>
          <w:rFonts w:ascii="Arial" w:cs="Arial" w:eastAsia="Arial" w:hAnsi="Arial"/>
          <w:sz w:val="18"/>
          <w:szCs w:val="18"/>
          <w:color w:val="auto"/>
        </w:rPr>
        <w:t>The carrying amounts of cash and cash equivalents, accounts and notes receivable, accounts payable, and other current liabilities approximate fair value because of their short-term nature. The fair value of the Company’s debt is determined based on traded price data as of the measurement date, which we classify as a level two input within the fair value hierarchy as defined under GAAP. The fair value of the Company's debt was as follows as of the periods indicated:</w:t>
      </w:r>
    </w:p>
    <w:p>
      <w:pPr>
        <w:spacing w:after="0" w:line="229" w:lineRule="exact"/>
        <w:rPr>
          <w:sz w:val="20"/>
          <w:szCs w:val="20"/>
          <w:color w:val="auto"/>
        </w:rPr>
      </w:pPr>
    </w:p>
    <w:tbl>
      <w:tblPr>
        <w:tblLayout w:type="fixed"/>
        <w:tblInd w:w="84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30, 2023</w:t>
            </w:r>
          </w:p>
        </w:tc>
        <w:tc>
          <w:tcPr>
            <w:tcW w:w="220" w:type="dxa"/>
            <w:vAlign w:val="bottom"/>
          </w:tcPr>
          <w:p>
            <w:pPr>
              <w:spacing w:after="0"/>
              <w:rPr>
                <w:sz w:val="17"/>
                <w:szCs w:val="17"/>
                <w:color w:val="auto"/>
              </w:rPr>
            </w:pPr>
          </w:p>
        </w:tc>
        <w:tc>
          <w:tcPr>
            <w:tcW w:w="1600" w:type="dxa"/>
            <w:vAlign w:val="bottom"/>
          </w:tcPr>
          <w:p>
            <w:pPr>
              <w:jc w:val="right"/>
              <w:ind w:right="254"/>
              <w:spacing w:after="0"/>
              <w:rPr>
                <w:sz w:val="20"/>
                <w:szCs w:val="20"/>
                <w:color w:val="auto"/>
              </w:rPr>
            </w:pPr>
            <w:r>
              <w:rPr>
                <w:rFonts w:ascii="Arial" w:cs="Arial" w:eastAsia="Arial" w:hAnsi="Arial"/>
                <w:sz w:val="16"/>
                <w:szCs w:val="16"/>
                <w:b w:val="1"/>
                <w:bCs w:val="1"/>
                <w:color w:val="auto"/>
                <w:w w:val="96"/>
              </w:rPr>
              <w:t>January 29, 2023</w:t>
            </w:r>
          </w:p>
        </w:tc>
      </w:tr>
      <w:tr>
        <w:trPr>
          <w:trHeight w:val="33"/>
        </w:trPr>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864.5</w:t>
            </w: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r>
      <w:tr>
        <w:trPr>
          <w:trHeight w:val="230"/>
        </w:trPr>
        <w:tc>
          <w:tcPr>
            <w:tcW w:w="6300" w:type="dxa"/>
            <w:vAlign w:val="bottom"/>
          </w:tcPr>
          <w:p>
            <w:pPr>
              <w:spacing w:after="0"/>
              <w:rPr>
                <w:sz w:val="19"/>
                <w:szCs w:val="19"/>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1,306.3</w:t>
            </w:r>
          </w:p>
        </w:tc>
      </w:tr>
      <w:tr>
        <w:trPr>
          <w:trHeight w:val="27"/>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firstLine="474"/>
        <w:spacing w:after="0" w:line="300" w:lineRule="auto"/>
        <w:rPr>
          <w:sz w:val="20"/>
          <w:szCs w:val="20"/>
          <w:color w:val="auto"/>
        </w:rPr>
      </w:pPr>
      <w:r>
        <w:rPr>
          <w:rFonts w:ascii="Arial" w:cs="Arial" w:eastAsia="Arial" w:hAnsi="Arial"/>
          <w:sz w:val="16"/>
          <w:szCs w:val="16"/>
          <w:color w:val="auto"/>
        </w:rPr>
        <w:t>The Company also measures certain non-financial assets (primarily property and equipment, right-of-use assets, goodwill, tradenames, and other assets) at fair value on a non-recurring basis in connection with its periodic evaluations of such assets for potential impairment. The Company recorded $1.7 of property and equipment impairment that was removed from service during the thirteen and twenty-six weeks ended July 30, 2023.</w:t>
      </w:r>
    </w:p>
    <w:p>
      <w:pPr>
        <w:spacing w:after="0" w:line="153" w:lineRule="exact"/>
        <w:rPr>
          <w:sz w:val="20"/>
          <w:szCs w:val="20"/>
          <w:color w:val="auto"/>
        </w:rPr>
      </w:pPr>
    </w:p>
    <w:p>
      <w:pPr>
        <w:jc w:val="both"/>
        <w:ind w:right="100" w:firstLine="474"/>
        <w:spacing w:after="0" w:line="25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 Our entertainment revenues primarily consist of attractions including redemption and simulation games, bowling, laser tag, billiards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gravity ropes. Our food and beverage revenues consist of full meals, appetizers and both alcoholic and non-alcoholic beverages. The Company's revenue for these categories was as follows:</w:t>
      </w:r>
    </w:p>
    <w:p>
      <w:pPr>
        <w:spacing w:after="0" w:line="231"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322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Pr>
          <w:p>
            <w:pPr>
              <w:spacing w:after="0"/>
              <w:rPr>
                <w:sz w:val="15"/>
                <w:szCs w:val="15"/>
                <w:color w:val="auto"/>
              </w:rPr>
            </w:pPr>
          </w:p>
        </w:tc>
      </w:tr>
      <w:tr>
        <w:trPr>
          <w:trHeight w:val="37"/>
        </w:trPr>
        <w:tc>
          <w:tcPr>
            <w:tcW w:w="36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0"/>
        </w:trPr>
        <w:tc>
          <w:tcPr>
            <w:tcW w:w="36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July 30, 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July 31, 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July 30, 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July 31, 2022</w:t>
            </w:r>
          </w:p>
        </w:tc>
        <w:tc>
          <w:tcPr>
            <w:tcW w:w="200" w:type="dxa"/>
            <w:vAlign w:val="bottom"/>
          </w:tcPr>
          <w:p>
            <w:pPr>
              <w:spacing w:after="0"/>
              <w:rPr>
                <w:sz w:val="15"/>
                <w:szCs w:val="15"/>
                <w:color w:val="auto"/>
              </w:rPr>
            </w:pPr>
          </w:p>
        </w:tc>
      </w:tr>
      <w:tr>
        <w:trPr>
          <w:trHeight w:val="37"/>
        </w:trPr>
        <w:tc>
          <w:tcPr>
            <w:tcW w:w="3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13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353.1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308.1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739.2</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60</w:t>
            </w:r>
          </w:p>
        </w:tc>
      </w:tr>
      <w:tr>
        <w:trPr>
          <w:trHeight w:val="26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1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r>
      <w:tr>
        <w:trPr>
          <w:trHeight w:val="237"/>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Entertainment revenues</w:t>
            </w:r>
          </w:p>
        </w:tc>
        <w:tc>
          <w:tcPr>
            <w:tcW w:w="13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360.8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311.4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753.9</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61</w:t>
            </w:r>
          </w:p>
        </w:tc>
      </w:tr>
      <w:tr>
        <w:trPr>
          <w:trHeight w:val="263"/>
        </w:trPr>
        <w:tc>
          <w:tcPr>
            <w:tcW w:w="36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non-alcoholic beverages</w:t>
            </w:r>
          </w:p>
        </w:tc>
        <w:tc>
          <w:tcPr>
            <w:tcW w:w="13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261.2</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w:t>
            </w:r>
          </w:p>
        </w:tc>
      </w:tr>
      <w:tr>
        <w:trPr>
          <w:trHeight w:val="236"/>
        </w:trPr>
        <w:tc>
          <w:tcPr>
            <w:tcW w:w="3620" w:type="dxa"/>
            <w:vAlign w:val="bottom"/>
          </w:tcPr>
          <w:p>
            <w:pPr>
              <w:ind w:left="20"/>
              <w:spacing w:after="0"/>
              <w:rPr>
                <w:sz w:val="20"/>
                <w:szCs w:val="20"/>
                <w:color w:val="auto"/>
              </w:rPr>
            </w:pPr>
            <w:r>
              <w:rPr>
                <w:rFonts w:ascii="Arial" w:cs="Arial" w:eastAsia="Arial" w:hAnsi="Arial"/>
                <w:sz w:val="18"/>
                <w:szCs w:val="18"/>
                <w:color w:val="auto"/>
              </w:rPr>
              <w:t>Alcoholic beverages</w:t>
            </w:r>
          </w:p>
        </w:tc>
        <w:tc>
          <w:tcPr>
            <w:tcW w:w="1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124.3</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Food and beverage revenues</w:t>
            </w:r>
          </w:p>
        </w:tc>
        <w:tc>
          <w:tcPr>
            <w:tcW w:w="1320" w:type="dxa"/>
            <w:vAlign w:val="bottom"/>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385.5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w:t>
            </w:r>
          </w:p>
        </w:tc>
      </w:tr>
      <w:tr>
        <w:trPr>
          <w:trHeight w:val="27"/>
        </w:trPr>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42" w:lineRule="exact"/>
        <w:rPr>
          <w:sz w:val="20"/>
          <w:szCs w:val="20"/>
          <w:color w:val="auto"/>
        </w:rPr>
      </w:pPr>
    </w:p>
    <w:p>
      <w:pPr>
        <w:ind w:left="340" w:hanging="256"/>
        <w:spacing w:after="0"/>
        <w:tabs>
          <w:tab w:leader="none" w:pos="3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 xml:space="preserve">Primarily consists of revenue earned from party rentals and gift card redemptions and breakage (see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below).</w:t>
      </w:r>
    </w:p>
    <w:p>
      <w:pPr>
        <w:spacing w:after="0" w:line="192" w:lineRule="exact"/>
        <w:rPr>
          <w:sz w:val="20"/>
          <w:szCs w:val="20"/>
          <w:color w:val="auto"/>
        </w:rPr>
      </w:pPr>
    </w:p>
    <w:p>
      <w:pPr>
        <w:jc w:val="both"/>
        <w:ind w:right="100" w:firstLine="474"/>
        <w:spacing w:after="0" w:line="28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Customers purchase cards with game play credits or “chips” to be used on a variety of redemption and simulation games.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revenues related to game play are primarily recognized as game play credits are used by customers to activate video and redemption games. Redemption games allow customers to earn tickets, which may be redeemed for prizes. We have deferred a portion of entertainment revenues for the estimated unfulfilled performance obligations related to unredeemed tickets. The deferral is based on an estimated rate of future use by customers of unused game play credits and the material right provided to customers to redeem tickets in the future for prizes. During the twenty-six weeks ended July 30, 2023, we recognized revenue of approximately $43.7 related to the amount in deferred entertainment revenues as of the end of fiscal 2022. These revenues are included in Entertainment revenues on the consolidated comprehensive income statement.</w:t>
      </w:r>
    </w:p>
    <w:p>
      <w:pPr>
        <w:spacing w:after="0" w:line="168" w:lineRule="exact"/>
        <w:rPr>
          <w:sz w:val="20"/>
          <w:szCs w:val="20"/>
          <w:color w:val="auto"/>
        </w:rPr>
      </w:pPr>
    </w:p>
    <w:p>
      <w:pPr>
        <w:jc w:val="both"/>
        <w:ind w:right="100" w:firstLine="474"/>
        <w:spacing w:after="0" w:line="253" w:lineRule="auto"/>
        <w:rPr>
          <w:sz w:val="20"/>
          <w:szCs w:val="20"/>
          <w:color w:val="auto"/>
        </w:rPr>
      </w:pPr>
      <w:r>
        <w:rPr>
          <w:rFonts w:ascii="Arial" w:cs="Arial" w:eastAsia="Arial" w:hAnsi="Arial"/>
          <w:sz w:val="18"/>
          <w:szCs w:val="18"/>
          <w:color w:val="auto"/>
        </w:rPr>
        <w:t>We recognize revenue on unredeemed gift cards in proportion to the pattern of redemption by the customers. During the twenty-six weeks ended July 30, 2023, we recognized revenue of approximately $6.2 related to the amount in deferred gift card revenue as of the end of fiscal 2022. These revenues are included in Entertainment revenues on the consolidated comprehensive income statements.</w:t>
      </w:r>
    </w:p>
    <w:p>
      <w:pPr>
        <w:spacing w:after="0" w:line="189" w:lineRule="exact"/>
        <w:rPr>
          <w:sz w:val="20"/>
          <w:szCs w:val="20"/>
          <w:color w:val="auto"/>
        </w:rPr>
      </w:pPr>
    </w:p>
    <w:p>
      <w:pPr>
        <w:jc w:val="both"/>
        <w:ind w:right="100" w:firstLine="474"/>
        <w:spacing w:after="0" w:line="291"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 Basic net income per share is computed by dividing net income available to common shareholders by the basic weighted average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common shares outstanding for the reporting period. Diluted net income per share reflects the potential dilution that could occur if securities or other contracts to issue common stock were exercised or converted into common stock. For the calculation of diluted net income per share, the basic weighted average shares outstanding is increased by the dilutive effect of stock options and restricted share awards. Stock options and</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restricted share awards with an anti-dilutive effect are not included in the diluted net income per share calculation. Basic weighted average shares outstanding are reconciled to diluted weighted average shares outstanding as follows:</w:t>
      </w: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218"/>
        </w:trPr>
        <w:tc>
          <w:tcPr>
            <w:tcW w:w="4540" w:type="dxa"/>
            <w:vAlign w:val="bottom"/>
          </w:tcPr>
          <w:p>
            <w:pPr>
              <w:spacing w:after="0"/>
              <w:rPr>
                <w:sz w:val="18"/>
                <w:szCs w:val="18"/>
                <w:color w:val="auto"/>
              </w:rPr>
            </w:pPr>
          </w:p>
        </w:tc>
        <w:tc>
          <w:tcPr>
            <w:tcW w:w="306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6"/>
                <w:szCs w:val="16"/>
                <w:b w:val="1"/>
                <w:bCs w:val="1"/>
                <w:color w:val="auto"/>
              </w:rPr>
              <w:t>Thirteen Weeks Ended</w:t>
            </w:r>
          </w:p>
        </w:tc>
        <w:tc>
          <w:tcPr>
            <w:tcW w:w="200" w:type="dxa"/>
            <w:vAlign w:val="bottom"/>
          </w:tcPr>
          <w:p>
            <w:pPr>
              <w:spacing w:after="0"/>
              <w:rPr>
                <w:sz w:val="18"/>
                <w:szCs w:val="18"/>
                <w:color w:val="auto"/>
              </w:rPr>
            </w:pPr>
          </w:p>
        </w:tc>
        <w:tc>
          <w:tcPr>
            <w:tcW w:w="306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6"/>
                <w:szCs w:val="16"/>
                <w:b w:val="1"/>
                <w:bCs w:val="1"/>
                <w:color w:val="auto"/>
              </w:rPr>
              <w:t>Twenty-Six Weeks Ended</w:t>
            </w:r>
          </w:p>
        </w:tc>
      </w:tr>
      <w:tr>
        <w:trPr>
          <w:trHeight w:val="230"/>
        </w:trPr>
        <w:tc>
          <w:tcPr>
            <w:tcW w:w="454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Arial" w:cs="Arial" w:eastAsia="Arial" w:hAnsi="Arial"/>
                <w:sz w:val="16"/>
                <w:szCs w:val="16"/>
                <w:b w:val="1"/>
                <w:bCs w:val="1"/>
                <w:color w:val="auto"/>
              </w:rPr>
              <w:t>July 30, 2023</w:t>
            </w: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July 31, 2022</w:t>
            </w:r>
          </w:p>
        </w:tc>
        <w:tc>
          <w:tcPr>
            <w:tcW w:w="1560" w:type="dxa"/>
            <w:vAlign w:val="bottom"/>
            <w:gridSpan w:val="2"/>
          </w:tcPr>
          <w:p>
            <w:pPr>
              <w:ind w:left="300"/>
              <w:spacing w:after="0"/>
              <w:rPr>
                <w:sz w:val="20"/>
                <w:szCs w:val="20"/>
                <w:color w:val="auto"/>
              </w:rPr>
            </w:pPr>
            <w:r>
              <w:rPr>
                <w:rFonts w:ascii="Arial" w:cs="Arial" w:eastAsia="Arial" w:hAnsi="Arial"/>
                <w:sz w:val="16"/>
                <w:szCs w:val="16"/>
                <w:b w:val="1"/>
                <w:bCs w:val="1"/>
                <w:color w:val="auto"/>
              </w:rPr>
              <w:t>July 30, 2023</w:t>
            </w:r>
          </w:p>
        </w:tc>
        <w:tc>
          <w:tcPr>
            <w:tcW w:w="1500" w:type="dxa"/>
            <w:vAlign w:val="bottom"/>
          </w:tcPr>
          <w:p>
            <w:pPr>
              <w:jc w:val="right"/>
              <w:ind w:right="241"/>
              <w:spacing w:after="0"/>
              <w:rPr>
                <w:sz w:val="20"/>
                <w:szCs w:val="20"/>
                <w:color w:val="auto"/>
              </w:rPr>
            </w:pPr>
            <w:r>
              <w:rPr>
                <w:rFonts w:ascii="Arial" w:cs="Arial" w:eastAsia="Arial" w:hAnsi="Arial"/>
                <w:sz w:val="16"/>
                <w:szCs w:val="16"/>
                <w:b w:val="1"/>
                <w:bCs w:val="1"/>
                <w:color w:val="auto"/>
              </w:rPr>
              <w:t>July 31, 2022</w:t>
            </w:r>
          </w:p>
        </w:tc>
      </w:tr>
      <w:tr>
        <w:trPr>
          <w:trHeight w:val="237"/>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43.01</w:t>
            </w: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2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8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48.71</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dilutive impact of awards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2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w:t>
            </w:r>
          </w:p>
        </w:tc>
      </w:tr>
      <w:tr>
        <w:trPr>
          <w:trHeight w:val="217"/>
        </w:trPr>
        <w:tc>
          <w:tcPr>
            <w:tcW w:w="4540" w:type="dxa"/>
            <w:vAlign w:val="bottom"/>
          </w:tcPr>
          <w:p>
            <w:pPr>
              <w:ind w:left="20"/>
              <w:spacing w:after="0"/>
              <w:rPr>
                <w:sz w:val="20"/>
                <w:szCs w:val="20"/>
                <w:color w:val="auto"/>
              </w:rPr>
            </w:pPr>
            <w:r>
              <w:rPr>
                <w:rFonts w:ascii="Arial" w:cs="Arial" w:eastAsia="Arial" w:hAnsi="Arial"/>
                <w:sz w:val="16"/>
                <w:szCs w:val="16"/>
                <w:color w:val="auto"/>
              </w:rPr>
              <w:t>Weighted average awards excluded as anti-dilutive</w:t>
            </w:r>
          </w:p>
        </w:tc>
        <w:tc>
          <w:tcPr>
            <w:tcW w:w="148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0.29</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0.18</w:t>
            </w:r>
          </w:p>
        </w:tc>
      </w:tr>
    </w:tbl>
    <w:p>
      <w:pPr>
        <w:spacing w:after="0" w:line="310" w:lineRule="exact"/>
        <w:rPr>
          <w:sz w:val="20"/>
          <w:szCs w:val="20"/>
          <w:color w:val="auto"/>
        </w:rPr>
      </w:pPr>
    </w:p>
    <w:p>
      <w:pPr>
        <w:jc w:val="both"/>
        <w:ind w:firstLine="474"/>
        <w:spacing w:after="0" w:line="281" w:lineRule="auto"/>
        <w:rPr>
          <w:sz w:val="20"/>
          <w:szCs w:val="20"/>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 The Company accounts for acquisitions under the acquisition method of accounting, which requires the acquired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contingencies, be recorded at fair value determined on the acquisition date and changes thereafter reflected in income. For significant acquisitions, the Company obtains independent third-party valuation studies for certain of the assets acquired and liabilities assumed to assist the Company in determining fair value. The estimation of the fair values of the assets acquired and liabilities assumed involves a number of estimates and assumptions that could differ materially from the actual amounts realized. The Company provides assumptions, including both quantitative and qualitative information, about the specified asset or liability to the third-party valuation firms so they can assist in determining the fair value of assets and liabilities acquired. The Company then records acquired assets and liabilities at their estimated fair value based on the information provided. The third-party valuation firms are supervised by Company personnel who are knowledgeable about valuations and fair value. The Company evaluates the appropriateness of the assumptions and valuation methodologies utilized by the third-party valuation firms.</w:t>
      </w:r>
    </w:p>
    <w:p>
      <w:pPr>
        <w:spacing w:after="0" w:line="169"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We reviewed the accounting pronouncements that became effective for fiscal year 2023 and determined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they were not applicable, or they did not have a material impact on the consolidated financial statements. We also reviewed the recently issued accounting pronouncements to be adopted in future periods and determined that they are not expected to have a material impact on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Combinations</w:t>
      </w:r>
    </w:p>
    <w:p>
      <w:pPr>
        <w:spacing w:after="0" w:line="115"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On June 29, 2022, the Company acquired Main Event for net cash and contingent consideration. Main Event is also focused on food, drinks, and entertainment, largely for the demographic target of families with young children. The acquisition is expected to put the Company in a strategic position for accelerated, profitable growth in both brands as well as create cost synergies with our Dave &amp; Buster’s brand. We finalized our accounting for the Main Event Acquisition during the twenty-six weeks ended July 30,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7"/>
              </w:rPr>
              <w:t>DAVE &amp; BUSTER’S ENTERTAINMENT, INC.</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9760" w:type="dxa"/>
            <w:vAlign w:val="bottom"/>
          </w:tcPr>
          <w:p>
            <w:pPr>
              <w:jc w:val="center"/>
              <w:ind w:left="1392"/>
              <w:spacing w:after="0"/>
              <w:rPr>
                <w:sz w:val="20"/>
                <w:szCs w:val="20"/>
                <w:color w:val="auto"/>
              </w:rPr>
            </w:pPr>
            <w:r>
              <w:rPr>
                <w:rFonts w:ascii="Arial" w:cs="Arial" w:eastAsia="Arial" w:hAnsi="Arial"/>
                <w:sz w:val="18"/>
                <w:szCs w:val="18"/>
                <w:b w:val="1"/>
                <w:bCs w:val="1"/>
                <w:color w:val="auto"/>
                <w:w w:val="98"/>
              </w:rPr>
              <w:t>NOTES TO UNAUDITED CONSOLIDATED FINANCIAL STATEMENTS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8"/>
        </w:trPr>
        <w:tc>
          <w:tcPr>
            <w:tcW w:w="9760" w:type="dxa"/>
            <w:vAlign w:val="bottom"/>
          </w:tcPr>
          <w:p>
            <w:pPr>
              <w:jc w:val="center"/>
              <w:ind w:left="1412"/>
              <w:spacing w:after="0"/>
              <w:rPr>
                <w:sz w:val="20"/>
                <w:szCs w:val="20"/>
                <w:color w:val="auto"/>
              </w:rPr>
            </w:pPr>
            <w:r>
              <w:rPr>
                <w:rFonts w:ascii="Arial" w:cs="Arial" w:eastAsia="Arial" w:hAnsi="Arial"/>
                <w:sz w:val="18"/>
                <w:szCs w:val="18"/>
                <w:b w:val="1"/>
                <w:bCs w:val="1"/>
                <w:color w:val="auto"/>
                <w:w w:val="86"/>
              </w:rPr>
              <w:t>(in millions, except per share amounts)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804"/>
        </w:trPr>
        <w:tc>
          <w:tcPr>
            <w:tcW w:w="9760" w:type="dxa"/>
            <w:vAlign w:val="bottom"/>
          </w:tcPr>
          <w:p>
            <w:pPr>
              <w:ind w:left="480"/>
              <w:spacing w:after="0"/>
              <w:rPr>
                <w:sz w:val="20"/>
                <w:szCs w:val="20"/>
                <w:color w:val="auto"/>
              </w:rPr>
            </w:pPr>
            <w:r>
              <w:rPr>
                <w:rFonts w:ascii="Arial" w:cs="Arial" w:eastAsia="Arial" w:hAnsi="Arial"/>
                <w:sz w:val="18"/>
                <w:szCs w:val="18"/>
                <w:color w:val="auto"/>
              </w:rPr>
              <w:t>The components of the purchase price and net assets acquired in the Main Event Acquisition are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5"/>
        </w:trPr>
        <w:tc>
          <w:tcPr>
            <w:tcW w:w="9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Amount</w:t>
            </w:r>
          </w:p>
        </w:tc>
      </w:tr>
      <w:tr>
        <w:trPr>
          <w:trHeight w:val="37"/>
        </w:trPr>
        <w:tc>
          <w:tcPr>
            <w:tcW w:w="97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cash consideration</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w:t>
            </w:r>
          </w:p>
        </w:tc>
      </w:tr>
      <w:tr>
        <w:trPr>
          <w:trHeight w:val="263"/>
        </w:trPr>
        <w:tc>
          <w:tcPr>
            <w:tcW w:w="9760" w:type="dxa"/>
            <w:vAlign w:val="bottom"/>
          </w:tcPr>
          <w:p>
            <w:pPr>
              <w:ind w:left="2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2"/>
                <w:szCs w:val="22"/>
                <w:color w:val="auto"/>
                <w:vertAlign w:val="superscript"/>
              </w:rPr>
              <w:t>(1)</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6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56"/>
        </w:trPr>
        <w:tc>
          <w:tcPr>
            <w:tcW w:w="9760" w:type="dxa"/>
            <w:vAlign w:val="bottom"/>
          </w:tcPr>
          <w:p>
            <w:pPr>
              <w:ind w:left="20"/>
              <w:spacing w:after="0"/>
              <w:rPr>
                <w:sz w:val="20"/>
                <w:szCs w:val="20"/>
                <w:color w:val="auto"/>
              </w:rPr>
            </w:pPr>
            <w:r>
              <w:rPr>
                <w:rFonts w:ascii="Arial" w:cs="Arial" w:eastAsia="Arial" w:hAnsi="Arial"/>
                <w:sz w:val="18"/>
                <w:szCs w:val="18"/>
                <w:color w:val="auto"/>
              </w:rPr>
              <w:t>Total consideration paid</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6"/>
        </w:trPr>
        <w:tc>
          <w:tcPr>
            <w:tcW w:w="97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r>
      <w:tr>
        <w:trPr>
          <w:trHeight w:val="236"/>
        </w:trPr>
        <w:tc>
          <w:tcPr>
            <w:tcW w:w="9760" w:type="dxa"/>
            <w:vAlign w:val="bottom"/>
          </w:tcPr>
          <w:p>
            <w:pPr>
              <w:ind w:left="18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297.2</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6"/>
        </w:trPr>
        <w:tc>
          <w:tcPr>
            <w:tcW w:w="9760" w:type="dxa"/>
            <w:vAlign w:val="bottom"/>
          </w:tcPr>
          <w:p>
            <w:pPr>
              <w:ind w:left="180"/>
              <w:spacing w:after="0"/>
              <w:rPr>
                <w:sz w:val="20"/>
                <w:szCs w:val="20"/>
                <w:color w:val="auto"/>
              </w:rPr>
            </w:pPr>
            <w:r>
              <w:rPr>
                <w:rFonts w:ascii="Arial" w:cs="Arial" w:eastAsia="Arial" w:hAnsi="Arial"/>
                <w:sz w:val="18"/>
                <w:szCs w:val="18"/>
                <w:color w:val="auto"/>
              </w:rPr>
              <w:t>Other assets and deferred charges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6"/>
        </w:trPr>
        <w:tc>
          <w:tcPr>
            <w:tcW w:w="97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6"/>
        </w:trPr>
        <w:tc>
          <w:tcPr>
            <w:tcW w:w="976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r>
      <w:tr>
        <w:trPr>
          <w:trHeight w:val="236"/>
        </w:trPr>
        <w:tc>
          <w:tcPr>
            <w:tcW w:w="9760" w:type="dxa"/>
            <w:vAlign w:val="bottom"/>
          </w:tcPr>
          <w:p>
            <w:pPr>
              <w:ind w:left="1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9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Net assets acquired, excluding goodwill</w:t>
            </w: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w:t>
            </w:r>
          </w:p>
        </w:tc>
      </w:tr>
      <w:tr>
        <w:trPr>
          <w:trHeight w:val="27"/>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jc w:val="both"/>
        <w:ind w:left="320" w:hanging="236"/>
        <w:spacing w:after="0" w:line="224" w:lineRule="auto"/>
        <w:tabs>
          <w:tab w:leader="none" w:pos="3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 has an obligation to pay, in cash, an aggregate amount equal to any “Transaction Tax Benefits,” with respect to any taxable year of the Company after the Closing Date ending on or before December 31, 2028, including the current taxable year. This amount is based on the present value of the maximum amount provided in the Merger Agreement.</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09" w:lineRule="exact"/>
        <w:rPr>
          <w:sz w:val="20"/>
          <w:szCs w:val="20"/>
          <w:color w:val="auto"/>
        </w:rPr>
      </w:pPr>
    </w:p>
    <w:p>
      <w:pPr>
        <w:jc w:val="both"/>
        <w:ind w:firstLine="474"/>
        <w:spacing w:after="0" w:line="283" w:lineRule="auto"/>
        <w:rPr>
          <w:sz w:val="20"/>
          <w:szCs w:val="20"/>
          <w:color w:val="auto"/>
        </w:rPr>
      </w:pPr>
      <w:r>
        <w:rPr>
          <w:rFonts w:ascii="Arial" w:cs="Arial" w:eastAsia="Arial" w:hAnsi="Arial"/>
          <w:sz w:val="16"/>
          <w:szCs w:val="16"/>
          <w:color w:val="auto"/>
        </w:rPr>
        <w:t>To reflect the Acquisition as if it had occurred on January 31, 2022, the unaudited pro forma results include adjustments to reflect, among other things, the interest expense from debt financings obtained to partially fund the cash consideration transferred. Pro forma adjustments were tax effected at the Company’s historical statutory rates in effect for the respective periods. The unaudited pro forma amounts are not necessarily indicative of the combined results of operations that would have been realized had the acquisitions and related financings occurred on the aforementioned dates, nor are they meant to be indicative of any anticipated combined results of operations that the Company will experience after the transaction. In addition, the amounts do not include any adjustments for actions that may be taken following the completion of the transaction, such as expected cost savings, operating synergies, or revenue enhancements that may be realized subsequent to the transaction.</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unaudited pro forma information provides the effect of the Main Event Acquisition as if the acquisition had occurred on January 31, 2022:</w:t>
      </w:r>
    </w:p>
    <w:p>
      <w:pPr>
        <w:spacing w:after="0" w:line="28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Twenty-Six Weeks</w:t>
            </w:r>
          </w:p>
        </w:tc>
      </w:tr>
      <w:tr>
        <w:trPr>
          <w:trHeight w:val="183"/>
        </w:trPr>
        <w:tc>
          <w:tcPr>
            <w:tcW w:w="636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Thirteen Weeks Ended</w:t>
            </w:r>
          </w:p>
        </w:tc>
        <w:tc>
          <w:tcPr>
            <w:tcW w:w="160" w:type="dxa"/>
            <w:vAlign w:val="bottom"/>
          </w:tcPr>
          <w:p>
            <w:pPr>
              <w:spacing w:after="0"/>
              <w:rPr>
                <w:sz w:val="15"/>
                <w:szCs w:val="15"/>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Ended</w:t>
            </w:r>
          </w:p>
        </w:tc>
      </w:tr>
      <w:tr>
        <w:trPr>
          <w:trHeight w:val="37"/>
        </w:trPr>
        <w:tc>
          <w:tcPr>
            <w:tcW w:w="63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0"/>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July 31, 2022</w:t>
            </w:r>
          </w:p>
        </w:tc>
        <w:tc>
          <w:tcPr>
            <w:tcW w:w="160" w:type="dxa"/>
            <w:vAlign w:val="bottom"/>
          </w:tcPr>
          <w:p>
            <w:pPr>
              <w:spacing w:after="0"/>
              <w:rPr>
                <w:sz w:val="15"/>
                <w:szCs w:val="15"/>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July 31, 2022</w:t>
            </w:r>
          </w:p>
        </w:tc>
      </w:tr>
      <w:tr>
        <w:trPr>
          <w:trHeight w:val="37"/>
        </w:trPr>
        <w:tc>
          <w:tcPr>
            <w:tcW w:w="6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r>
      <w:tr>
        <w:trPr>
          <w:trHeight w:val="236"/>
        </w:trPr>
        <w:tc>
          <w:tcPr>
            <w:tcW w:w="6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92.7</w:t>
            </w:r>
          </w:p>
        </w:tc>
      </w:tr>
    </w:tbl>
    <w:p>
      <w:pPr>
        <w:spacing w:after="0" w:line="304" w:lineRule="exact"/>
        <w:rPr>
          <w:sz w:val="20"/>
          <w:szCs w:val="20"/>
          <w:color w:val="auto"/>
        </w:rPr>
      </w:pPr>
    </w:p>
    <w:p>
      <w:pPr>
        <w:ind w:firstLine="474"/>
        <w:spacing w:after="0" w:line="325" w:lineRule="auto"/>
        <w:rPr>
          <w:sz w:val="20"/>
          <w:szCs w:val="20"/>
          <w:color w:val="auto"/>
        </w:rPr>
      </w:pPr>
      <w:r>
        <w:rPr>
          <w:rFonts w:ascii="Arial" w:cs="Arial" w:eastAsia="Arial" w:hAnsi="Arial"/>
          <w:sz w:val="16"/>
          <w:szCs w:val="16"/>
          <w:color w:val="auto"/>
        </w:rPr>
        <w:t>The historical consolidated financial information of the Company and Main Event, as presented in the table above, has been adjusted to give effect to pro forma events that are directly attributable to the acquisition and related financing arrangements and are factually supportable.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Tradename Assets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the carrying amount of goodwill and tradename assets during fiscal 2023 and fiscal 2022 are as follows:</w:t>
      </w:r>
    </w:p>
    <w:p>
      <w:pPr>
        <w:spacing w:after="0" w:line="253" w:lineRule="exact"/>
        <w:rPr>
          <w:sz w:val="20"/>
          <w:szCs w:val="20"/>
          <w:color w:val="auto"/>
        </w:rPr>
      </w:pPr>
    </w:p>
    <w:tbl>
      <w:tblPr>
        <w:tblLayout w:type="fixed"/>
        <w:tblInd w:w="980" w:type="dxa"/>
        <w:tblCellMar>
          <w:top w:w="0" w:type="dxa"/>
          <w:left w:w="0" w:type="dxa"/>
          <w:bottom w:w="0" w:type="dxa"/>
          <w:right w:w="0" w:type="dxa"/>
        </w:tblCellMar>
      </w:tblPr>
      <w:tr>
        <w:trPr>
          <w:trHeight w:val="231"/>
        </w:trPr>
        <w:tc>
          <w:tcPr>
            <w:tcW w:w="5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Goodwill</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94"/>
              <w:spacing w:after="0"/>
              <w:rPr>
                <w:sz w:val="20"/>
                <w:szCs w:val="20"/>
                <w:color w:val="auto"/>
              </w:rPr>
            </w:pPr>
            <w:r>
              <w:rPr>
                <w:rFonts w:ascii="Arial" w:cs="Arial" w:eastAsia="Arial" w:hAnsi="Arial"/>
                <w:sz w:val="16"/>
                <w:szCs w:val="16"/>
                <w:b w:val="1"/>
                <w:bCs w:val="1"/>
                <w:color w:val="auto"/>
              </w:rPr>
              <w:t>Tradename</w:t>
            </w:r>
          </w:p>
        </w:tc>
      </w:tr>
      <w:tr>
        <w:trPr>
          <w:trHeight w:val="236"/>
        </w:trPr>
        <w:tc>
          <w:tcPr>
            <w:tcW w:w="5960" w:type="dxa"/>
            <w:vAlign w:val="bottom"/>
          </w:tcPr>
          <w:p>
            <w:pPr>
              <w:ind w:left="20"/>
              <w:spacing w:after="0"/>
              <w:rPr>
                <w:sz w:val="20"/>
                <w:szCs w:val="20"/>
                <w:color w:val="auto"/>
              </w:rPr>
            </w:pPr>
            <w:r>
              <w:rPr>
                <w:rFonts w:ascii="Arial" w:cs="Arial" w:eastAsia="Arial" w:hAnsi="Arial"/>
                <w:sz w:val="18"/>
                <w:szCs w:val="18"/>
                <w:color w:val="auto"/>
              </w:rPr>
              <w:t>Balance at January 30, 2022</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 of Main Event </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Balance at January 29, 2023</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Adjustments to Main Event goodwill </w:t>
            </w:r>
            <w:r>
              <w:rPr>
                <w:rFonts w:ascii="Arial" w:cs="Arial" w:eastAsia="Arial" w:hAnsi="Arial"/>
                <w:sz w:val="22"/>
                <w:szCs w:val="22"/>
                <w:color w:val="auto"/>
                <w:vertAlign w:val="superscript"/>
              </w:rPr>
              <w:t>(1)(2)</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Balance at July 30, 2023</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1040" w:hanging="244"/>
        <w:spacing w:after="0"/>
        <w:tabs>
          <w:tab w:leader="none" w:pos="104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See Note 2 for discussion of the Main Event acquisition.</w:t>
      </w:r>
    </w:p>
    <w:p>
      <w:pPr>
        <w:spacing w:after="0" w:line="50" w:lineRule="exact"/>
        <w:rPr>
          <w:rFonts w:ascii="Arial" w:cs="Arial" w:eastAsia="Arial" w:hAnsi="Arial"/>
          <w:sz w:val="21"/>
          <w:szCs w:val="21"/>
          <w:color w:val="auto"/>
          <w:vertAlign w:val="superscript"/>
        </w:rPr>
      </w:pPr>
    </w:p>
    <w:p>
      <w:pPr>
        <w:ind w:left="1040" w:right="860" w:hanging="244"/>
        <w:spacing w:after="0" w:line="209" w:lineRule="auto"/>
        <w:tabs>
          <w:tab w:leader="none" w:pos="1156"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Adjustments to preliminary purchase price recorded during the twenty-six weeks ended July 30, 2023. The Company finalized its purchase accounting related to the Main Event acquisition in the second quarter of fiscal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Accrued Liabilities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160" w:type="dxa"/>
            <w:vAlign w:val="bottom"/>
          </w:tcPr>
          <w:p>
            <w:pPr>
              <w:spacing w:after="0"/>
              <w:rPr>
                <w:sz w:val="15"/>
                <w:szCs w:val="15"/>
                <w:color w:val="auto"/>
              </w:rPr>
            </w:pPr>
          </w:p>
        </w:tc>
        <w:tc>
          <w:tcPr>
            <w:tcW w:w="13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January 29, 2023</w:t>
            </w: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entertainment revenue</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Current portion of operating lease liabilities, net </w:t>
            </w:r>
            <w:r>
              <w:rPr>
                <w:rFonts w:ascii="Arial" w:cs="Arial" w:eastAsia="Arial" w:hAnsi="Arial"/>
                <w:sz w:val="22"/>
                <w:szCs w:val="22"/>
                <w:color w:val="auto"/>
                <w:vertAlign w:val="superscript"/>
              </w:rPr>
              <w:t>(1)</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gift card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Sales and use and other taxes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variable rent costs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Utilities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insurance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r>
      <w:tr>
        <w:trPr>
          <w:trHeight w:val="20"/>
        </w:trPr>
        <w:tc>
          <w:tcPr>
            <w:tcW w:w="8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240" w:right="80" w:hanging="235"/>
        <w:spacing w:after="0" w:line="224" w:lineRule="auto"/>
        <w:tabs>
          <w:tab w:leader="none" w:pos="2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balance of leasehold incentive receivables of $5.4 and $6.0 as of July 30, 2023 and January 29, 2023, respectively, is reflected as a reduction of the current portion of operating lease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15"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We currently lease most of the buildings or sites for our stores, store support center,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contingent rentals based on revenues.</w:t>
      </w:r>
    </w:p>
    <w:p>
      <w:pPr>
        <w:spacing w:after="0" w:line="165"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store support center and warehouse, in the Consolidated Statements of Comprehensive Income.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9"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The components of lease expense, including variable lease costs primarily consisting of common area maintenance charges and property taxes,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5"/>
                <w:szCs w:val="15"/>
                <w:color w:val="auto"/>
              </w:rPr>
            </w:pPr>
          </w:p>
        </w:tc>
        <w:tc>
          <w:tcPr>
            <w:tcW w:w="282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Twenty-Six Weeks Ended</w:t>
            </w:r>
          </w:p>
        </w:tc>
      </w:tr>
      <w:tr>
        <w:trPr>
          <w:trHeight w:val="37"/>
        </w:trPr>
        <w:tc>
          <w:tcPr>
            <w:tcW w:w="50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0"/>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2022</w:t>
            </w:r>
          </w:p>
        </w:tc>
        <w:tc>
          <w:tcPr>
            <w:tcW w:w="2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5"/>
                <w:szCs w:val="15"/>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rPr>
              <w:t>July 31, 2022</w:t>
            </w:r>
          </w:p>
        </w:tc>
      </w:tr>
      <w:tr>
        <w:trPr>
          <w:trHeight w:val="37"/>
        </w:trPr>
        <w:tc>
          <w:tcPr>
            <w:tcW w:w="5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36"/>
        </w:trPr>
        <w:tc>
          <w:tcPr>
            <w:tcW w:w="50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6"/>
        </w:trPr>
        <w:tc>
          <w:tcPr>
            <w:tcW w:w="506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Operating lease payments in the table above includes minimum lease payments for future sites for which the leases have commenced. As of July 30, 2023, the Company had signed lease agreements with total lease payments of approximately $183.6 related to ten facility leases which had not yet commenced. Fixed minimum lease payments related to these facilities are not included in the right-of-use assets and lease liabilities on the consolidated balance sheet as of July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160" w:type="dxa"/>
            <w:vAlign w:val="bottom"/>
          </w:tcPr>
          <w:p>
            <w:pPr>
              <w:spacing w:after="0"/>
              <w:rPr>
                <w:sz w:val="15"/>
                <w:szCs w:val="15"/>
                <w:color w:val="auto"/>
              </w:rPr>
            </w:pPr>
          </w:p>
        </w:tc>
        <w:tc>
          <w:tcPr>
            <w:tcW w:w="13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January 29, 2023</w:t>
            </w:r>
          </w:p>
        </w:tc>
      </w:tr>
      <w:tr>
        <w:trPr>
          <w:trHeight w:val="24"/>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facility—revolver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Credit facility—term loan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847.9</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37"/>
        </w:trPr>
        <w:tc>
          <w:tcPr>
            <w:tcW w:w="8180" w:type="dxa"/>
            <w:vAlign w:val="bottom"/>
          </w:tcPr>
          <w:p>
            <w:pPr>
              <w:ind w:left="240"/>
              <w:spacing w:after="0"/>
              <w:rPr>
                <w:sz w:val="20"/>
                <w:szCs w:val="20"/>
                <w:color w:val="auto"/>
              </w:rPr>
            </w:pPr>
            <w:r>
              <w:rPr>
                <w:rFonts w:ascii="Arial" w:cs="Arial" w:eastAsia="Arial" w:hAnsi="Arial"/>
                <w:sz w:val="18"/>
                <w:szCs w:val="18"/>
                <w:color w:val="auto"/>
              </w:rPr>
              <w:t>Total debt outstanding</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1,287.9</w:t>
            </w:r>
          </w:p>
        </w:tc>
      </w:tr>
      <w:tr>
        <w:trPr>
          <w:trHeight w:val="257"/>
        </w:trPr>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current installments of long-term debt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1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Less issue discounts and debt issuance costs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r>
      <w:tr>
        <w:trPr>
          <w:trHeight w:val="268"/>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June 29, 2022 Credit Facility</w:t>
      </w:r>
    </w:p>
    <w:p>
      <w:pPr>
        <w:spacing w:after="0" w:line="215"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8"/>
          <w:szCs w:val="18"/>
          <w:color w:val="auto"/>
        </w:rPr>
        <w:t>In connection with the closing of the Main Event Acquisition on June 29, 2022, D&amp;B Inc entered into a senior secured credit agreement, which refinanced the $500.0 existing revolving facility, extended the maturity date to June 29, 2027, and added a new term loan facility in the aggregate principal amount of $850.0, with a maturity date of June 29, 2029 (“Credit Facility”). The proceeds of the term loan, net of an original issue discount of $42.5, were used to pay the consideration for the Acquisition. The revolving credit facility can expire before the stated maturity date if the aggregate outstanding principal amount of the 7.625% senior notes (described below) exceeds $100.0 91 days prior to November 1, 2025. A portion of the revolving facility not to exceed $35.0 is available for the issuance of letters of credit.</w:t>
      </w:r>
    </w:p>
    <w:p>
      <w:pPr>
        <w:spacing w:after="0" w:line="197"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As of July 30, 2023, we had letters of credit outstanding of $9.8 and an unused commitment balance of $490.2 under the revolving facility. The Credit Facility may be increased through incremental facilities, by an amount equal to the greater of (i) $400.0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62"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8"/>
          <w:szCs w:val="18"/>
          <w:color w:val="auto"/>
        </w:rPr>
        <w:t>During fiscal 2020, the Company issued $550.0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2022, the Company redeemed a total of $110.0 outstanding principal amount of the Notes. The Company may elect to further redeem the Notes, in whole or in part, at certain specified redemption prices, plus accrued and unpaid interest, at the redemption date.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First Amendment to the Credit Facility (the "Amendment")</w:t>
      </w:r>
    </w:p>
    <w:p>
      <w:pPr>
        <w:spacing w:after="0" w:line="215"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6"/>
          <w:szCs w:val="16"/>
          <w:color w:val="auto"/>
        </w:rPr>
        <w:t>On June 30, 2023, D&amp;B Inc entered into the Amendment with its banking syndicate, which amended the Credit Facility. The Amendment provides for a new tranche of term loans in an aggregate principal amount of $900.0 (the “2023 Term B Loans”) which consist of $843.6 of 2023 refinancing Term B Loans which refinanced in full the term loans outstanding immediately prior to the Amendment effective date and $56.4 of 2023 additional Term B Loans, which will be used for general corporate and working capital purposes. The 2023 Term B Loans were issued with an original issue discount of 1%, reduced the interest rate margin applicable to term loans and revolving loans outstanding under the Credit Agreement by 1.25% and otherwise have terms substantially the same as the terms of the existing Term B Loans under the June 29, 2022 Credit Facility. The 2023 Term B Loans may be prepaid at any time, without premium or penalty, but are subject to a prepayment premium of 1.00% (subject to certain exceptions) if certain refinancing of, or amendment to, reduce the all-in-yield of the 2023 Term B Loans is made at any time during the first six months after the Amendment effective date.</w:t>
      </w:r>
    </w:p>
    <w:p>
      <w:pPr>
        <w:spacing w:after="0" w:line="168"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The 2023 Term B Loans will bear interest at Term SOFR (plus an additional credit spread adjustment of 0.10%) or ABR (each, as defined in the amended Credit Agreement) plus (i) in the case of Term SOFR loans, 3.75% per annum and (ii) in the case of ABR loans, 2.75% per annum. The Revolving Loans will continue to bear interest subject to a pricing grid based on the Borrower’s net total leverage, at Term SOFR (plus an additional credit spread adjustment of 0.10%) plus a spread ranging from 3.00% to 3.50% per annum or ABR plus a spread ranging from 2.00% to 2.50% per annum. Unused commitments under the revolving facility incur initial commitment fees of 0.30% to 0.50%.</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Loss on debt refinancing and amortization of issuance costs</w:t>
      </w:r>
    </w:p>
    <w:p>
      <w:pPr>
        <w:spacing w:after="0" w:line="215"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8"/>
          <w:szCs w:val="18"/>
          <w:color w:val="auto"/>
        </w:rPr>
        <w:t>Immediately prior to the Amendment, the Company had $46.9 of unamortized issuance discounts and costs. As certain lenders exited the syndicate and were replaced by new syndicate members and the term loan facility was increased in size, a portion of the term loan facility was deemed extinguished and a portion was determined to be modified. As a result, $8.5 of unamortized costs were written off and $2.7 of new fees were expensed on the modified portion resulting in a total charge of $11.2 included in loss on debt refinancing on the consolidated statement of income for the thirteen and twenty-six weeks ended July 31, 2022. The remaining $38.4 of the unamortized issuance discounts and $9.4 of new issuance discount and costs were deferred and will be amortized into interest expense, net.</w:t>
      </w:r>
    </w:p>
    <w:p>
      <w:pPr>
        <w:spacing w:after="0" w:line="197"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Amortization of debt issuance costs and original issue discount was $3.0 and $2.6 for the twenty-six weeks ended July 30, 2023 and July 31, 2022, respectively. The Company’s weighted average effective interest rate on our total debt facilities was 10.3% and 10.1% for the twenty-six weeks ended July 30, 2023 and July 31, 2022, respectively.</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Restrictive covenants and debt compliance</w:t>
      </w:r>
    </w:p>
    <w:p>
      <w:pPr>
        <w:spacing w:after="0" w:line="215"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We were in compliance with our covenants and the terms of our debt agreements as of July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We are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 and Share-Based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issuances and repurchases</w:t>
      </w:r>
    </w:p>
    <w:p>
      <w:pPr>
        <w:spacing w:after="0" w:line="215"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The Company treats shares withheld for tax purposes on behalf of our employees in connection with the vesting of time-based and performance restricted stock units as common stock repurchases because they reduce the number of shares that would have been issued upon vesting. These were immaterial for all periods presented.</w:t>
      </w:r>
    </w:p>
    <w:p>
      <w:pPr>
        <w:spacing w:after="0" w:line="189" w:lineRule="exact"/>
        <w:rPr>
          <w:sz w:val="20"/>
          <w:szCs w:val="20"/>
          <w:color w:val="auto"/>
        </w:rPr>
      </w:pPr>
    </w:p>
    <w:p>
      <w:pPr>
        <w:jc w:val="both"/>
        <w:ind w:firstLine="474"/>
        <w:spacing w:after="0" w:line="248" w:lineRule="auto"/>
        <w:rPr>
          <w:sz w:val="20"/>
          <w:szCs w:val="20"/>
          <w:color w:val="auto"/>
        </w:rPr>
      </w:pPr>
      <w:r>
        <w:rPr>
          <w:rFonts w:ascii="Arial" w:cs="Arial" w:eastAsia="Arial" w:hAnsi="Arial"/>
          <w:sz w:val="18"/>
          <w:szCs w:val="18"/>
          <w:color w:val="auto"/>
        </w:rPr>
        <w:t>On March 27, 2023, our Board of Directors approved a share repurchase program with an authorization limit of $100.0. During the twenty-six weeks ended July 30, 2023, the Company repurchased the full $100.0 authorized amount. On April 19, 2023, our Board of Directors approved an increase to the authorization limit of $200.0 for a total of $300.0 authorized under the program. During the twenty-six weeks ended July 30, 2023, the Company repurchased 5.70 million shares at an average of $35.12 per share. The remaining dollar value of shares that may be repurchased under the program is $100.0 as of July 30, 2023. The repurchase program expires at the end of fiscal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compensation expense related to share-based compensation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68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4"/>
          </w:tcPr>
          <w:p>
            <w:pPr>
              <w:jc w:val="right"/>
              <w:ind w:right="661"/>
              <w:spacing w:after="0"/>
              <w:rPr>
                <w:sz w:val="20"/>
                <w:szCs w:val="20"/>
                <w:color w:val="auto"/>
              </w:rPr>
            </w:pPr>
            <w:r>
              <w:rPr>
                <w:rFonts w:ascii="Arial" w:cs="Arial" w:eastAsia="Arial" w:hAnsi="Arial"/>
                <w:sz w:val="14"/>
                <w:szCs w:val="14"/>
                <w:b w:val="1"/>
                <w:bCs w:val="1"/>
                <w:color w:val="auto"/>
              </w:rPr>
              <w:t>Twenty-Six Weeks Ended</w:t>
            </w:r>
          </w:p>
        </w:tc>
      </w:tr>
      <w:tr>
        <w:trPr>
          <w:trHeight w:val="37"/>
        </w:trPr>
        <w:tc>
          <w:tcPr>
            <w:tcW w:w="50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0"/>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July 30,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July 31, 2022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Arial" w:cs="Arial" w:eastAsia="Arial" w:hAnsi="Arial"/>
                <w:sz w:val="14"/>
                <w:szCs w:val="14"/>
                <w:b w:val="1"/>
                <w:bCs w:val="1"/>
                <w:color w:val="auto"/>
              </w:rPr>
              <w:t>July 31, 2022</w:t>
            </w:r>
          </w:p>
        </w:tc>
      </w:tr>
      <w:tr>
        <w:trPr>
          <w:trHeight w:val="37"/>
        </w:trPr>
        <w:tc>
          <w:tcPr>
            <w:tcW w:w="5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share-based compensation award activity during the twenty-six weeks ended July 30, 2023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Restricted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6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Stock Units</w:t>
            </w:r>
          </w:p>
        </w:tc>
        <w:tc>
          <w:tcPr>
            <w:tcW w:w="340" w:type="dxa"/>
            <w:vAlign w:val="bottom"/>
          </w:tcPr>
          <w:p>
            <w:pPr>
              <w:spacing w:after="0"/>
              <w:rPr>
                <w:sz w:val="17"/>
                <w:szCs w:val="17"/>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37"/>
        </w:trPr>
        <w:tc>
          <w:tcPr>
            <w:tcW w:w="66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29, 2023</w:t>
            </w: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RSU vestings</w:t>
            </w:r>
          </w:p>
        </w:tc>
        <w:tc>
          <w:tcPr>
            <w:tcW w:w="1000" w:type="dxa"/>
            <w:vAlign w:val="bottom"/>
          </w:tcPr>
          <w:p>
            <w:pPr>
              <w:spacing w:after="0"/>
              <w:rPr>
                <w:sz w:val="20"/>
                <w:szCs w:val="20"/>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Outstanding at July 30, 2023</w:t>
            </w:r>
          </w:p>
        </w:tc>
        <w:tc>
          <w:tcPr>
            <w:tcW w:w="10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Remaining unrecognized compensation expense</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6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The fair value of our time-based and performance-based restricted stock units is based on our closing stock price on the date of grant. The grant date fair value of stock options was determined using the Black-Scholes option valuation model. The grant date fair value of performance-based awards with market conditions was determined using the Monte Carlo valuation model. The unrecognized expense will all be substantially recognized by the end of fiscal 2025.</w:t>
      </w:r>
    </w:p>
    <w:p>
      <w:pPr>
        <w:spacing w:after="0" w:line="153"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During the twenty-six weeks ended July 30, 2023, the Company granted certain options, time-based, performance-based, and market-based restricted stock units to employees and directors of the Company. These grants vest over a range of one year to 5 years. Certain of the market-based restricted stock units can vest earlier if the targets are achieved prior to that time. As a result, the requisite service period for such grants was determined to be less than the explicit service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15"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The effective tax rate for the twenty-six weeks ended July 30, 2023, was 22.4%, compared to 23.3% for the twenty-six weeks ended July 31, 2022. The current year tax provision includes a favorable state apportionment impact resulting from the acquisition of Main Event and legal entity restructuring as well as lower permanent differences, primarily non-deductible transaction costs as compared to the prior year.</w:t>
      </w:r>
    </w:p>
    <w:p>
      <w:pPr>
        <w:spacing w:after="0" w:line="153"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Intended to provide economic relief to those impacted by the COVID-19 pandemic, the CARES Act includes provisions,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millions, except per share amounts)</w:t>
      </w:r>
    </w:p>
    <w:p>
      <w:pPr>
        <w:spacing w:after="0" w:line="200" w:lineRule="exact"/>
        <w:rPr>
          <w:sz w:val="20"/>
          <w:szCs w:val="20"/>
          <w:color w:val="auto"/>
        </w:rPr>
      </w:pPr>
    </w:p>
    <w:p>
      <w:pPr>
        <w:spacing w:after="0" w:line="3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among others, allowing for the carryback of net operating losses generated in fiscal 2018, 2019 and 2020. The Company has $24.2 of federal tax refunds remaining from the fiscal 2020 carryback claim filed during fiscal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w:t>
      </w:r>
    </w:p>
    <w:p>
      <w:pPr>
        <w:spacing w:after="0" w:line="221"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On September 4, 2023, our Board of Directors authorized an additional $100.0 under an existing share repurchase program (see Note 8), under which the Company may repurchase shares on the open market, through privately negotiated transactions and through trading plans. The share repurchase program may be modified, suspended, or discontinued at any time. After the additional authorized amount, the remaining dollar value of shares that may be repurchased under the program is $200.0.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March 28, 2023. Amounts included in the following discussion, except for operating weeks and per share amounts, are rounded in millions.</w:t>
      </w:r>
    </w:p>
    <w:p>
      <w:pPr>
        <w:spacing w:after="0" w:line="56"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6"/>
          <w:szCs w:val="16"/>
          <w:color w:val="auto"/>
        </w:rPr>
        <w:t>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68" w:lineRule="exact"/>
        <w:rPr>
          <w:sz w:val="20"/>
          <w:szCs w:val="20"/>
          <w:color w:val="auto"/>
        </w:rPr>
      </w:pPr>
    </w:p>
    <w:p>
      <w:pPr>
        <w:jc w:val="both"/>
        <w:ind w:firstLine="474"/>
        <w:spacing w:after="0" w:line="28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Forward-looking statements are not a guarantee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March 28, 2023.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Highlights</w:t>
      </w:r>
    </w:p>
    <w:p>
      <w:pPr>
        <w:spacing w:after="0" w:line="115" w:lineRule="exact"/>
        <w:rPr>
          <w:sz w:val="20"/>
          <w:szCs w:val="20"/>
          <w:color w:val="auto"/>
        </w:rPr>
      </w:pPr>
    </w:p>
    <w:p>
      <w:pPr>
        <w:ind w:left="940" w:hanging="46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 second quarter revenue of $542.1 million increased 15.7% from the second quarter of 2022.</w:t>
      </w:r>
    </w:p>
    <w:p>
      <w:pPr>
        <w:spacing w:after="0" w:line="175" w:lineRule="exact"/>
        <w:rPr>
          <w:rFonts w:ascii="Arial" w:cs="Arial" w:eastAsia="Arial" w:hAnsi="Arial"/>
          <w:sz w:val="18"/>
          <w:szCs w:val="18"/>
          <w:color w:val="auto"/>
        </w:rPr>
      </w:pPr>
    </w:p>
    <w:p>
      <w:pPr>
        <w:ind w:left="960" w:hanging="322"/>
        <w:spacing w:after="0" w:line="262"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Pro forma combined comparable store sales (including Main Event branded stores) decreased 6.3% compared with the same period in 2022 and increased 5.8% compared with the same period in 2019.</w:t>
      </w:r>
    </w:p>
    <w:p>
      <w:pPr>
        <w:spacing w:after="0" w:line="154" w:lineRule="exact"/>
        <w:rPr>
          <w:rFonts w:ascii="Arial" w:cs="Arial" w:eastAsia="Arial" w:hAnsi="Arial"/>
          <w:sz w:val="18"/>
          <w:szCs w:val="18"/>
          <w:color w:val="auto"/>
        </w:rPr>
      </w:pPr>
    </w:p>
    <w:p>
      <w:pPr>
        <w:ind w:left="960" w:hanging="322"/>
        <w:spacing w:after="0" w:line="262"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income totaled $25.9 million, or $0.60 per diluted share, compared with net income of $29.1 million, or $0.59 per diluted share in the second quarter of 2022.</w:t>
      </w:r>
    </w:p>
    <w:p>
      <w:pPr>
        <w:spacing w:after="0" w:line="140" w:lineRule="exact"/>
        <w:rPr>
          <w:rFonts w:ascii="Arial" w:cs="Arial" w:eastAsia="Arial" w:hAnsi="Arial"/>
          <w:sz w:val="18"/>
          <w:szCs w:val="18"/>
          <w:color w:val="auto"/>
        </w:rPr>
      </w:pPr>
    </w:p>
    <w:p>
      <w:pPr>
        <w:ind w:left="940" w:hanging="302"/>
        <w:spacing w:after="0"/>
        <w:tabs>
          <w:tab w:leader="none" w:pos="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Record Adjusted EBITDA of $140.3 million in the quarter increased 21.3% from the second quarter of 2022.</w:t>
      </w:r>
    </w:p>
    <w:p>
      <w:pPr>
        <w:spacing w:after="0" w:line="175" w:lineRule="exact"/>
        <w:rPr>
          <w:rFonts w:ascii="Arial" w:cs="Arial" w:eastAsia="Arial" w:hAnsi="Arial"/>
          <w:sz w:val="18"/>
          <w:szCs w:val="18"/>
          <w:color w:val="auto"/>
        </w:rPr>
      </w:pPr>
    </w:p>
    <w:p>
      <w:pPr>
        <w:ind w:left="960" w:hanging="322"/>
        <w:spacing w:after="0" w:line="262"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Ended the second quarter with $568.8 million of liquidity, which included $82.6 million in cash and $490.2 million available under its $500 million revolving credit facility.</w:t>
      </w:r>
    </w:p>
    <w:p>
      <w:pPr>
        <w:spacing w:after="0" w:line="75" w:lineRule="exact"/>
        <w:rPr>
          <w:rFonts w:ascii="Arial" w:cs="Arial" w:eastAsia="Arial" w:hAnsi="Arial"/>
          <w:sz w:val="18"/>
          <w:szCs w:val="18"/>
          <w:color w:val="auto"/>
        </w:rPr>
      </w:pPr>
    </w:p>
    <w:p>
      <w:pPr>
        <w:ind w:left="960" w:hanging="480"/>
        <w:spacing w:after="0" w:line="325" w:lineRule="auto"/>
        <w:tabs>
          <w:tab w:leader="none" w:pos="9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purchased 2.1 million shares at a total cost of $74.5 million in the second quarter. Total share repurchases to date in fiscal 2023 are 5.7 million shares totaling $200.0 million and representing 11.8% of the Company's outstanding shares as of the end of fiscal 2022.</w:t>
      </w:r>
    </w:p>
    <w:p>
      <w:pPr>
        <w:spacing w:after="0" w:line="28" w:lineRule="exact"/>
        <w:rPr>
          <w:rFonts w:ascii="Arial" w:cs="Arial" w:eastAsia="Arial" w:hAnsi="Arial"/>
          <w:sz w:val="16"/>
          <w:szCs w:val="16"/>
          <w:color w:val="auto"/>
        </w:rPr>
      </w:pPr>
    </w:p>
    <w:p>
      <w:pPr>
        <w:ind w:left="960" w:hanging="480"/>
        <w:spacing w:after="0" w:line="262"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opportunistically amended its credit agreement, reducing the interest rate margin applicable to term loans and revolving loans outstanding under the credit agreement by 1.25%.</w:t>
      </w:r>
    </w:p>
    <w:p>
      <w:pPr>
        <w:spacing w:after="0" w:line="154" w:lineRule="exact"/>
        <w:rPr>
          <w:rFonts w:ascii="Arial" w:cs="Arial" w:eastAsia="Arial" w:hAnsi="Arial"/>
          <w:sz w:val="18"/>
          <w:szCs w:val="18"/>
          <w:color w:val="auto"/>
        </w:rPr>
      </w:pPr>
    </w:p>
    <w:p>
      <w:pPr>
        <w:jc w:val="both"/>
        <w:ind w:left="960" w:hanging="322"/>
        <w:spacing w:after="0" w:line="253"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opened two new Dave &amp; Buster's stores in Lubbock, TX and Queen Creek, AZ and one new Main Event store in Greenville, SC in the second quarter. Subsequent to the end of the quarter, the Company opened one new Dave &amp; Buster's store in Des Moines, IA and one new Main Event store in Fayetteville, 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We are a leading owner and operator of high-volume venues in North America that combine dining and entertainment for both adults and families under the “Dave &amp; Buster’s” and “Main Event” brands. The core of our concept is to offer our customers quality dining and various forms of entertainment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teenagers. We believe we appeal to a diverse customer base by providing a highly customizable experience in a dynamic and fun setting.</w:t>
      </w:r>
    </w:p>
    <w:p>
      <w:pPr>
        <w:spacing w:after="0" w:line="109"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Our Dave &amp; Buster’s stores average 40,000 square feet and range in size between 16,000 and 70,000 square feet. Our Main Event stores average 54,000 square feet and range in size between 37,500 and 78,000 square feet. Generally, our stores are open seven days a week, with normal hours of operation generally from between 10:00 to 11:30 a.m. until midnight, with stores typically open for extended hours on weekends.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 of Our Performance</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monitor and analyze several key performance measures to manage our business and evaluate financial and operating performance, including:</w:t>
      </w:r>
    </w:p>
    <w:p>
      <w:pPr>
        <w:spacing w:after="0" w:line="238"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b w:val="1"/>
          <w:bCs w:val="1"/>
          <w:i w:val="1"/>
          <w:iCs w:val="1"/>
          <w:color w:val="auto"/>
        </w:rPr>
        <w:t xml:space="preserve">Comparable store sales. </w:t>
      </w:r>
      <w:r>
        <w:rPr>
          <w:rFonts w:ascii="Arial" w:cs="Arial" w:eastAsia="Arial" w:hAnsi="Arial"/>
          <w:sz w:val="16"/>
          <w:szCs w:val="16"/>
          <w:color w:val="auto"/>
        </w:rPr>
        <w:t>Comparable store sales are a comparison of sales to the same period of prior years for the comparable store base.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historically define the comparable store base to include those stores open for a full 18 months before the beginning of the fiscal year and excluding stores permanently closed during the period. For fiscal 2023, our comparable store base consists of 141 Dave &amp; Buster's branded stores. Our Main Event branded stores are not included in comparable store sales for the thirteen and twenty-six weeks ended July 30, 2023.</w:t>
      </w:r>
    </w:p>
    <w:p>
      <w:pPr>
        <w:spacing w:after="0" w:line="162"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b w:val="1"/>
          <w:bCs w:val="1"/>
          <w:i w:val="1"/>
          <w:iCs w:val="1"/>
          <w:color w:val="auto"/>
        </w:rPr>
        <w:t xml:space="preserve">New store openings. </w:t>
      </w:r>
      <w:r>
        <w:rPr>
          <w:rFonts w:ascii="Arial" w:cs="Arial" w:eastAsia="Arial" w:hAnsi="Arial"/>
          <w:sz w:val="16"/>
          <w:szCs w:val="16"/>
          <w:color w:val="auto"/>
        </w:rPr>
        <w:t>Our ability to expand our business and reach new customers is influenced by the opening of additional stores in both new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markets. The success of our new stores is indicative of our brand appeal and the efficacy of our site selection and operating models. For the twenty-six weeks ended July 30, 2023, we opened seven new stores (three Dave &amp; Buster's branded stores and four Main Event branded stores).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5"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Credit Adjusted EBITDA,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spacing w:after="0" w:line="90" w:lineRule="exact"/>
        <w:rPr>
          <w:sz w:val="20"/>
          <w:szCs w:val="20"/>
          <w:color w:val="auto"/>
        </w:rPr>
      </w:pPr>
    </w:p>
    <w:p>
      <w:pPr>
        <w:jc w:val="both"/>
        <w:ind w:firstLine="474"/>
        <w:spacing w:after="0" w:line="281" w:lineRule="auto"/>
        <w:rPr>
          <w:sz w:val="20"/>
          <w:szCs w:val="20"/>
          <w:color w:val="auto"/>
        </w:rPr>
      </w:pPr>
      <w:r>
        <w:rPr>
          <w:rFonts w:ascii="Arial" w:cs="Arial" w:eastAsia="Arial" w:hAnsi="Arial"/>
          <w:sz w:val="16"/>
          <w:szCs w:val="16"/>
          <w:color w:val="auto"/>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which may be important in analyzing our GAAP results. Because Adjusted EBITDA does not account for these expenses, its utility as a measure of our operating performance has material limitations. Our calculations of Adjusted EBITDA adjust for these amounts because they do not directly relate to the ongoing operations of the currently underlying business of our stores and therefore complicate comparison of the underlying business between periods. Nevertheless, because of the limitations described above, management does not view Adjusted EBITDA, Adjusted EBITDA Margin, Credit Adjusted EBITDA, Store Operating Income Before Depreciation and Amortization or Store Operating Income Before Depreciation and Amortization Margin in isolation and also uses other measures, such as revenues, gross margin, operating income and net income to measure operating performance.</w:t>
      </w:r>
    </w:p>
    <w:p>
      <w:pPr>
        <w:spacing w:after="0" w:line="64"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b w:val="1"/>
          <w:bCs w:val="1"/>
          <w:i w:val="1"/>
          <w:iCs w:val="1"/>
          <w:color w:val="auto"/>
        </w:rPr>
        <w:t>Adjusted EBITDA and Adjusted EBITDA Margin</w:t>
      </w:r>
      <w:r>
        <w:rPr>
          <w:rFonts w:ascii="Arial" w:cs="Arial" w:eastAsia="Arial" w:hAnsi="Arial"/>
          <w:sz w:val="16"/>
          <w:szCs w:val="16"/>
          <w:color w:val="auto"/>
        </w:rPr>
        <w:t>. We define “Adjusted EBITDA” as net income (loss), plus interest expense, net, loss on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refinancing, provision (benefit) for income taxes, depreciation and amortization expense, loss on asset disposal, impairment of long-lived assets, share-based compensation, currency transaction (gains) losses and other costs. “Adjusted EBITDA Margin” is defined as Adjusted EBITDA divided by total revenues.</w:t>
      </w:r>
    </w:p>
    <w:p>
      <w:pPr>
        <w:spacing w:after="0" w:line="48"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Credit Adjusted EBITDA</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474"/>
        <w:spacing w:after="0" w:line="248" w:lineRule="auto"/>
        <w:rPr>
          <w:sz w:val="20"/>
          <w:szCs w:val="20"/>
          <w:color w:val="auto"/>
        </w:rPr>
      </w:pPr>
      <w:r>
        <w:rPr>
          <w:rFonts w:ascii="Arial" w:cs="Arial" w:eastAsia="Arial" w:hAnsi="Arial"/>
          <w:sz w:val="18"/>
          <w:szCs w:val="18"/>
          <w:color w:val="auto"/>
        </w:rPr>
        <w:t xml:space="preserve">We define “Credit Adjusted EBITDA” as Adjusted EBITDA plus certain other items as defined in our Credit Facility (see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below). Other adjustments include (i) entertainment revenue deferrals, (ii) the cost of new projects, including store pre-opening costs, (iii)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optimization expenses and other restructuring costs, and (iv) other costs and adjustments as permitted by the debt agreements. We believe the presentation of Credit Adjusted EBITDA is appropriate as it provides additional information to investors about the calculation of, and compliance with, certain financial covenants in the Credit Facility.</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Store Operating Income Before Depreciation and Amortization and Store Operating Income Before Depreciation and Amortization Margin.</w:t>
      </w:r>
    </w:p>
    <w:p>
      <w:pPr>
        <w:spacing w:after="0" w:line="132"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56" w:lineRule="exact"/>
        <w:rPr>
          <w:sz w:val="20"/>
          <w:szCs w:val="20"/>
          <w:color w:val="auto"/>
        </w:rPr>
      </w:pPr>
    </w:p>
    <w:p>
      <w:pPr>
        <w:jc w:val="both"/>
        <w:ind w:firstLine="474"/>
        <w:spacing w:after="0" w:line="281"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Operating Results</w:t>
      </w:r>
    </w:p>
    <w:p>
      <w:pPr>
        <w:spacing w:after="0" w:line="1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We operate on a 52-week or 53-week fiscal year that ends on the Sunday after the Saturday closest to January 31. Each quarterly period has 13 weeks, except in a 53-week year when the fourth quarter has 14 weeks. All references to the second quarter of 2023 relate to the 13-week period ended July 30, 2023. All references to the second quarter of 2022 relate to the 13-week period ended July 31, 2022. Fiscal 2023 consists of 53 weeks and fiscal 2022 consists of 52 weeks. All dollar amounts are presented in millions, unless otherwise noted, except per share amounts.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operate stores varying in size and have experienced significant variability among stores in volumes, operating results and net investment costs.</w:t>
      </w:r>
    </w:p>
    <w:p>
      <w:pPr>
        <w:spacing w:after="0" w:line="238"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Our new stores typically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91"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New store operating margins (excluding pre-opening expenses) during the first year of operation historically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spacing w:after="0" w:line="191"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Our operating results historically have fluctuated due to seasonal factors.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153"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We expect that economic and environmental conditions and changes in regulatory legislation will continue to exert pressure on both supplier pricing and consumer spending related to entertainment and dining alternatives. There is no assurance that our cost of products will remain stable or that federal, state, or local minimum wage rates will not increase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beyond amounts currently legislated, however, the effects of any supplier price increase or wage rate increases might be partially offset by selective price increases if competitively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July 30, 2023 Compared to Thirteen Weeks Ended July 31, 2022</w:t>
      </w:r>
    </w:p>
    <w:p>
      <w:pPr>
        <w:spacing w:after="0" w:line="115" w:lineRule="exact"/>
        <w:rPr>
          <w:sz w:val="20"/>
          <w:szCs w:val="20"/>
          <w:color w:val="auto"/>
        </w:rPr>
      </w:pPr>
    </w:p>
    <w:p>
      <w:pPr>
        <w:ind w:firstLine="474"/>
        <w:spacing w:after="0" w:line="325"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millions of dollars and as a percentage of total revenues (unless otherwise noted)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periods indicated. All information is derived from the accompanying unaudited consolidated statements of comprehensive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1"/>
              </w:rPr>
              <w:t>Thirteen Weeks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1"/>
              </w:rPr>
              <w:t>Thirteen Weeks Ended</w:t>
            </w:r>
          </w:p>
        </w:tc>
        <w:tc>
          <w:tcPr>
            <w:tcW w:w="740" w:type="dxa"/>
            <w:vAlign w:val="bottom"/>
          </w:tcPr>
          <w:p>
            <w:pPr>
              <w:spacing w:after="0"/>
              <w:rPr>
                <w:sz w:val="14"/>
                <w:szCs w:val="14"/>
                <w:color w:val="auto"/>
              </w:rPr>
            </w:pPr>
          </w:p>
        </w:tc>
      </w:tr>
      <w:tr>
        <w:trPr>
          <w:trHeight w:val="183"/>
        </w:trPr>
        <w:tc>
          <w:tcPr>
            <w:tcW w:w="4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0"/>
              </w:rPr>
              <w:t>July 30, 2023</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0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0"/>
              </w:rPr>
              <w:t>July 31, 2022</w:t>
            </w:r>
          </w:p>
        </w:tc>
        <w:tc>
          <w:tcPr>
            <w:tcW w:w="740" w:type="dxa"/>
            <w:vAlign w:val="bottom"/>
          </w:tcPr>
          <w:p>
            <w:pPr>
              <w:spacing w:after="0"/>
              <w:rPr>
                <w:sz w:val="15"/>
                <w:szCs w:val="15"/>
                <w:color w:val="auto"/>
              </w:rPr>
            </w:pPr>
          </w:p>
        </w:tc>
      </w:tr>
      <w:tr>
        <w:trPr>
          <w:trHeight w:val="37"/>
        </w:trPr>
        <w:tc>
          <w:tcPr>
            <w:tcW w:w="48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3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Food and beverage revenues</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33.5 %</w:t>
            </w:r>
          </w:p>
        </w:tc>
      </w:tr>
      <w:tr>
        <w:trPr>
          <w:trHeight w:val="27"/>
        </w:trPr>
        <w:tc>
          <w:tcPr>
            <w:tcW w:w="48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4880" w:type="dxa"/>
            <w:vAlign w:val="bottom"/>
          </w:tcPr>
          <w:p>
            <w:pPr>
              <w:ind w:left="20"/>
              <w:spacing w:after="0"/>
              <w:rPr>
                <w:sz w:val="20"/>
                <w:szCs w:val="20"/>
                <w:color w:val="auto"/>
              </w:rPr>
            </w:pPr>
            <w:r>
              <w:rPr>
                <w:rFonts w:ascii="Arial" w:cs="Arial" w:eastAsia="Arial" w:hAnsi="Arial"/>
                <w:sz w:val="18"/>
                <w:szCs w:val="18"/>
                <w:color w:val="auto"/>
              </w:rPr>
              <w:t>Cost of entertainment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2"/>
        </w:trPr>
        <w:tc>
          <w:tcPr>
            <w:tcW w:w="4880" w:type="dxa"/>
            <w:vAlign w:val="bottom"/>
          </w:tcPr>
          <w:p>
            <w:pPr>
              <w:ind w:left="20"/>
              <w:spacing w:after="0"/>
              <w:rPr>
                <w:sz w:val="20"/>
                <w:szCs w:val="20"/>
                <w:color w:val="auto"/>
              </w:rPr>
            </w:pPr>
            <w:r>
              <w:rPr>
                <w:rFonts w:ascii="Arial" w:cs="Arial" w:eastAsia="Arial" w:hAnsi="Arial"/>
                <w:sz w:val="18"/>
                <w:szCs w:val="18"/>
                <w:color w:val="auto"/>
              </w:rPr>
              <w:t>(% of entertainment revenues)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food and beverage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food and beverage revenues)</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Total cost of products</w:t>
            </w: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16.1 %</w:t>
            </w:r>
          </w:p>
        </w:tc>
      </w:tr>
      <w:tr>
        <w:trPr>
          <w:trHeight w:val="27"/>
        </w:trPr>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payroll and benefits</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30.4 %</w:t>
            </w:r>
          </w:p>
        </w:tc>
      </w:tr>
      <w:tr>
        <w:trPr>
          <w:trHeight w:val="27"/>
        </w:trPr>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and amortization expenses</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Total operating costs</w:t>
            </w: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85.8 %</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87.9 %</w:t>
            </w:r>
          </w:p>
        </w:tc>
      </w:tr>
      <w:tr>
        <w:trPr>
          <w:trHeight w:val="27"/>
        </w:trPr>
        <w:tc>
          <w:tcPr>
            <w:tcW w:w="48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4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Company-owned stores at end of period</w:t>
            </w: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reconciles (in millions of dollars and as a percent of total revenues) Net income to Adjusted EBITDA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0"/>
              </w:rPr>
              <w:t>Thirteen Weeks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0"/>
              </w:rPr>
              <w:t>Thirteen Weeks Ended</w:t>
            </w:r>
          </w:p>
        </w:tc>
        <w:tc>
          <w:tcPr>
            <w:tcW w:w="560" w:type="dxa"/>
            <w:vAlign w:val="bottom"/>
          </w:tcPr>
          <w:p>
            <w:pPr>
              <w:spacing w:after="0"/>
              <w:rPr>
                <w:sz w:val="14"/>
                <w:szCs w:val="14"/>
                <w:color w:val="auto"/>
              </w:rPr>
            </w:pPr>
          </w:p>
        </w:tc>
      </w:tr>
      <w:tr>
        <w:trPr>
          <w:trHeight w:val="183"/>
        </w:trPr>
        <w:tc>
          <w:tcPr>
            <w:tcW w:w="4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0"/>
              </w:rPr>
              <w:t>July 30, 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2"/>
              </w:rPr>
              <w:t>July 31, 2022</w:t>
            </w:r>
          </w:p>
        </w:tc>
        <w:tc>
          <w:tcPr>
            <w:tcW w:w="560" w:type="dxa"/>
            <w:vAlign w:val="bottom"/>
          </w:tcPr>
          <w:p>
            <w:pPr>
              <w:spacing w:after="0"/>
              <w:rPr>
                <w:sz w:val="15"/>
                <w:szCs w:val="15"/>
                <w:color w:val="auto"/>
              </w:rPr>
            </w:pPr>
          </w:p>
        </w:tc>
      </w:tr>
      <w:tr>
        <w:trPr>
          <w:trHeight w:val="37"/>
        </w:trPr>
        <w:tc>
          <w:tcPr>
            <w:tcW w:w="48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23.3 %</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20.3 %</w:t>
            </w: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 disposal</w:t>
            </w: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System implementation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1"/>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25.9 %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Store Operating Income Before Depreciation and Amortization</w:t>
      </w:r>
    </w:p>
    <w:p>
      <w:pPr>
        <w:spacing w:after="0" w:line="109" w:lineRule="exact"/>
        <w:rPr>
          <w:sz w:val="20"/>
          <w:szCs w:val="20"/>
          <w:color w:val="auto"/>
        </w:rPr>
      </w:pPr>
    </w:p>
    <w:p>
      <w:pPr>
        <w:ind w:firstLine="474"/>
        <w:spacing w:after="0" w:line="262" w:lineRule="auto"/>
        <w:rPr>
          <w:sz w:val="20"/>
          <w:szCs w:val="20"/>
          <w:color w:val="auto"/>
        </w:rPr>
      </w:pPr>
      <w:r>
        <w:rPr>
          <w:rFonts w:ascii="Arial" w:cs="Arial" w:eastAsia="Arial" w:hAnsi="Arial"/>
          <w:sz w:val="18"/>
          <w:szCs w:val="18"/>
          <w:color w:val="auto"/>
        </w:rPr>
        <w:t>The following table reconciles (in millions of dollars and as a percent of total revenues) Operating income to Store Operating Income Before Depreciation and Amortization for the periods indicated:</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0"/>
              </w:rPr>
              <w:t>Thirteen Weeks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0"/>
              </w:rPr>
              <w:t>Thirteen Weeks Ended</w:t>
            </w:r>
          </w:p>
        </w:tc>
        <w:tc>
          <w:tcPr>
            <w:tcW w:w="560" w:type="dxa"/>
            <w:vAlign w:val="bottom"/>
          </w:tcPr>
          <w:p>
            <w:pPr>
              <w:spacing w:after="0"/>
              <w:rPr>
                <w:sz w:val="14"/>
                <w:szCs w:val="14"/>
                <w:color w:val="auto"/>
              </w:rPr>
            </w:pPr>
          </w:p>
        </w:tc>
      </w:tr>
      <w:tr>
        <w:trPr>
          <w:trHeight w:val="183"/>
        </w:trPr>
        <w:tc>
          <w:tcPr>
            <w:tcW w:w="4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0"/>
              </w:rPr>
              <w:t>July 30, 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2"/>
              </w:rPr>
              <w:t>July 31, 2022</w:t>
            </w:r>
          </w:p>
        </w:tc>
        <w:tc>
          <w:tcPr>
            <w:tcW w:w="560" w:type="dxa"/>
            <w:vAlign w:val="bottom"/>
          </w:tcPr>
          <w:p>
            <w:pPr>
              <w:spacing w:after="0"/>
              <w:rPr>
                <w:sz w:val="15"/>
                <w:szCs w:val="15"/>
                <w:color w:val="auto"/>
              </w:rPr>
            </w:pPr>
          </w:p>
        </w:tc>
      </w:tr>
      <w:tr>
        <w:trPr>
          <w:trHeight w:val="50"/>
        </w:trPr>
        <w:tc>
          <w:tcPr>
            <w:tcW w:w="4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14.2 %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12.1 %</w:t>
            </w: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Store Operating Income Before Depreciation and Amortization</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29.2 %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09" w:lineRule="exact"/>
        <w:rPr>
          <w:sz w:val="20"/>
          <w:szCs w:val="20"/>
          <w:color w:val="auto"/>
        </w:rPr>
      </w:pPr>
    </w:p>
    <w:p>
      <w:pPr>
        <w:ind w:firstLine="474"/>
        <w:spacing w:after="0" w:line="262"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Thirteen Weeks Ended</w:t>
            </w:r>
          </w:p>
        </w:tc>
        <w:tc>
          <w:tcPr>
            <w:tcW w:w="20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Thirteen Weeks Ended</w:t>
            </w:r>
          </w:p>
        </w:tc>
      </w:tr>
      <w:tr>
        <w:trPr>
          <w:trHeight w:val="183"/>
        </w:trPr>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30, 2023</w:t>
            </w:r>
          </w:p>
        </w:tc>
        <w:tc>
          <w:tcPr>
            <w:tcW w:w="220" w:type="dxa"/>
            <w:vAlign w:val="bottom"/>
          </w:tcPr>
          <w:p>
            <w:pPr>
              <w:spacing w:after="0"/>
              <w:rPr>
                <w:sz w:val="15"/>
                <w:szCs w:val="15"/>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July 31, 2022</w:t>
            </w:r>
          </w:p>
        </w:tc>
      </w:tr>
      <w:tr>
        <w:trPr>
          <w:trHeight w:val="37"/>
        </w:trPr>
        <w:tc>
          <w:tcPr>
            <w:tcW w:w="620" w:type="dxa"/>
            <w:vAlign w:val="bottom"/>
          </w:tcPr>
          <w:p>
            <w:pPr>
              <w:spacing w:after="0"/>
              <w:rPr>
                <w:sz w:val="3"/>
                <w:szCs w:val="3"/>
                <w:color w:val="auto"/>
              </w:rPr>
            </w:pPr>
          </w:p>
        </w:tc>
        <w:tc>
          <w:tcPr>
            <w:tcW w:w="3760" w:type="dxa"/>
            <w:vAlign w:val="bottom"/>
            <w:tcBorders>
              <w:bottom w:val="single" w:sz="8" w:color="CCEEFF"/>
            </w:tcBorders>
          </w:tcPr>
          <w:p>
            <w:pPr>
              <w:spacing w:after="0"/>
              <w:rPr>
                <w:sz w:val="3"/>
                <w:szCs w:val="3"/>
                <w:color w:val="auto"/>
              </w:rPr>
            </w:pPr>
          </w:p>
        </w:tc>
        <w:tc>
          <w:tcPr>
            <w:tcW w:w="3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237"/>
        </w:trPr>
        <w:tc>
          <w:tcPr>
            <w:tcW w:w="6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New store and operating initiatives</w:t>
            </w:r>
          </w:p>
        </w:tc>
        <w:tc>
          <w:tcPr>
            <w:tcW w:w="34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0" w:type="dxa"/>
            <w:vAlign w:val="bottom"/>
          </w:tcPr>
          <w:p>
            <w:pPr>
              <w:spacing w:after="0"/>
              <w:rPr>
                <w:sz w:val="20"/>
                <w:szCs w:val="20"/>
                <w:color w:val="auto"/>
              </w:rPr>
            </w:pPr>
          </w:p>
        </w:tc>
      </w:tr>
      <w:tr>
        <w:trPr>
          <w:trHeight w:val="236"/>
        </w:trPr>
        <w:tc>
          <w:tcPr>
            <w:tcW w:w="6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Games</w:t>
            </w: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3"/>
        </w:trPr>
        <w:tc>
          <w:tcPr>
            <w:tcW w:w="6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3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0" w:type="dxa"/>
            <w:vAlign w:val="bottom"/>
          </w:tcPr>
          <w:p>
            <w:pPr>
              <w:spacing w:after="0"/>
              <w:rPr>
                <w:sz w:val="22"/>
                <w:szCs w:val="22"/>
                <w:color w:val="auto"/>
              </w:rPr>
            </w:pPr>
          </w:p>
        </w:tc>
      </w:tr>
      <w:tr>
        <w:trPr>
          <w:trHeight w:val="256"/>
        </w:trPr>
        <w:tc>
          <w:tcPr>
            <w:tcW w:w="620" w:type="dxa"/>
            <w:vAlign w:val="bottom"/>
          </w:tcPr>
          <w:p>
            <w:pPr>
              <w:spacing w:after="0"/>
              <w:rPr>
                <w:sz w:val="22"/>
                <w:szCs w:val="22"/>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Total capital additions</w:t>
            </w:r>
          </w:p>
        </w:tc>
        <w:tc>
          <w:tcPr>
            <w:tcW w:w="3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600" w:type="dxa"/>
            <w:vAlign w:val="bottom"/>
          </w:tcPr>
          <w:p>
            <w:pPr>
              <w:spacing w:after="0"/>
              <w:rPr>
                <w:sz w:val="22"/>
                <w:szCs w:val="22"/>
                <w:color w:val="auto"/>
              </w:rPr>
            </w:pPr>
          </w:p>
        </w:tc>
      </w:tr>
      <w:tr>
        <w:trPr>
          <w:trHeight w:val="20"/>
        </w:trPr>
        <w:tc>
          <w:tcPr>
            <w:tcW w:w="62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from landlords</w:t>
            </w:r>
          </w:p>
        </w:tc>
        <w:tc>
          <w:tcPr>
            <w:tcW w:w="34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20"/>
                <w:szCs w:val="20"/>
                <w:color w:val="auto"/>
              </w:rPr>
            </w:pPr>
          </w:p>
        </w:tc>
      </w:tr>
      <w:tr>
        <w:trPr>
          <w:trHeight w:val="882"/>
        </w:trPr>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0" w:type="dxa"/>
            <w:vAlign w:val="bottom"/>
          </w:tcPr>
          <w:p>
            <w:pPr>
              <w:jc w:val="right"/>
              <w:ind w:right="177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2"/>
        </w:trPr>
        <w:tc>
          <w:tcPr>
            <w:tcW w:w="62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Selected revenue and store data (in millions except for store operating weeks) for the periods indicated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Thirteen Weeks Ended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
        </w:trPr>
        <w:tc>
          <w:tcPr>
            <w:tcW w:w="6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0"/>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30, 2023</w:t>
            </w: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July 31, 2022</w:t>
            </w:r>
          </w:p>
        </w:tc>
        <w:tc>
          <w:tcPr>
            <w:tcW w:w="300" w:type="dxa"/>
            <w:vAlign w:val="bottom"/>
          </w:tcPr>
          <w:p>
            <w:pPr>
              <w:spacing w:after="0"/>
              <w:rPr>
                <w:sz w:val="15"/>
                <w:szCs w:val="15"/>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r>
      <w:tr>
        <w:trPr>
          <w:trHeight w:val="37"/>
        </w:trPr>
        <w:tc>
          <w:tcPr>
            <w:tcW w:w="6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Total store operating weeks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store revenues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Comparable store operating weeks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Noncomparable store revenues—Dave &amp; Buster’s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Noncomparable store operating weeks—Dave &amp; Buster’s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Noncomparable store revenues—Main Event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Noncomparable store operating weeks—Main Event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 and deferrals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mix by category, as a percentage of total revenues, for the periods indicated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40" w:type="dxa"/>
            <w:vAlign w:val="bottom"/>
          </w:tcPr>
          <w:p>
            <w:pPr>
              <w:spacing w:after="0"/>
              <w:rPr>
                <w:sz w:val="15"/>
                <w:szCs w:val="15"/>
                <w:color w:val="auto"/>
              </w:rPr>
            </w:pPr>
          </w:p>
        </w:tc>
        <w:tc>
          <w:tcPr>
            <w:tcW w:w="3300" w:type="dxa"/>
            <w:vAlign w:val="bottom"/>
            <w:gridSpan w:val="3"/>
          </w:tcPr>
          <w:p>
            <w:pPr>
              <w:jc w:val="right"/>
              <w:ind w:right="877"/>
              <w:spacing w:after="0"/>
              <w:rPr>
                <w:sz w:val="20"/>
                <w:szCs w:val="20"/>
                <w:color w:val="auto"/>
              </w:rPr>
            </w:pPr>
            <w:r>
              <w:rPr>
                <w:rFonts w:ascii="Arial" w:cs="Arial" w:eastAsia="Arial" w:hAnsi="Arial"/>
                <w:sz w:val="14"/>
                <w:szCs w:val="14"/>
                <w:b w:val="1"/>
                <w:bCs w:val="1"/>
                <w:color w:val="auto"/>
              </w:rPr>
              <w:t>Thirteen Weeks Ended</w:t>
            </w:r>
          </w:p>
        </w:tc>
      </w:tr>
      <w:tr>
        <w:trPr>
          <w:trHeight w:val="37"/>
        </w:trPr>
        <w:tc>
          <w:tcPr>
            <w:tcW w:w="794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0"/>
        </w:trPr>
        <w:tc>
          <w:tcPr>
            <w:tcW w:w="794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July 30, 2023</w:t>
            </w:r>
          </w:p>
        </w:tc>
        <w:tc>
          <w:tcPr>
            <w:tcW w:w="1600" w:type="dxa"/>
            <w:vAlign w:val="bottom"/>
          </w:tcPr>
          <w:p>
            <w:pPr>
              <w:jc w:val="right"/>
              <w:ind w:right="317"/>
              <w:spacing w:after="0"/>
              <w:rPr>
                <w:sz w:val="20"/>
                <w:szCs w:val="20"/>
                <w:color w:val="auto"/>
              </w:rPr>
            </w:pPr>
            <w:r>
              <w:rPr>
                <w:rFonts w:ascii="Arial" w:cs="Arial" w:eastAsia="Arial" w:hAnsi="Arial"/>
                <w:sz w:val="14"/>
                <w:szCs w:val="14"/>
                <w:b w:val="1"/>
                <w:bCs w:val="1"/>
                <w:color w:val="auto"/>
              </w:rPr>
              <w:t>July 31, 2022</w:t>
            </w: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66.5 %</w:t>
            </w: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Food revenues</w:t>
            </w:r>
          </w:p>
        </w:tc>
        <w:tc>
          <w:tcPr>
            <w:tcW w:w="160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23.4 %</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Beverage revenues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7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Total revenues increased $73.7 million, or 15.7%, to $542.1 million in the second quarter of 2023 compared to $468.4 million in the second quarter of 2022. The increase in revenue is primarily attributable to $82.3 million of increased revenue from our Main Event stores, which were acquired on June 29, 2022, and $18.7 million in incremental revenue from new, noncomparable, Dave &amp; Buster's stores, partially offset by a 7.1% decrease in comparable store sales. The decrease in comparable store revenue is due primarily to a reduction in walk-in transaction counts relative to the robust consumer environment of the prior year period, partially offset by increases in food and beverage prices and increases in special event bookings.</w:t>
      </w:r>
    </w:p>
    <w:p>
      <w:pPr>
        <w:spacing w:after="0" w:line="165"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Comparable entertainment revenues in the second quarter of 2023 decreased by $21.7 million, or 8.2%, to $241.5 million from $263.2 million in the second quarter of 2022. Food sales at comparable stores decreased by $6.9 million, or 7.3%, to $87.7 million in the second quarter of 2023 from $94.6 million in the second quarter of 2022. Beverage sales at comparable stores increased by $0.2 million, or 0.5%, to $41.4 million in the second quarter of 2023 from $41.2 million in the second quarter of 2022.</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09" w:lineRule="exact"/>
        <w:rPr>
          <w:sz w:val="20"/>
          <w:szCs w:val="20"/>
          <w:color w:val="auto"/>
        </w:rPr>
      </w:pPr>
    </w:p>
    <w:p>
      <w:pPr>
        <w:jc w:val="both"/>
        <w:ind w:firstLine="474"/>
        <w:spacing w:after="0" w:line="325" w:lineRule="auto"/>
        <w:rPr>
          <w:sz w:val="20"/>
          <w:szCs w:val="20"/>
          <w:color w:val="auto"/>
        </w:rPr>
      </w:pPr>
      <w:r>
        <w:rPr>
          <w:rFonts w:ascii="Arial" w:cs="Arial" w:eastAsia="Arial" w:hAnsi="Arial"/>
          <w:sz w:val="16"/>
          <w:szCs w:val="16"/>
          <w:color w:val="auto"/>
        </w:rPr>
        <w:t>The total cost of products was $83.6 million for the second quarter of 2023 compared to $75.6 million for the second quarter of 2022. The total cost of products as a percentage of total revenues decreased to 15.4% for the second quarter of 2023 compared to 16.1% for the second quarter of 2022.</w:t>
      </w:r>
    </w:p>
    <w:p>
      <w:pPr>
        <w:spacing w:after="0" w:line="134" w:lineRule="exact"/>
        <w:rPr>
          <w:sz w:val="20"/>
          <w:szCs w:val="20"/>
          <w:color w:val="auto"/>
        </w:rPr>
      </w:pPr>
    </w:p>
    <w:p>
      <w:pPr>
        <w:jc w:val="both"/>
        <w:ind w:firstLine="474"/>
        <w:spacing w:after="0" w:line="325" w:lineRule="auto"/>
        <w:rPr>
          <w:sz w:val="20"/>
          <w:szCs w:val="20"/>
          <w:color w:val="auto"/>
        </w:rPr>
      </w:pPr>
      <w:r>
        <w:rPr>
          <w:rFonts w:ascii="Arial" w:cs="Arial" w:eastAsia="Arial" w:hAnsi="Arial"/>
          <w:sz w:val="16"/>
          <w:szCs w:val="16"/>
          <w:color w:val="auto"/>
        </w:rPr>
        <w:t>Cost of entertainment was $34.4 million in the second quarter of 2023 compared to $29.1 million in the second quarter of 2022. The cost of entertainment, as a percentage of entertainment revenues, increased to 9.5% for the second quarter of 2023 from 9.3% in the second quarter of 2022.</w:t>
      </w:r>
    </w:p>
    <w:p>
      <w:pPr>
        <w:spacing w:after="0" w:line="134"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Cost of food and beverage products was $49.2 million for the second quarter of 2023 compared to $46.5 million for the second quarter of 2022. Cost of food and beverage products, as a percentage of food and beverage revenues, decreased to 27.1% for the second quarter of 2023 from 29.6% for the second quarter of 2022. The decrease was primarily attributable to food and beverage menu price increases and the mix of products sold.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09"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Total operating payroll and benefits was $127.0 million in the second quarter of 2023 compared to $113.6 million in the second quarter of 2022. The total cost of operating payroll and benefits as a percentage of total revenues was 23.4% in the second quarter of 2023 compared to 24.3% in the second quarter of 2022. This decrease is primarily due to labor management efficiencies, partially offset by hourly wage rate and manager salary increases.</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09"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Other store operating expenses was $169.1 million in the second quarter of 2023 compared to $142.5 million in the second quarter of 2022. The increase is primarily due to the additional store operating hours related to our Main Event stores, the impact of Dave &amp; Buster’s new store openings, and higher occupancy costs, utilities, maintenance, security, cleaning services and marketing costs. Other store operating expense as a percentage of total revenues increased to 29.8% in the second quarter of 2023 compared to 29.0% in the second quarter of 2022. This increase in basis points was due primarily to increased occupancy costs, security, cleaning services, and marketing costs.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9"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General and administrative expenses decreased to $32.2 million in the second quarter of 2023 compared to $37.7 million in the second quarter of 2022. The decrease in general and administrative expenses was driven primarily by synergies subsequent to the Main Event acquisition, partially offset by higher stock based compensation expense and system implementation costs. General and administrative expenses as a percentage of total revenues decreased to 5.9% in the second quarter of 2023 compared to 8.0% in the second quarter of 2022 due primarily to sales leverage.</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9"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Depreciation and amortization expense increased to $49.1 million in the second quarter of 2023 compared to $38.6 million in the second quarter of 2022, primarily due to the addition of Main Event.</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09" w:lineRule="exact"/>
        <w:rPr>
          <w:sz w:val="20"/>
          <w:szCs w:val="20"/>
          <w:color w:val="auto"/>
        </w:rPr>
      </w:pPr>
    </w:p>
    <w:p>
      <w:pPr>
        <w:jc w:val="both"/>
        <w:ind w:firstLine="474"/>
        <w:spacing w:after="0" w:line="325" w:lineRule="auto"/>
        <w:rPr>
          <w:sz w:val="20"/>
          <w:szCs w:val="20"/>
          <w:color w:val="auto"/>
        </w:rPr>
      </w:pPr>
      <w:r>
        <w:rPr>
          <w:rFonts w:ascii="Arial" w:cs="Arial" w:eastAsia="Arial" w:hAnsi="Arial"/>
          <w:sz w:val="16"/>
          <w:szCs w:val="16"/>
          <w:color w:val="auto"/>
        </w:rPr>
        <w:t>Pre-opening costs increased to $4.0 million in the second quarter of 2023 compared to $3.9 million in the second quarter of 2022 primarily due to pre-opening costs related to Main Event stores, partially offset by a decrease in costs related to the timing of Dave &amp; Buster's store openings in 2023.</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9" w:lineRule="exact"/>
        <w:rPr>
          <w:sz w:val="20"/>
          <w:szCs w:val="20"/>
          <w:color w:val="auto"/>
        </w:rPr>
      </w:pPr>
    </w:p>
    <w:p>
      <w:pPr>
        <w:jc w:val="both"/>
        <w:ind w:firstLine="474"/>
        <w:spacing w:after="0" w:line="325" w:lineRule="auto"/>
        <w:rPr>
          <w:sz w:val="20"/>
          <w:szCs w:val="20"/>
          <w:color w:val="auto"/>
        </w:rPr>
      </w:pPr>
      <w:r>
        <w:rPr>
          <w:rFonts w:ascii="Arial" w:cs="Arial" w:eastAsia="Arial" w:hAnsi="Arial"/>
          <w:sz w:val="16"/>
          <w:szCs w:val="16"/>
          <w:color w:val="auto"/>
        </w:rPr>
        <w:t>Interest expense, net increased to $32.9 million in the second quarter of 2023 compared to $17.1 million in the second quarter of 2022 due primarily to an increase in average outstanding debt. See further discussion of the Company's debt activity at Note 6 to the consolidated financial statements.</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Loss on debt refinancing</w:t>
      </w:r>
    </w:p>
    <w:p>
      <w:pPr>
        <w:spacing w:after="0" w:line="10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Loss on debt refinancing increased to $11.2 million in the second quarter of 2023 compared to $1.5 million in the second quarter of 2022 due primarily to debt refinancing in June of 2023 and June of 2022, respectively. See further discussion of the Company's debt activity at Note 6 to the consolidated financial statements.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The effective tax rate for the second quarter of 2023 was 21.5%, compared to 23.2% for the second quarter of 2022. The second quarter of 2023 includes a favorable state apportionment impact resulting from the acquisition of Main Event and legal entity restructuring as well as lower permanent differences, primarily non-deductible transaction costs as compared to the prior year.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Twenty-Six Weeks Ended July 30, 2023 Compared to Twenty-Six Weeks Ended July 31, 2022</w:t>
      </w:r>
    </w:p>
    <w:p>
      <w:pPr>
        <w:spacing w:after="0" w:line="115" w:lineRule="exact"/>
        <w:rPr>
          <w:sz w:val="20"/>
          <w:szCs w:val="20"/>
          <w:color w:val="auto"/>
        </w:rPr>
      </w:pPr>
    </w:p>
    <w:p>
      <w:pPr>
        <w:ind w:firstLine="474"/>
        <w:spacing w:after="0" w:line="325"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millions of dollars and as a percentage of total revenues (unless otherwise noted)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periods indicated. All information is derived from the accompanying unaudited consolidated statements of comprehensive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1"/>
              </w:rPr>
              <w:t>Twenty-Six Weeks Ended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0"/>
              </w:rPr>
              <w:t>Twenty-Six Weeks Ended</w:t>
            </w:r>
          </w:p>
        </w:tc>
        <w:tc>
          <w:tcPr>
            <w:tcW w:w="700" w:type="dxa"/>
            <w:vAlign w:val="bottom"/>
          </w:tcPr>
          <w:p>
            <w:pPr>
              <w:spacing w:after="0"/>
              <w:rPr>
                <w:sz w:val="14"/>
                <w:szCs w:val="14"/>
                <w:color w:val="auto"/>
              </w:rPr>
            </w:pPr>
          </w:p>
        </w:tc>
      </w:tr>
      <w:tr>
        <w:trPr>
          <w:trHeight w:val="183"/>
        </w:trPr>
        <w:tc>
          <w:tcPr>
            <w:tcW w:w="4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6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0"/>
              </w:rPr>
              <w:t>July 30, 2023</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0"/>
              </w:rPr>
              <w:t>July 31, 2022</w:t>
            </w:r>
          </w:p>
        </w:tc>
        <w:tc>
          <w:tcPr>
            <w:tcW w:w="700" w:type="dxa"/>
            <w:vAlign w:val="bottom"/>
          </w:tcPr>
          <w:p>
            <w:pPr>
              <w:spacing w:after="0"/>
              <w:rPr>
                <w:sz w:val="15"/>
                <w:szCs w:val="15"/>
                <w:color w:val="auto"/>
              </w:rPr>
            </w:pPr>
          </w:p>
        </w:tc>
      </w:tr>
      <w:tr>
        <w:trPr>
          <w:trHeight w:val="37"/>
        </w:trPr>
        <w:tc>
          <w:tcPr>
            <w:tcW w:w="48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Food and beverage revenues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33.6 %</w:t>
            </w:r>
          </w:p>
        </w:tc>
      </w:tr>
      <w:tr>
        <w:trPr>
          <w:trHeight w:val="27"/>
        </w:trPr>
        <w:tc>
          <w:tcPr>
            <w:tcW w:w="4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r>
      <w:tr>
        <w:trPr>
          <w:trHeight w:val="225"/>
        </w:trPr>
        <w:tc>
          <w:tcPr>
            <w:tcW w:w="4880" w:type="dxa"/>
            <w:vAlign w:val="bottom"/>
          </w:tcPr>
          <w:p>
            <w:pPr>
              <w:ind w:left="20"/>
              <w:spacing w:after="0"/>
              <w:rPr>
                <w:sz w:val="20"/>
                <w:szCs w:val="20"/>
                <w:color w:val="auto"/>
              </w:rPr>
            </w:pPr>
            <w:r>
              <w:rPr>
                <w:rFonts w:ascii="Arial" w:cs="Arial" w:eastAsia="Arial" w:hAnsi="Arial"/>
                <w:sz w:val="18"/>
                <w:szCs w:val="18"/>
                <w:color w:val="auto"/>
              </w:rPr>
              <w:t>Cost of entertainment</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2"/>
        </w:trPr>
        <w:tc>
          <w:tcPr>
            <w:tcW w:w="4880" w:type="dxa"/>
            <w:vAlign w:val="bottom"/>
          </w:tcPr>
          <w:p>
            <w:pPr>
              <w:ind w:left="20"/>
              <w:spacing w:after="0"/>
              <w:rPr>
                <w:sz w:val="20"/>
                <w:szCs w:val="20"/>
                <w:color w:val="auto"/>
              </w:rPr>
            </w:pPr>
            <w:r>
              <w:rPr>
                <w:rFonts w:ascii="Arial" w:cs="Arial" w:eastAsia="Arial" w:hAnsi="Arial"/>
                <w:sz w:val="18"/>
                <w:szCs w:val="18"/>
                <w:color w:val="auto"/>
              </w:rPr>
              <w:t>(% of entertainment revenues)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food and beverage</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food and beverage revenues)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Total cost of products</w:t>
            </w: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15.3 %</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15.8 %</w:t>
            </w:r>
          </w:p>
        </w:tc>
      </w:tr>
      <w:tr>
        <w:trPr>
          <w:trHeight w:val="27"/>
        </w:trPr>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payroll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29.0 %</w:t>
            </w:r>
          </w:p>
        </w:tc>
      </w:tr>
      <w:tr>
        <w:trPr>
          <w:trHeight w:val="27"/>
        </w:trPr>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Depreciation and amortization expenses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Total operating costs</w:t>
            </w: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82.6 %</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83.1 %</w:t>
            </w:r>
          </w:p>
        </w:tc>
      </w:tr>
      <w:tr>
        <w:trPr>
          <w:trHeight w:val="27"/>
        </w:trPr>
        <w:tc>
          <w:tcPr>
            <w:tcW w:w="4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13.6 %</w:t>
            </w:r>
          </w:p>
        </w:tc>
      </w:tr>
      <w:tr>
        <w:trPr>
          <w:trHeight w:val="27"/>
        </w:trPr>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56"/>
        </w:trPr>
        <w:tc>
          <w:tcPr>
            <w:tcW w:w="48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10.5 %</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Company-owned stores at end of period</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8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reconciles (in millions of dollars and as a percent of total revenues) Net income to Adjusted EBITDA for the periods indicated:</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0"/>
              </w:rPr>
              <w:t>Twenty-Six Weeks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0"/>
              </w:rPr>
              <w:t>Twenty-Six Weeks Ended</w:t>
            </w:r>
          </w:p>
        </w:tc>
        <w:tc>
          <w:tcPr>
            <w:tcW w:w="520" w:type="dxa"/>
            <w:vAlign w:val="bottom"/>
          </w:tcPr>
          <w:p>
            <w:pPr>
              <w:spacing w:after="0"/>
              <w:rPr>
                <w:sz w:val="14"/>
                <w:szCs w:val="14"/>
                <w:color w:val="auto"/>
              </w:rPr>
            </w:pPr>
          </w:p>
        </w:tc>
      </w:tr>
      <w:tr>
        <w:trPr>
          <w:trHeight w:val="183"/>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0"/>
              </w:rPr>
              <w:t>July 30, 2023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2"/>
              </w:rPr>
              <w:t>July 31, 2022</w:t>
            </w:r>
          </w:p>
        </w:tc>
        <w:tc>
          <w:tcPr>
            <w:tcW w:w="520" w:type="dxa"/>
            <w:vAlign w:val="bottom"/>
          </w:tcPr>
          <w:p>
            <w:pPr>
              <w:spacing w:after="0"/>
              <w:rPr>
                <w:sz w:val="15"/>
                <w:szCs w:val="15"/>
                <w:color w:val="auto"/>
              </w:rPr>
            </w:pPr>
          </w:p>
        </w:tc>
      </w:tr>
      <w:tr>
        <w:trPr>
          <w:trHeight w:val="37"/>
        </w:trPr>
        <w:tc>
          <w:tcPr>
            <w:tcW w:w="48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6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10.5 %</w:t>
            </w: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refinancing</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6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5"/>
              </w:rPr>
              <w:t>26.0 %</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5"/>
              </w:rPr>
              <w:t>24.7 %</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 disposal</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System implementation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r>
      <w:tr>
        <w:trPr>
          <w:trHeight w:val="281"/>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6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28.3 %</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6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27.8 %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bl>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Store Operating Income Before Depreciation and Amortization</w:t>
      </w:r>
    </w:p>
    <w:p>
      <w:pPr>
        <w:spacing w:after="0" w:line="109" w:lineRule="exact"/>
        <w:rPr>
          <w:sz w:val="20"/>
          <w:szCs w:val="20"/>
          <w:color w:val="auto"/>
        </w:rPr>
      </w:pPr>
    </w:p>
    <w:p>
      <w:pPr>
        <w:ind w:firstLine="474"/>
        <w:spacing w:after="0" w:line="262" w:lineRule="auto"/>
        <w:rPr>
          <w:sz w:val="20"/>
          <w:szCs w:val="20"/>
          <w:color w:val="auto"/>
        </w:rPr>
      </w:pPr>
      <w:r>
        <w:rPr>
          <w:rFonts w:ascii="Arial" w:cs="Arial" w:eastAsia="Arial" w:hAnsi="Arial"/>
          <w:sz w:val="18"/>
          <w:szCs w:val="18"/>
          <w:color w:val="auto"/>
        </w:rPr>
        <w:t>The following table reconciles (in millions of dollars and as a percent of total revenues) Operating income to Store Operating Income Before Depreciation and Amortization for the periods indicated:</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0"/>
              </w:rPr>
              <w:t>Twenty-Six Weeks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0"/>
              </w:rPr>
              <w:t>Twenty-Six Weeks Ended</w:t>
            </w:r>
          </w:p>
        </w:tc>
        <w:tc>
          <w:tcPr>
            <w:tcW w:w="520" w:type="dxa"/>
            <w:vAlign w:val="bottom"/>
          </w:tcPr>
          <w:p>
            <w:pPr>
              <w:spacing w:after="0"/>
              <w:rPr>
                <w:sz w:val="14"/>
                <w:szCs w:val="14"/>
                <w:color w:val="auto"/>
              </w:rPr>
            </w:pPr>
          </w:p>
        </w:tc>
      </w:tr>
      <w:tr>
        <w:trPr>
          <w:trHeight w:val="183"/>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0"/>
              </w:rPr>
              <w:t>July 30, 2023</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2"/>
              </w:rPr>
              <w:t>July 31, 2022</w:t>
            </w:r>
          </w:p>
        </w:tc>
        <w:tc>
          <w:tcPr>
            <w:tcW w:w="520" w:type="dxa"/>
            <w:vAlign w:val="bottom"/>
          </w:tcPr>
          <w:p>
            <w:pPr>
              <w:spacing w:after="0"/>
              <w:rPr>
                <w:sz w:val="15"/>
                <w:szCs w:val="15"/>
                <w:color w:val="auto"/>
              </w:rPr>
            </w:pPr>
          </w:p>
        </w:tc>
      </w:tr>
      <w:tr>
        <w:trPr>
          <w:trHeight w:val="50"/>
        </w:trPr>
        <w:tc>
          <w:tcPr>
            <w:tcW w:w="4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6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17.4 %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16.9 %</w:t>
            </w: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r>
      <w:tr>
        <w:trPr>
          <w:trHeight w:val="28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Store Operating Income Before Depreciation and Amortization</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6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32.4 %</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32.6 %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bl>
    <w:p>
      <w:pPr>
        <w:spacing w:after="0" w:line="2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09" w:lineRule="exact"/>
        <w:rPr>
          <w:sz w:val="20"/>
          <w:szCs w:val="20"/>
          <w:color w:val="auto"/>
        </w:rPr>
      </w:pPr>
    </w:p>
    <w:p>
      <w:pPr>
        <w:ind w:firstLine="474"/>
        <w:spacing w:after="0" w:line="262"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Twenty-Six Weeks</w:t>
            </w:r>
          </w:p>
        </w:tc>
        <w:tc>
          <w:tcPr>
            <w:tcW w:w="140" w:type="dxa"/>
            <w:vAlign w:val="bottom"/>
          </w:tcPr>
          <w:p>
            <w:pPr>
              <w:spacing w:after="0"/>
              <w:rPr>
                <w:sz w:val="14"/>
                <w:szCs w:val="14"/>
                <w:color w:val="auto"/>
              </w:rPr>
            </w:pPr>
          </w:p>
        </w:tc>
        <w:tc>
          <w:tcPr>
            <w:tcW w:w="19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Twenty-Six Weeks</w:t>
            </w:r>
          </w:p>
        </w:tc>
      </w:tr>
      <w:tr>
        <w:trPr>
          <w:trHeight w:val="171"/>
        </w:trPr>
        <w:tc>
          <w:tcPr>
            <w:tcW w:w="6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9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Ended</w:t>
            </w:r>
          </w:p>
        </w:tc>
      </w:tr>
      <w:tr>
        <w:trPr>
          <w:trHeight w:val="183"/>
        </w:trPr>
        <w:tc>
          <w:tcPr>
            <w:tcW w:w="6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30, 2023</w:t>
            </w:r>
          </w:p>
        </w:tc>
        <w:tc>
          <w:tcPr>
            <w:tcW w:w="140" w:type="dxa"/>
            <w:vAlign w:val="bottom"/>
          </w:tcPr>
          <w:p>
            <w:pPr>
              <w:spacing w:after="0"/>
              <w:rPr>
                <w:sz w:val="15"/>
                <w:szCs w:val="15"/>
                <w:color w:val="auto"/>
              </w:rPr>
            </w:pPr>
          </w:p>
        </w:tc>
        <w:tc>
          <w:tcPr>
            <w:tcW w:w="19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July 31, 2022</w:t>
            </w:r>
          </w:p>
        </w:tc>
      </w:tr>
      <w:tr>
        <w:trPr>
          <w:trHeight w:val="24"/>
        </w:trPr>
        <w:tc>
          <w:tcPr>
            <w:tcW w:w="6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store and operating initiatives</w:t>
            </w:r>
          </w:p>
        </w:tc>
        <w:tc>
          <w:tcPr>
            <w:tcW w:w="3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0" w:type="dxa"/>
            <w:vAlign w:val="bottom"/>
          </w:tcPr>
          <w:p>
            <w:pPr>
              <w:spacing w:after="0"/>
              <w:rPr>
                <w:sz w:val="20"/>
                <w:szCs w:val="20"/>
                <w:color w:val="auto"/>
              </w:rPr>
            </w:pPr>
          </w:p>
        </w:tc>
      </w:tr>
      <w:tr>
        <w:trPr>
          <w:trHeight w:val="236"/>
        </w:trPr>
        <w:tc>
          <w:tcPr>
            <w:tcW w:w="6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Games</w:t>
            </w:r>
          </w:p>
        </w:tc>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w:t>
            </w:r>
          </w:p>
        </w:tc>
        <w:tc>
          <w:tcPr>
            <w:tcW w:w="60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3"/>
        </w:trPr>
        <w:tc>
          <w:tcPr>
            <w:tcW w:w="6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0" w:type="dxa"/>
            <w:vAlign w:val="bottom"/>
          </w:tcPr>
          <w:p>
            <w:pPr>
              <w:spacing w:after="0"/>
              <w:rPr>
                <w:sz w:val="22"/>
                <w:szCs w:val="22"/>
                <w:color w:val="auto"/>
              </w:rPr>
            </w:pPr>
          </w:p>
        </w:tc>
      </w:tr>
      <w:tr>
        <w:trPr>
          <w:trHeight w:val="256"/>
        </w:trPr>
        <w:tc>
          <w:tcPr>
            <w:tcW w:w="620" w:type="dxa"/>
            <w:vAlign w:val="bottom"/>
          </w:tcPr>
          <w:p>
            <w:pPr>
              <w:spacing w:after="0"/>
              <w:rPr>
                <w:sz w:val="22"/>
                <w:szCs w:val="22"/>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Total capital additions</w:t>
            </w:r>
          </w:p>
        </w:tc>
        <w:tc>
          <w:tcPr>
            <w:tcW w:w="32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600" w:type="dxa"/>
            <w:vAlign w:val="bottom"/>
          </w:tcPr>
          <w:p>
            <w:pPr>
              <w:spacing w:after="0"/>
              <w:rPr>
                <w:sz w:val="22"/>
                <w:szCs w:val="22"/>
                <w:color w:val="auto"/>
              </w:rPr>
            </w:pPr>
          </w:p>
        </w:tc>
      </w:tr>
      <w:tr>
        <w:trPr>
          <w:trHeight w:val="20"/>
        </w:trPr>
        <w:tc>
          <w:tcPr>
            <w:tcW w:w="620" w:type="dxa"/>
            <w:vAlign w:val="bottom"/>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from landlords</w:t>
            </w:r>
          </w:p>
        </w:tc>
        <w:tc>
          <w:tcPr>
            <w:tcW w:w="3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0" w:type="dxa"/>
            <w:vAlign w:val="bottom"/>
          </w:tcPr>
          <w:p>
            <w:pPr>
              <w:spacing w:after="0"/>
              <w:rPr>
                <w:sz w:val="20"/>
                <w:szCs w:val="20"/>
                <w:color w:val="auto"/>
              </w:rPr>
            </w:pPr>
          </w:p>
        </w:tc>
      </w:tr>
      <w:tr>
        <w:trPr>
          <w:trHeight w:val="882"/>
        </w:trPr>
        <w:tc>
          <w:tcPr>
            <w:tcW w:w="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80" w:type="dxa"/>
            <w:vAlign w:val="bottom"/>
          </w:tcPr>
          <w:p>
            <w:pPr>
              <w:jc w:val="right"/>
              <w:ind w:right="177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2"/>
        </w:trPr>
        <w:tc>
          <w:tcPr>
            <w:tcW w:w="62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Selected revenue and store data (in millions except for store operating weeks) for the periods indicated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Twenty-Six Weeks Ended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
        </w:trPr>
        <w:tc>
          <w:tcPr>
            <w:tcW w:w="6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0"/>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b w:val="1"/>
                <w:bCs w:val="1"/>
                <w:color w:val="auto"/>
              </w:rPr>
              <w:t>July 30, 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July 31, 2022</w:t>
            </w:r>
          </w:p>
        </w:tc>
        <w:tc>
          <w:tcPr>
            <w:tcW w:w="300" w:type="dxa"/>
            <w:vAlign w:val="bottom"/>
          </w:tcPr>
          <w:p>
            <w:pPr>
              <w:spacing w:after="0"/>
              <w:rPr>
                <w:sz w:val="15"/>
                <w:szCs w:val="15"/>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r>
      <w:tr>
        <w:trPr>
          <w:trHeight w:val="37"/>
        </w:trPr>
        <w:tc>
          <w:tcPr>
            <w:tcW w:w="6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Total store operating weeks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store revenues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Comparable store operating weeks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Noncomparable store revenues—Dave &amp; Buster’s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Noncomparable store operating weeks—Dave &amp; Buster’s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Noncomparable store revenues—Main Event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Noncomparable store operating weeks—Main Event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1,139</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 and deferrals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mix by category, as a percentage of total revenues, for the periods indicated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40" w:type="dxa"/>
            <w:vAlign w:val="bottom"/>
          </w:tcPr>
          <w:p>
            <w:pPr>
              <w:spacing w:after="0"/>
              <w:rPr>
                <w:sz w:val="15"/>
                <w:szCs w:val="15"/>
                <w:color w:val="auto"/>
              </w:rPr>
            </w:pPr>
          </w:p>
        </w:tc>
        <w:tc>
          <w:tcPr>
            <w:tcW w:w="3300" w:type="dxa"/>
            <w:vAlign w:val="bottom"/>
            <w:gridSpan w:val="3"/>
          </w:tcPr>
          <w:p>
            <w:pPr>
              <w:jc w:val="right"/>
              <w:ind w:right="797"/>
              <w:spacing w:after="0"/>
              <w:rPr>
                <w:sz w:val="20"/>
                <w:szCs w:val="20"/>
                <w:color w:val="auto"/>
              </w:rPr>
            </w:pPr>
            <w:r>
              <w:rPr>
                <w:rFonts w:ascii="Arial" w:cs="Arial" w:eastAsia="Arial" w:hAnsi="Arial"/>
                <w:sz w:val="14"/>
                <w:szCs w:val="14"/>
                <w:b w:val="1"/>
                <w:bCs w:val="1"/>
                <w:color w:val="auto"/>
              </w:rPr>
              <w:t>Twenty-Six Weeks Ended</w:t>
            </w:r>
          </w:p>
        </w:tc>
      </w:tr>
      <w:tr>
        <w:trPr>
          <w:trHeight w:val="37"/>
        </w:trPr>
        <w:tc>
          <w:tcPr>
            <w:tcW w:w="794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0"/>
        </w:trPr>
        <w:tc>
          <w:tcPr>
            <w:tcW w:w="794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July 30, 2023</w:t>
            </w:r>
          </w:p>
        </w:tc>
        <w:tc>
          <w:tcPr>
            <w:tcW w:w="1600" w:type="dxa"/>
            <w:vAlign w:val="bottom"/>
          </w:tcPr>
          <w:p>
            <w:pPr>
              <w:jc w:val="right"/>
              <w:ind w:right="317"/>
              <w:spacing w:after="0"/>
              <w:rPr>
                <w:sz w:val="20"/>
                <w:szCs w:val="20"/>
                <w:color w:val="auto"/>
              </w:rPr>
            </w:pPr>
            <w:r>
              <w:rPr>
                <w:rFonts w:ascii="Arial" w:cs="Arial" w:eastAsia="Arial" w:hAnsi="Arial"/>
                <w:sz w:val="14"/>
                <w:szCs w:val="14"/>
                <w:b w:val="1"/>
                <w:bCs w:val="1"/>
                <w:color w:val="auto"/>
              </w:rPr>
              <w:t>July 31, 2022</w:t>
            </w: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Entertainment revenues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66.4 %</w:t>
            </w:r>
          </w:p>
        </w:tc>
      </w:tr>
      <w:tr>
        <w:trPr>
          <w:trHeight w:val="236"/>
        </w:trPr>
        <w:tc>
          <w:tcPr>
            <w:tcW w:w="7940" w:type="dxa"/>
            <w:vAlign w:val="bottom"/>
          </w:tcPr>
          <w:p>
            <w:pPr>
              <w:ind w:left="20"/>
              <w:spacing w:after="0"/>
              <w:rPr>
                <w:sz w:val="20"/>
                <w:szCs w:val="20"/>
                <w:color w:val="auto"/>
              </w:rPr>
            </w:pPr>
            <w:r>
              <w:rPr>
                <w:rFonts w:ascii="Arial" w:cs="Arial" w:eastAsia="Arial" w:hAnsi="Arial"/>
                <w:sz w:val="18"/>
                <w:szCs w:val="18"/>
                <w:color w:val="auto"/>
              </w:rPr>
              <w:t>Food revenues</w:t>
            </w:r>
          </w:p>
        </w:tc>
        <w:tc>
          <w:tcPr>
            <w:tcW w:w="160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22.9 %</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Beverage revenues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7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Total revenues increased $219.9 million, or 23.9%, to $1,139.4 in the twenty-six weeks ended July 30, 2023 compared to $919.5 million in the twenty-six weeks ended July 31, 2022. The increase in revenue is primarily attributable to $220.6 million of increased revenue from our Main Event stores, which were acquired on June 29, 2022, and $44.6 million in revenue from new, noncomparable, Dave &amp; Buster's stores, partially offset by a 5.5% decrease in comparable store sales. The decrease in comparable store revenue is due primarily to a reduction in walk-in transaction counts relative to the robust consumer environment of the prior year period, partially offset by increases in food and beverage prices and increases in special event bookings.</w:t>
      </w:r>
    </w:p>
    <w:p>
      <w:pPr>
        <w:spacing w:after="0" w:line="16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Comparable entertainment revenues in the twenty-six weeks ended July 30, 2023 decreased by $42.4 million, or 7.6%, to $518.5 million from $560.9 million in the twenty-six weeks ended July 31, 2022. Food sales at comparable stores decreased by $5.9 million, or 3.1%, to $187.3 million in the twenty-six weeks ended July 30, 2023 from $193.2 million in the twenty-six weeks ended July 31, 2022. Beverage sales at comparable stores increased by $1.6 million, or 1.8%, to $92.1 million in the twenty-six weeks ended July 30, 2023 from $90.5 million in the twenty-six weeks ended July 31, 2022.</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0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The total cost of products was $173.9 million for the twenty-six weeks ended July 30, 2023 and $145.6 million for the twenty-six weeks ended July 31, 2022. The total cost of products as a percentage of total revenues decreased to 15.3% for the twenty-six weeks ended July 30, 2023 compared to 15.8% for the twenty-six weeks ended July 31, 2022.</w:t>
      </w:r>
    </w:p>
    <w:p>
      <w:pPr>
        <w:spacing w:after="0" w:line="18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Cost of entertainment increased to $68.7 million in the twenty-six weeks ended July 30, 2023 compared to $55.9 million in the twenty-six weeks ended July 31, 2022. The cost of entertainment, as a percentage of entertainment revenues, decreased to 9.1% for the twenty-six weeks ended July 30, 2023 from 9.2% in the twenty-six weeks ended July 31, 2022.</w:t>
      </w:r>
    </w:p>
    <w:p>
      <w:pPr>
        <w:spacing w:after="0" w:line="18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Cost of food and beverage products increased to $105.2 million for the twenty-six weeks ended July 30, 2023 compared to $89.7 million for the twenty-six weeks ended July 31, 2022. Cost of food and beverage products, as a percentage of food and beverage revenues, decreased to 27.3% for the twenty-six weeks ended July 30, 2023 from 29.0%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the twenty-six weeks ended July 31, 2022. The decrease was primarily attributable food and beverage menu price increases and product mix.</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09"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Total operating payroll and benefits increased to $257.6 million in the twenty-six weeks ended July 30, 2023 compared to $207.0 million in the twenty-six weeks ended July 31, 2022. The total cost of operating payroll and benefits as a percentage of total revenues was 22.6% in the twenty-six weeks ended July 30, 2023 compared to 22.5% in the twenty-six weeks ended July 31, 2022. This increase is primarily due to hourly wage rate and manager salary increases, partially offset by labor management efficiencies.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09"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Other store operating expenses increased to $339.1 million in the twenty-six weeks ended July 30, 2023 compared to $266.9 million in the twenty-six weeks ended July 31, 2022. The increase is primarily due to the additional store operating hours related to our Main Event stores, the impact of Dave &amp; Buster’s new store openings, and higher occupancy costs, utilities, maintenance, security, cleaning services and marketing costs. Other store operating expense as a percentage of total revenues increased to 29.8% in the twenty-six weeks ended July 30, 2023 compared to 29.0% in the twenty-six weeks ended July 31, 2022. This increase in basis points was due primarily to increased security, cleaning services, and marketing costs.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9" w:lineRule="exact"/>
        <w:rPr>
          <w:sz w:val="20"/>
          <w:szCs w:val="20"/>
          <w:color w:val="auto"/>
        </w:rPr>
      </w:pPr>
    </w:p>
    <w:p>
      <w:pPr>
        <w:jc w:val="both"/>
        <w:ind w:firstLine="474"/>
        <w:spacing w:after="0" w:line="248" w:lineRule="auto"/>
        <w:rPr>
          <w:sz w:val="20"/>
          <w:szCs w:val="20"/>
          <w:color w:val="auto"/>
        </w:rPr>
      </w:pPr>
      <w:r>
        <w:rPr>
          <w:rFonts w:ascii="Arial" w:cs="Arial" w:eastAsia="Arial" w:hAnsi="Arial"/>
          <w:sz w:val="18"/>
          <w:szCs w:val="18"/>
          <w:color w:val="auto"/>
        </w:rPr>
        <w:t>General and administrative expenses decreased to $63.6 million in the twenty-six weeks ended July 30, 2023 compared to $66.0 million in the twenty-six weeks ended July 31, 2022. The decrease in general and administrative expenses was driven primarily by $18.3 million of transaction and integration costs during the prior year period, partially offset by higher stock based compensation expense and system implementation costs. General and administrative expenses as a percentage of total revenues decreased to 5.6% in the twenty-six weeks ended July 30, 2023 compared to 7.2% in the twenty-six weeks ended July 31, 2022 due primarily to the reasons noted above.</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9"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Depreciation and amortization expense increased to $98.0 million in the twenty-six weeks ended July 30, 2023 compared to $71.9 million in the twenty-six weeks ended July 31, 2022, primarily due to the acquired Main Event stores.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0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Pre-opening costs increased to $8.7 million in the twenty-six weeks ended July 30, 2023 compared to $6.9 million in the twenty-six weeks ended July 31, 2022 primarily related to growth in the pipeline of new store openings in the twenty-six weeks ended July 30, 2023 compared to the twenty-six weeks ended July 31, 2022.</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Interest expense, net increased to $63.6 million in the twenty-six weeks ended July 30, 2023 compared to $28.5 million in the twenty-six weeks ended July 31, 2022 due primarily to an increase in average outstanding debt. See further discussion of the Company's debt activity at Note 6 to the consolidated financial statements.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Loss on debt refinancing</w:t>
      </w:r>
    </w:p>
    <w:p>
      <w:pPr>
        <w:spacing w:after="0" w:line="10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Loss on debt refinancing increased to $11.2 million in the twenty-six weeks ended July 30, 2023 compared to $1.5 million in the twenty-six weeks ended July 31, 2022 due to the debt refinancing in June of 2023 and June of 2022, respectively. See further discussion of the Company's debt activity at Note 6 to the consolidated financial statements.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9"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The effective tax rate for the twenty-six weeks ended July 30, 2023 was 22.4%, compared to 23.3% for the twenty-six weeks ended July 31, 2022. The current year tax provision includes a favorable state apportionment impact resulting from the acquisition of Main Event and legal entity restructuring as well as lower permanent differences, primarily non-deductible transaction costs as compared to the prior year.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Debt</w:t>
      </w:r>
    </w:p>
    <w:p>
      <w:pPr>
        <w:spacing w:after="0" w:line="109" w:lineRule="exact"/>
        <w:rPr>
          <w:sz w:val="20"/>
          <w:szCs w:val="20"/>
          <w:color w:val="auto"/>
        </w:rPr>
      </w:pPr>
    </w:p>
    <w:p>
      <w:pPr>
        <w:jc w:val="both"/>
        <w:ind w:firstLine="474"/>
        <w:spacing w:after="0" w:line="284" w:lineRule="auto"/>
        <w:rPr>
          <w:sz w:val="20"/>
          <w:szCs w:val="20"/>
          <w:color w:val="auto"/>
        </w:rPr>
      </w:pPr>
      <w:r>
        <w:rPr>
          <w:rFonts w:ascii="Arial" w:cs="Arial" w:eastAsia="Arial" w:hAnsi="Arial"/>
          <w:sz w:val="16"/>
          <w:szCs w:val="16"/>
          <w:color w:val="auto"/>
        </w:rPr>
        <w:t>In connection with the closing of the Main Event Acquisition on June 29, 2022, D&amp;B Inc entered into a senior secured credit agreement, which refinanced the $500.0 million existing revolving facility, extended the maturity date to June 29, 2027, and added a new term loan facility in the aggregate principal amount of $850.0 million, with a maturity date of June 29, 2029 (“Credit Facility”). The proceeds of the term loan, net of an original issue discount of $42.5 million, were used to pay the consideration for the Acquisition. The revolving credit facility can expire before the stated maturity date if the aggregate outstanding principal amount of the 7.625% senior secured notes (described below) exceeds $100.0 million 91 days prior to November 1, 2025. A portion of the revolving facility not to exceed $35.0 million is available for the issuance of letters of credit.</w:t>
      </w:r>
    </w:p>
    <w:p>
      <w:pPr>
        <w:spacing w:after="0" w:line="169"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6"/>
          <w:szCs w:val="16"/>
          <w:color w:val="auto"/>
        </w:rPr>
        <w:t>On June 30, 2023, D&amp;B Inc entered into the Amendment with its banking syndicate, which amended the Credit Facility. The Amendment provides for a new tranche of term loans in an aggregate principal amount of $900.0 (the “2023 Term B Loans”) which consist of $843.6 of 2023 refinancing Term B Loans which refinanced in full the term loans outstanding immediately prior to the Amendment effective date and $56.4 of 2023 additional Term B Loans, which will be used for general corporate and working capital purposes. The 2023 Term B Loans were issued with an original issue discount of 1%, reduced the interest rate margin applicable to term loans and revolving loans outstanding under the Credit Agreement by 1.25% and otherwise have terms substantially the same as the terms of the existing Term B Loans under the June 29, 2022 Credit Facility. The 2023 Term B Loans may be prepaid at any time, without premium or penalty, but are subject to a prepayment premium of 1.00% (subject to certain exceptions) if certain refinancing of, or amendment to, reduce the all-in-yield of the 2023 Term B Loans is made at any time during the first six months after the Amendment effective date.</w:t>
      </w:r>
    </w:p>
    <w:p>
      <w:pPr>
        <w:spacing w:after="0" w:line="168"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The 2023 Term B Loans will bear interest at Term SOFR (plus an additional credit spread adjustment of 0.10%) or ABR (each, as defined in the amended Credit Agreement) plus (i) in the case of Term SOFR loans, 3.75% per annum and (ii) in the case of ABR loans, 2.75% per annum. The Revolving Loans will continue to bear interest subject to a pricing grid based on the Borrower’s net total leverage, at Term SOFR (plus an additional credit spread adjustment of 0.10%) plus a spread ranging from 3.00% to 3.50% per annum or ABR plus a spread ranging from 2.00% to 2.50% per annum. Unused commitments under the revolving facility incur initial commitment fees of 0.30% to 0.50%.</w:t>
      </w:r>
    </w:p>
    <w:p>
      <w:pPr>
        <w:spacing w:after="0" w:line="16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As of July 30, 2023, we had letters of credit outstanding of $9.8 million and an unused commitment balance of $490.2 under the revolving facility. The Credit Facility may be increased through incremental facilities, by an amount equal to the greater of (i) $400.0 million and (ii) 0.75 times trailing twelve-month Adjusted EBITDA, as defined, plus additional amounts subject to compliance with applicable leverage ratio and/or interest coverage ratio requirements. The Credit Facility is unconditionally guaranteed by D&amp;B Holdings and certain of D&amp;B Inc’s existing and future wholly owned material domestic subsidiaries.</w:t>
      </w:r>
    </w:p>
    <w:p>
      <w:pPr>
        <w:spacing w:after="0" w:line="162" w:lineRule="exact"/>
        <w:rPr>
          <w:sz w:val="20"/>
          <w:szCs w:val="20"/>
          <w:color w:val="auto"/>
        </w:rPr>
      </w:pPr>
    </w:p>
    <w:p>
      <w:pPr>
        <w:jc w:val="both"/>
        <w:ind w:firstLine="474"/>
        <w:spacing w:after="0" w:line="284" w:lineRule="auto"/>
        <w:rPr>
          <w:sz w:val="20"/>
          <w:szCs w:val="20"/>
          <w:color w:val="auto"/>
        </w:rPr>
      </w:pPr>
      <w:r>
        <w:rPr>
          <w:rFonts w:ascii="Arial" w:cs="Arial" w:eastAsia="Arial" w:hAnsi="Arial"/>
          <w:sz w:val="16"/>
          <w:szCs w:val="16"/>
          <w:color w:val="auto"/>
        </w:rPr>
        <w:t>During fiscal 2020, the Company issued $550.0 million aggregate principal amount of 7.625% senior secured notes (the “Notes”). Interest on the Notes is payable in arrears on November 1 and May 1 of each year.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During fiscal 2022, the Company redeemed a total of $110.0 million outstanding principal amount of the Notes. Beginning October 27, 2022, the Company may elect to further redeem the Notes, in whole or in part, at certain specified redemption prices, plus accrued and unpaid interest, at the redemption date.</w:t>
      </w:r>
    </w:p>
    <w:p>
      <w:pPr>
        <w:spacing w:after="0" w:line="169"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The Company’s weighted average effective interest rate on our total debt facilities was 10.3% and 10.1% for the twenty-six weeks ended July 30, 2023 and July 31, 2022, respectively.</w:t>
      </w:r>
    </w:p>
    <w:p>
      <w:pPr>
        <w:spacing w:after="0" w:line="180"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Our debt agreements contain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as of the end of each fiscal quarter, beginning with the Company’s first full fiscal quarter after the Closing Date. We were in compliance with our covenants and the terms of our debt agreements as of July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Credit Adjusted EBITDA and Net Total Leverage Ratio</w:t>
      </w:r>
      <w:r>
        <w:rPr>
          <w:rFonts w:ascii="Arial" w:cs="Arial" w:eastAsia="Arial" w:hAnsi="Arial"/>
          <w:sz w:val="18"/>
          <w:szCs w:val="18"/>
          <w:color w:val="auto"/>
        </w:rPr>
        <w:t>.</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reconciles Net income to Credit Adjusted EBITDA, as defined in our Credit Facility for the periods indicated:</w:t>
      </w:r>
    </w:p>
    <w:p>
      <w:pPr>
        <w:spacing w:after="0" w:line="257" w:lineRule="exact"/>
        <w:rPr>
          <w:sz w:val="20"/>
          <w:szCs w:val="20"/>
          <w:color w:val="auto"/>
        </w:rPr>
      </w:pPr>
    </w:p>
    <w:tbl>
      <w:tblPr>
        <w:tblLayout w:type="fixed"/>
        <w:tblInd w:w="16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720" w:type="dxa"/>
            <w:vAlign w:val="bottom"/>
          </w:tcPr>
          <w:p>
            <w:pPr>
              <w:jc w:val="right"/>
              <w:ind w:right="82"/>
              <w:spacing w:after="0"/>
              <w:rPr>
                <w:sz w:val="20"/>
                <w:szCs w:val="20"/>
                <w:color w:val="auto"/>
              </w:rPr>
            </w:pPr>
            <w:r>
              <w:rPr>
                <w:rFonts w:ascii="Arial" w:cs="Arial" w:eastAsia="Arial" w:hAnsi="Arial"/>
                <w:sz w:val="14"/>
                <w:szCs w:val="14"/>
                <w:b w:val="1"/>
                <w:bCs w:val="1"/>
                <w:color w:val="auto"/>
              </w:rPr>
              <w:t>Trailing Four Quarters</w:t>
            </w:r>
          </w:p>
        </w:tc>
      </w:tr>
      <w:tr>
        <w:trPr>
          <w:trHeight w:val="183"/>
        </w:trPr>
        <w:tc>
          <w:tcPr>
            <w:tcW w:w="6640" w:type="dxa"/>
            <w:vAlign w:val="bottom"/>
          </w:tcPr>
          <w:p>
            <w:pPr>
              <w:spacing w:after="0"/>
              <w:rPr>
                <w:sz w:val="15"/>
                <w:szCs w:val="15"/>
                <w:color w:val="auto"/>
              </w:rPr>
            </w:pPr>
          </w:p>
        </w:tc>
        <w:tc>
          <w:tcPr>
            <w:tcW w:w="1720" w:type="dxa"/>
            <w:vAlign w:val="bottom"/>
          </w:tcPr>
          <w:p>
            <w:pPr>
              <w:jc w:val="right"/>
              <w:ind w:right="182"/>
              <w:spacing w:after="0"/>
              <w:rPr>
                <w:sz w:val="20"/>
                <w:szCs w:val="20"/>
                <w:color w:val="auto"/>
              </w:rPr>
            </w:pPr>
            <w:r>
              <w:rPr>
                <w:rFonts w:ascii="Arial" w:cs="Arial" w:eastAsia="Arial" w:hAnsi="Arial"/>
                <w:sz w:val="14"/>
                <w:szCs w:val="14"/>
                <w:b w:val="1"/>
                <w:bCs w:val="1"/>
                <w:color w:val="auto"/>
              </w:rPr>
              <w:t>Ended July 30, 2023</w:t>
            </w:r>
          </w:p>
        </w:tc>
      </w:tr>
      <w:tr>
        <w:trPr>
          <w:trHeight w:val="37"/>
        </w:trPr>
        <w:tc>
          <w:tcPr>
            <w:tcW w:w="664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r>
      <w:tr>
        <w:trPr>
          <w:trHeight w:val="227"/>
        </w:trPr>
        <w:tc>
          <w:tcPr>
            <w:tcW w:w="6640" w:type="dxa"/>
            <w:vAlign w:val="bottom"/>
          </w:tcPr>
          <w:p>
            <w:pPr>
              <w:ind w:left="220"/>
              <w:spacing w:after="0"/>
              <w:rPr>
                <w:sz w:val="20"/>
                <w:szCs w:val="20"/>
                <w:color w:val="auto"/>
              </w:rPr>
            </w:pPr>
            <w:r>
              <w:rPr>
                <w:rFonts w:ascii="Arial" w:cs="Arial" w:eastAsia="Arial" w:hAnsi="Arial"/>
                <w:sz w:val="16"/>
                <w:szCs w:val="16"/>
                <w:color w:val="auto"/>
              </w:rPr>
              <w:t>Add back:</w:t>
            </w:r>
          </w:p>
        </w:tc>
        <w:tc>
          <w:tcPr>
            <w:tcW w:w="1720" w:type="dxa"/>
            <w:vAlign w:val="bottom"/>
          </w:tcPr>
          <w:p>
            <w:pPr>
              <w:spacing w:after="0"/>
              <w:rPr>
                <w:sz w:val="19"/>
                <w:szCs w:val="19"/>
                <w:color w:val="auto"/>
              </w:rPr>
            </w:pPr>
          </w:p>
        </w:tc>
      </w:tr>
      <w:tr>
        <w:trPr>
          <w:trHeight w:val="247"/>
        </w:trPr>
        <w:tc>
          <w:tcPr>
            <w:tcW w:w="6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 expense, net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27"/>
        </w:trPr>
        <w:tc>
          <w:tcPr>
            <w:tcW w:w="6640" w:type="dxa"/>
            <w:vAlign w:val="bottom"/>
          </w:tcPr>
          <w:p>
            <w:pPr>
              <w:ind w:left="440"/>
              <w:spacing w:after="0"/>
              <w:rPr>
                <w:sz w:val="20"/>
                <w:szCs w:val="20"/>
                <w:color w:val="auto"/>
              </w:rPr>
            </w:pPr>
            <w:r>
              <w:rPr>
                <w:rFonts w:ascii="Arial" w:cs="Arial" w:eastAsia="Arial" w:hAnsi="Arial"/>
                <w:sz w:val="16"/>
                <w:szCs w:val="16"/>
                <w:color w:val="auto"/>
              </w:rPr>
              <w:t>Loss on debt refinancing</w:t>
            </w:r>
          </w:p>
        </w:tc>
        <w:tc>
          <w:tcPr>
            <w:tcW w:w="17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47"/>
        </w:trPr>
        <w:tc>
          <w:tcPr>
            <w:tcW w:w="6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Provision for income taxes</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30"/>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Depreciation and amortization expense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r>
      <w:tr>
        <w:trPr>
          <w:trHeight w:val="23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r>
      <w:tr>
        <w:trPr>
          <w:trHeight w:val="227"/>
        </w:trPr>
        <w:tc>
          <w:tcPr>
            <w:tcW w:w="6640" w:type="dxa"/>
            <w:vAlign w:val="bottom"/>
          </w:tcPr>
          <w:p>
            <w:pPr>
              <w:ind w:left="220"/>
              <w:spacing w:after="0"/>
              <w:rPr>
                <w:sz w:val="20"/>
                <w:szCs w:val="20"/>
                <w:color w:val="auto"/>
              </w:rPr>
            </w:pPr>
            <w:r>
              <w:rPr>
                <w:rFonts w:ascii="Arial" w:cs="Arial" w:eastAsia="Arial" w:hAnsi="Arial"/>
                <w:sz w:val="16"/>
                <w:szCs w:val="16"/>
                <w:color w:val="auto"/>
              </w:rPr>
              <w:t>Add back:</w:t>
            </w:r>
          </w:p>
        </w:tc>
        <w:tc>
          <w:tcPr>
            <w:tcW w:w="1720" w:type="dxa"/>
            <w:vAlign w:val="bottom"/>
          </w:tcPr>
          <w:p>
            <w:pPr>
              <w:spacing w:after="0"/>
              <w:rPr>
                <w:sz w:val="19"/>
                <w:szCs w:val="19"/>
                <w:color w:val="auto"/>
              </w:rPr>
            </w:pPr>
          </w:p>
        </w:tc>
      </w:tr>
      <w:tr>
        <w:trPr>
          <w:trHeight w:val="247"/>
        </w:trPr>
        <w:tc>
          <w:tcPr>
            <w:tcW w:w="6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Loss on asset disposal</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7"/>
        </w:trPr>
        <w:tc>
          <w:tcPr>
            <w:tcW w:w="6640" w:type="dxa"/>
            <w:vAlign w:val="bottom"/>
          </w:tcPr>
          <w:p>
            <w:pPr>
              <w:ind w:left="440"/>
              <w:spacing w:after="0"/>
              <w:rPr>
                <w:sz w:val="20"/>
                <w:szCs w:val="20"/>
                <w:color w:val="auto"/>
              </w:rPr>
            </w:pPr>
            <w:r>
              <w:rPr>
                <w:rFonts w:ascii="Arial" w:cs="Arial" w:eastAsia="Arial" w:hAnsi="Arial"/>
                <w:sz w:val="16"/>
                <w:szCs w:val="16"/>
                <w:color w:val="auto"/>
              </w:rPr>
              <w:t>Impairment of long-lived assets</w:t>
            </w:r>
          </w:p>
        </w:tc>
        <w:tc>
          <w:tcPr>
            <w:tcW w:w="17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7"/>
        </w:trPr>
        <w:tc>
          <w:tcPr>
            <w:tcW w:w="6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Share-based compensation</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27"/>
        </w:trPr>
        <w:tc>
          <w:tcPr>
            <w:tcW w:w="6640" w:type="dxa"/>
            <w:vAlign w:val="bottom"/>
          </w:tcPr>
          <w:p>
            <w:pPr>
              <w:ind w:left="440"/>
              <w:spacing w:after="0"/>
              <w:rPr>
                <w:sz w:val="20"/>
                <w:szCs w:val="20"/>
                <w:color w:val="auto"/>
              </w:rPr>
            </w:pPr>
            <w:r>
              <w:rPr>
                <w:rFonts w:ascii="Arial" w:cs="Arial" w:eastAsia="Arial" w:hAnsi="Arial"/>
                <w:sz w:val="16"/>
                <w:szCs w:val="16"/>
                <w:color w:val="auto"/>
              </w:rPr>
              <w:t>Transaction and integration costs</w:t>
            </w:r>
          </w:p>
        </w:tc>
        <w:tc>
          <w:tcPr>
            <w:tcW w:w="17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47"/>
        </w:trPr>
        <w:tc>
          <w:tcPr>
            <w:tcW w:w="6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System implementation costs</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27"/>
        </w:trPr>
        <w:tc>
          <w:tcPr>
            <w:tcW w:w="6640" w:type="dxa"/>
            <w:vAlign w:val="bottom"/>
          </w:tcPr>
          <w:p>
            <w:pPr>
              <w:ind w:left="440"/>
              <w:spacing w:after="0"/>
              <w:rPr>
                <w:sz w:val="20"/>
                <w:szCs w:val="20"/>
                <w:color w:val="auto"/>
              </w:rPr>
            </w:pPr>
            <w:r>
              <w:rPr>
                <w:rFonts w:ascii="Arial" w:cs="Arial" w:eastAsia="Arial" w:hAnsi="Arial"/>
                <w:sz w:val="16"/>
                <w:szCs w:val="16"/>
                <w:color w:val="auto"/>
              </w:rPr>
              <w:t>Pre-opening costs</w:t>
            </w:r>
          </w:p>
        </w:tc>
        <w:tc>
          <w:tcPr>
            <w:tcW w:w="172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47"/>
        </w:trPr>
        <w:tc>
          <w:tcPr>
            <w:tcW w:w="66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Entertainment revenue deferrals</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30"/>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items, net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6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Credit Adjusted EBITDA, a non-GAAP measure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calculates Net Total Leverage Ratio, as defined in our Credit Facility, as of and for the period indicated:</w:t>
      </w:r>
    </w:p>
    <w:p>
      <w:pPr>
        <w:spacing w:after="0" w:line="257" w:lineRule="exact"/>
        <w:rPr>
          <w:sz w:val="20"/>
          <w:szCs w:val="20"/>
          <w:color w:val="auto"/>
        </w:rPr>
      </w:pPr>
    </w:p>
    <w:tbl>
      <w:tblPr>
        <w:tblLayout w:type="fixed"/>
        <w:tblInd w:w="16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As Of And For The Trailing</w:t>
            </w:r>
          </w:p>
        </w:tc>
      </w:tr>
      <w:tr>
        <w:trPr>
          <w:trHeight w:val="171"/>
        </w:trPr>
        <w:tc>
          <w:tcPr>
            <w:tcW w:w="658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Four Quarters</w:t>
            </w:r>
          </w:p>
        </w:tc>
      </w:tr>
      <w:tr>
        <w:trPr>
          <w:trHeight w:val="183"/>
        </w:trPr>
        <w:tc>
          <w:tcPr>
            <w:tcW w:w="65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Ended July 30, 2023</w:t>
            </w:r>
          </w:p>
        </w:tc>
      </w:tr>
      <w:tr>
        <w:trPr>
          <w:trHeight w:val="24"/>
        </w:trPr>
        <w:tc>
          <w:tcPr>
            <w:tcW w:w="65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Credit Adjusted EBITDA (a)</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58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Total debt </w:t>
            </w:r>
            <w:r>
              <w:rPr>
                <w:rFonts w:ascii="Arial" w:cs="Arial" w:eastAsia="Arial" w:hAnsi="Arial"/>
                <w:sz w:val="20"/>
                <w:szCs w:val="20"/>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6"/>
                <w:szCs w:val="16"/>
                <w:color w:val="auto"/>
              </w:rPr>
              <w:t>$1,287.7</w:t>
            </w:r>
          </w:p>
        </w:tc>
      </w:tr>
      <w:tr>
        <w:trPr>
          <w:trHeight w:val="23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and cash equivalents</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Outstanding letters of credit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30"/>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debt (b)</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$1,214.9</w:t>
            </w:r>
          </w:p>
        </w:tc>
      </w:tr>
      <w:tr>
        <w:trPr>
          <w:trHeight w:val="237"/>
        </w:trPr>
        <w:tc>
          <w:tcPr>
            <w:tcW w:w="6580" w:type="dxa"/>
            <w:vAlign w:val="bottom"/>
          </w:tcPr>
          <w:p>
            <w:pPr>
              <w:ind w:left="20"/>
              <w:spacing w:after="0"/>
              <w:rPr>
                <w:sz w:val="20"/>
                <w:szCs w:val="20"/>
                <w:color w:val="auto"/>
              </w:rPr>
            </w:pPr>
            <w:r>
              <w:rPr>
                <w:rFonts w:ascii="Arial" w:cs="Arial" w:eastAsia="Arial" w:hAnsi="Arial"/>
                <w:sz w:val="16"/>
                <w:szCs w:val="16"/>
                <w:color w:val="auto"/>
              </w:rPr>
              <w:t>Net Total Leverage Ratio (b / a)</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x</w:t>
            </w:r>
          </w:p>
        </w:tc>
      </w:tr>
      <w:tr>
        <w:trPr>
          <w:trHeight w:val="20"/>
        </w:trPr>
        <w:tc>
          <w:tcPr>
            <w:tcW w:w="65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60" w:hanging="148"/>
        <w:spacing w:after="0"/>
        <w:tabs>
          <w:tab w:leader="none" w:pos="12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 equals the face amount of debt outstanding less unamortized debt issuance costs and debt discount.</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109" w:lineRule="exact"/>
        <w:rPr>
          <w:sz w:val="20"/>
          <w:szCs w:val="20"/>
          <w:color w:val="auto"/>
        </w:rPr>
      </w:pPr>
    </w:p>
    <w:p>
      <w:pPr>
        <w:jc w:val="both"/>
        <w:ind w:firstLine="474"/>
        <w:spacing w:after="0" w:line="248" w:lineRule="auto"/>
        <w:rPr>
          <w:sz w:val="20"/>
          <w:szCs w:val="20"/>
          <w:color w:val="auto"/>
        </w:rPr>
      </w:pPr>
      <w:r>
        <w:rPr>
          <w:rFonts w:ascii="Arial" w:cs="Arial" w:eastAsia="Arial" w:hAnsi="Arial"/>
          <w:sz w:val="18"/>
          <w:szCs w:val="18"/>
          <w:color w:val="auto"/>
        </w:rPr>
        <w:t>On March 27, 2023, our Board of Directors approved a share repurchase program with an authorization limit of $100.0. During the twenty-six weeks ended July 30, 2023, the Company repurchased the full $100.0 authorized amount. On April 19, 2023, our Board of Directors approved an increase to the authorization limit of $200.0 for a total of $300.0 authorized under the program. During the twenty-six weeks ended July 30, 2023, the Company repurchased 5.70 million shares at an average of $35.12 per share. The remaining dollar value of shares that may be repurchased under the program is $100.0 as of July 30, 2023. The repurchase program expires at the end of fiscal 2023.</w:t>
      </w:r>
    </w:p>
    <w:p>
      <w:pPr>
        <w:spacing w:after="0" w:line="90" w:lineRule="exact"/>
        <w:rPr>
          <w:sz w:val="20"/>
          <w:szCs w:val="20"/>
          <w:color w:val="auto"/>
        </w:rPr>
      </w:pPr>
    </w:p>
    <w:p>
      <w:pPr>
        <w:jc w:val="both"/>
        <w:ind w:firstLine="474"/>
        <w:spacing w:after="0" w:line="300" w:lineRule="auto"/>
        <w:rPr>
          <w:sz w:val="20"/>
          <w:szCs w:val="20"/>
          <w:color w:val="auto"/>
        </w:rPr>
      </w:pPr>
      <w:r>
        <w:rPr>
          <w:rFonts w:ascii="Arial" w:cs="Arial" w:eastAsia="Arial" w:hAnsi="Arial"/>
          <w:sz w:val="16"/>
          <w:szCs w:val="16"/>
          <w:color w:val="auto"/>
        </w:rPr>
        <w:t>There were no dividends declared or paid during the thirteen and twenty-six weeks ended July 30, 2023.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9"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8"/>
          <w:szCs w:val="18"/>
          <w:color w:val="auto"/>
        </w:rPr>
        <w:t>As of July 30, 2023, the Company had cash and cash equivalents of $82.6 million.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available borrowings under our revolving credit facility and expected payments from landlords should be sufficient not only for our operating requirements but also to enable us, in the aggregate, to finance our capital allocation strategy, including capital expenditures, through at least the next twelve months.</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2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 Cash flow from operations typically provides us with a significant source of liquidity. Our operating cash flows result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cash received from our customers, offset by cash payments we make for products and services, team member compensation, operations, occupancy, and other operating costs. Cash from operating activities is also subject to changes in working capital. Working capital at any specific point in time is subject to many variables, including seasonality, the timing of cash receipts and payments, and vendor payment terms.</w:t>
      </w:r>
    </w:p>
    <w:p>
      <w:pPr>
        <w:spacing w:after="0" w:line="162"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color w:val="auto"/>
        </w:rPr>
        <w:t>Cash flow from operating activities decreased to $196.2 million for the twenty-six weeks ended July 30, 2023 compared to $233.1 million for the twenty-six weeks ended July 31, 2022 driven primarily by the receipt of a federal tax refund in the amount of approximately $33.2 million during the twenty-six weeks ended July 31, 2022 and the timing of changes in working capital.</w:t>
      </w:r>
    </w:p>
    <w:p>
      <w:pPr>
        <w:spacing w:after="0" w:line="189" w:lineRule="exact"/>
        <w:rPr>
          <w:sz w:val="20"/>
          <w:szCs w:val="20"/>
          <w:color w:val="auto"/>
        </w:rPr>
      </w:pPr>
    </w:p>
    <w:p>
      <w:pPr>
        <w:jc w:val="both"/>
        <w:ind w:firstLine="474"/>
        <w:spacing w:after="0" w:line="25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flow used in investing decreased to $133.4 million for the twenty-six weeks ended July 30, 2023 from $922.2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twenty-six weeks ended July 31, 2022 primarily due to the $822.7 net cash paid for the acquisition of Main Event in the twenty-six weeks ended July 31, 2022, partially offset by an increase in capital expenditures.</w:t>
      </w:r>
    </w:p>
    <w:p>
      <w:pPr>
        <w:spacing w:after="0" w:line="189"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Cash flow used in financing was $161.8 million in the twenty-six weeks ended July 30, 2023 compared to cash flow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financing activities of $763.6 million in the twenty-six weeks ended July 31, 2022.</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net cash outflow for the twenty-six weeks ended July 30, 2023 primarily consisted of:</w:t>
      </w:r>
    </w:p>
    <w:p>
      <w:pPr>
        <w:spacing w:after="0" w:line="56" w:lineRule="exact"/>
        <w:rPr>
          <w:sz w:val="20"/>
          <w:szCs w:val="20"/>
          <w:color w:val="auto"/>
        </w:rPr>
      </w:pPr>
    </w:p>
    <w:p>
      <w:pPr>
        <w:ind w:left="1260" w:hanging="46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$200.0 million of share repurchases and associated commissions,</w:t>
      </w:r>
    </w:p>
    <w:p>
      <w:pPr>
        <w:spacing w:after="0" w:line="56" w:lineRule="exact"/>
        <w:rPr>
          <w:rFonts w:ascii="Arial" w:cs="Arial" w:eastAsia="Arial" w:hAnsi="Arial"/>
          <w:sz w:val="18"/>
          <w:szCs w:val="18"/>
          <w:color w:val="auto"/>
        </w:rPr>
      </w:pPr>
    </w:p>
    <w:p>
      <w:pPr>
        <w:ind w:left="1260" w:hanging="46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$44.3 million of payments on outstanding debt and revolver balances and</w:t>
      </w:r>
    </w:p>
    <w:p>
      <w:pPr>
        <w:spacing w:after="0" w:line="56" w:lineRule="exact"/>
        <w:rPr>
          <w:rFonts w:ascii="Arial" w:cs="Arial" w:eastAsia="Arial" w:hAnsi="Arial"/>
          <w:sz w:val="18"/>
          <w:szCs w:val="18"/>
          <w:color w:val="auto"/>
        </w:rPr>
      </w:pPr>
    </w:p>
    <w:p>
      <w:pPr>
        <w:ind w:left="1260" w:hanging="46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 million of debt issuance costs incurred,</w:t>
      </w:r>
    </w:p>
    <w:p>
      <w:pPr>
        <w:spacing w:after="0" w:line="56" w:lineRule="exact"/>
        <w:rPr>
          <w:rFonts w:ascii="Arial" w:cs="Arial" w:eastAsia="Arial" w:hAnsi="Arial"/>
          <w:sz w:val="18"/>
          <w:szCs w:val="18"/>
          <w:color w:val="auto"/>
        </w:rPr>
      </w:pPr>
    </w:p>
    <w:p>
      <w:pPr>
        <w:ind w:left="1260" w:hanging="46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$87.4 million of net debt proceeds.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net cash inflow for the twenty-six weeks ended July 31, 2022 primarily consisted of:</w:t>
      </w:r>
    </w:p>
    <w:p>
      <w:pPr>
        <w:spacing w:after="0" w:line="56" w:lineRule="exact"/>
        <w:rPr>
          <w:sz w:val="20"/>
          <w:szCs w:val="20"/>
          <w:color w:val="auto"/>
        </w:rPr>
      </w:pPr>
    </w:p>
    <w:p>
      <w:pPr>
        <w:ind w:left="1260" w:hanging="464"/>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$821.5 million of net debt proceeds,</w:t>
      </w:r>
    </w:p>
    <w:p>
      <w:pPr>
        <w:spacing w:after="0" w:line="56" w:lineRule="exact"/>
        <w:rPr>
          <w:rFonts w:ascii="Arial" w:cs="Arial" w:eastAsia="Arial" w:hAnsi="Arial"/>
          <w:sz w:val="18"/>
          <w:szCs w:val="18"/>
          <w:color w:val="auto"/>
        </w:rPr>
      </w:pPr>
    </w:p>
    <w:p>
      <w:pPr>
        <w:ind w:left="1260" w:hanging="464"/>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$5.6 million of proceeds related to exercises of stock options,</w:t>
      </w:r>
    </w:p>
    <w:p>
      <w:pPr>
        <w:spacing w:after="0" w:line="56" w:lineRule="exact"/>
        <w:rPr>
          <w:rFonts w:ascii="Arial" w:cs="Arial" w:eastAsia="Arial" w:hAnsi="Arial"/>
          <w:sz w:val="18"/>
          <w:szCs w:val="18"/>
          <w:color w:val="auto"/>
        </w:rPr>
      </w:pPr>
    </w:p>
    <w:p>
      <w:pPr>
        <w:ind w:left="1260" w:hanging="464"/>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$25.0 million of share repurchases,</w:t>
      </w:r>
    </w:p>
    <w:p>
      <w:pPr>
        <w:spacing w:after="0" w:line="56" w:lineRule="exact"/>
        <w:rPr>
          <w:rFonts w:ascii="Arial" w:cs="Arial" w:eastAsia="Arial" w:hAnsi="Arial"/>
          <w:sz w:val="18"/>
          <w:szCs w:val="18"/>
          <w:color w:val="auto"/>
        </w:rPr>
      </w:pPr>
    </w:p>
    <w:p>
      <w:pPr>
        <w:ind w:left="1260" w:hanging="464"/>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$14.0 million payments on revolver balances and $17.7 million of debt issuance costs incurred.</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09" w:lineRule="exact"/>
        <w:rPr>
          <w:sz w:val="20"/>
          <w:szCs w:val="20"/>
          <w:color w:val="auto"/>
        </w:rPr>
      </w:pPr>
    </w:p>
    <w:p>
      <w:pPr>
        <w:jc w:val="both"/>
        <w:ind w:firstLine="474"/>
        <w:spacing w:after="0" w:line="262" w:lineRule="auto"/>
        <w:rPr>
          <w:sz w:val="20"/>
          <w:szCs w:val="20"/>
          <w:color w:val="auto"/>
        </w:rPr>
      </w:pPr>
      <w:r>
        <w:rPr>
          <w:rFonts w:ascii="Arial" w:cs="Arial" w:eastAsia="Arial" w:hAnsi="Arial"/>
          <w:sz w:val="18"/>
          <w:szCs w:val="18"/>
          <w:color w:val="auto"/>
        </w:rPr>
        <w:t xml:space="preserve">Other than the activity discussed at </w:t>
      </w:r>
      <w:r>
        <w:rPr>
          <w:rFonts w:ascii="Arial" w:cs="Arial" w:eastAsia="Arial" w:hAnsi="Arial"/>
          <w:sz w:val="18"/>
          <w:szCs w:val="18"/>
          <w:i w:val="1"/>
          <w:iCs w:val="1"/>
          <w:color w:val="auto"/>
        </w:rPr>
        <w:t>Debt</w:t>
      </w:r>
      <w:r>
        <w:rPr>
          <w:rFonts w:ascii="Arial" w:cs="Arial" w:eastAsia="Arial" w:hAnsi="Arial"/>
          <w:sz w:val="18"/>
          <w:szCs w:val="18"/>
          <w:color w:val="auto"/>
        </w:rPr>
        <w:t xml:space="preserve"> above, there have been no material changes outside the ordinary course of business to our contractual obligations since January 29, 2023, as reported on Form 10-K filed with the SEC on March 28,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estimates</w:t>
      </w:r>
    </w:p>
    <w:p>
      <w:pPr>
        <w:spacing w:after="0" w:line="1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fiscal year ended January 29,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15"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8"/>
          <w:szCs w:val="18"/>
          <w:color w:val="auto"/>
        </w:rPr>
        <w:t>We are exposed to market price fluctuation in food, beverage, supplies and other costs such as energy.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In the second quarter of fiscal 2022, the Company elected SOFR as the alternative base rate for outstanding borrowings on the Credit Facility, which is based on variable rates. As of July 30, 2023, the Company had no balance outstanding on our revolving facility and an outstanding balance of $900.0 million on the term loan facility. The impact on our annual results of operations of a hypothetical one percentage point interest rate change on the outstanding balance of the credit facility as of July 30, 2023 would be approximately $9.0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15"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Severe increases in inflation could affect the United States or global economies and have an adverse impact on our business, financial condition and results of operation.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pacing w:after="0" w:line="18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9"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9" w:lineRule="exact"/>
        <w:rPr>
          <w:sz w:val="20"/>
          <w:szCs w:val="20"/>
          <w:color w:val="auto"/>
        </w:rPr>
      </w:pPr>
    </w:p>
    <w:p>
      <w:pPr>
        <w:jc w:val="both"/>
        <w:ind w:firstLine="474"/>
        <w:spacing w:after="0" w:line="250" w:lineRule="auto"/>
        <w:rPr>
          <w:sz w:val="20"/>
          <w:szCs w:val="20"/>
          <w:color w:val="auto"/>
        </w:rPr>
      </w:pPr>
      <w:r>
        <w:rPr>
          <w:rFonts w:ascii="Arial" w:cs="Arial" w:eastAsia="Arial" w:hAnsi="Arial"/>
          <w:sz w:val="18"/>
          <w:szCs w:val="18"/>
          <w:color w:val="auto"/>
        </w:rPr>
        <w:t>There were no changes to our internal control over financial reporting practices or processes that materially affected, or are reasonably likely to materially affect, our internal control over financial reporting during our second quarter ended July 30, 2023. The Main Event Acquisition had a material impact on internal control over financial reporting. The Company will include Main Event in our evaluation of internal control over financial reporting for the fiscal year ending February 4,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5" w:lineRule="exact"/>
        <w:rPr>
          <w:sz w:val="20"/>
          <w:szCs w:val="20"/>
          <w:color w:val="auto"/>
        </w:rPr>
      </w:pPr>
    </w:p>
    <w:p>
      <w:pPr>
        <w:ind w:firstLine="474"/>
        <w:spacing w:after="0" w:line="262" w:lineRule="auto"/>
        <w:rPr>
          <w:sz w:val="20"/>
          <w:szCs w:val="20"/>
          <w:color w:val="auto"/>
        </w:rPr>
      </w:pPr>
      <w:r>
        <w:rPr>
          <w:rFonts w:ascii="Arial" w:cs="Arial" w:eastAsia="Arial" w:hAnsi="Arial"/>
          <w:sz w:val="18"/>
          <w:szCs w:val="18"/>
          <w:color w:val="auto"/>
        </w:rPr>
        <w:t>Information regarding legal proceedings is incorporated by reference from Note 7 to our Unaudited Consolidated Financial Statements set forth in Part I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discussion in “Risk Factors” in Item 1A of the Company's Annual Report on Form 10-K for the year ended January 29, 2023.</w:t>
      </w:r>
    </w:p>
    <w:p>
      <w:pPr>
        <w:spacing w:after="0" w:line="2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Information regarding repurchase of our common stock, in millions, except share amounts, during the twenty-six weeks ended July 30,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Approximate Dollar Value of</w:t>
            </w:r>
          </w:p>
        </w:tc>
      </w:tr>
      <w:tr>
        <w:trPr>
          <w:trHeight w:val="171"/>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Total Number of Shares</w:t>
            </w:r>
          </w:p>
        </w:tc>
        <w:tc>
          <w:tcPr>
            <w:tcW w:w="260" w:type="dxa"/>
            <w:vAlign w:val="bottom"/>
          </w:tcPr>
          <w:p>
            <w:pPr>
              <w:spacing w:after="0"/>
              <w:rPr>
                <w:sz w:val="14"/>
                <w:szCs w:val="14"/>
                <w:color w:val="auto"/>
              </w:rPr>
            </w:pPr>
          </w:p>
        </w:tc>
        <w:tc>
          <w:tcPr>
            <w:tcW w:w="230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Shares That May Yet Be</w:t>
            </w:r>
          </w:p>
        </w:tc>
      </w:tr>
      <w:tr>
        <w:trPr>
          <w:trHeight w:val="158"/>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Repurchased as Part of Publicly</w:t>
            </w:r>
          </w:p>
        </w:tc>
        <w:tc>
          <w:tcPr>
            <w:tcW w:w="260" w:type="dxa"/>
            <w:vAlign w:val="bottom"/>
          </w:tcPr>
          <w:p>
            <w:pPr>
              <w:spacing w:after="0"/>
              <w:rPr>
                <w:sz w:val="13"/>
                <w:szCs w:val="13"/>
                <w:color w:val="auto"/>
              </w:rPr>
            </w:pPr>
          </w:p>
        </w:tc>
        <w:tc>
          <w:tcPr>
            <w:tcW w:w="2300" w:type="dxa"/>
            <w:vAlign w:val="bottom"/>
          </w:tcPr>
          <w:p>
            <w:pPr>
              <w:jc w:val="center"/>
              <w:ind w:right="160"/>
              <w:spacing w:after="0" w:line="158" w:lineRule="exact"/>
              <w:rPr>
                <w:sz w:val="20"/>
                <w:szCs w:val="20"/>
                <w:color w:val="auto"/>
              </w:rPr>
            </w:pPr>
            <w:r>
              <w:rPr>
                <w:rFonts w:ascii="Arial" w:cs="Arial" w:eastAsia="Arial" w:hAnsi="Arial"/>
                <w:sz w:val="14"/>
                <w:szCs w:val="14"/>
                <w:b w:val="1"/>
                <w:bCs w:val="1"/>
                <w:color w:val="auto"/>
                <w:w w:val="87"/>
              </w:rPr>
              <w:t>Repurchased</w:t>
            </w:r>
          </w:p>
        </w:tc>
      </w:tr>
      <w:tr>
        <w:trPr>
          <w:trHeight w:val="168"/>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Repurchased</w:t>
            </w:r>
          </w:p>
        </w:tc>
        <w:tc>
          <w:tcPr>
            <w:tcW w:w="1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2120" w:type="dxa"/>
            <w:vAlign w:val="bottom"/>
            <w:gridSpan w:val="2"/>
          </w:tcPr>
          <w:p>
            <w:pPr>
              <w:jc w:val="center"/>
              <w:ind w:right="80"/>
              <w:spacing w:after="0" w:line="169" w:lineRule="exact"/>
              <w:rPr>
                <w:sz w:val="20"/>
                <w:szCs w:val="20"/>
                <w:color w:val="auto"/>
              </w:rPr>
            </w:pPr>
            <w:r>
              <w:rPr>
                <w:rFonts w:ascii="Arial" w:cs="Arial" w:eastAsia="Arial" w:hAnsi="Arial"/>
                <w:sz w:val="14"/>
                <w:szCs w:val="14"/>
                <w:b w:val="1"/>
                <w:bCs w:val="1"/>
                <w:color w:val="auto"/>
                <w:w w:val="85"/>
              </w:rPr>
              <w:t xml:space="preserve">Announced Plans </w:t>
            </w:r>
            <w:r>
              <w:rPr>
                <w:rFonts w:ascii="Arial" w:cs="Arial" w:eastAsia="Arial" w:hAnsi="Arial"/>
                <w:sz w:val="18"/>
                <w:szCs w:val="18"/>
                <w:b w:val="1"/>
                <w:bCs w:val="1"/>
                <w:color w:val="auto"/>
                <w:w w:val="85"/>
                <w:vertAlign w:val="superscript"/>
              </w:rPr>
              <w:t>(2) (3)</w:t>
            </w:r>
          </w:p>
        </w:tc>
        <w:tc>
          <w:tcPr>
            <w:tcW w:w="260" w:type="dxa"/>
            <w:vAlign w:val="bottom"/>
          </w:tcPr>
          <w:p>
            <w:pPr>
              <w:spacing w:after="0"/>
              <w:rPr>
                <w:sz w:val="14"/>
                <w:szCs w:val="14"/>
                <w:color w:val="auto"/>
              </w:rPr>
            </w:pPr>
          </w:p>
        </w:tc>
        <w:tc>
          <w:tcPr>
            <w:tcW w:w="23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 xml:space="preserve">Under the Plans </w:t>
            </w:r>
            <w:r>
              <w:rPr>
                <w:rFonts w:ascii="Arial" w:cs="Arial" w:eastAsia="Arial" w:hAnsi="Arial"/>
                <w:sz w:val="9"/>
                <w:szCs w:val="9"/>
                <w:b w:val="1"/>
                <w:bCs w:val="1"/>
                <w:color w:val="auto"/>
                <w:w w:val="90"/>
              </w:rPr>
              <w:t>(4)</w:t>
            </w:r>
          </w:p>
        </w:tc>
      </w:tr>
      <w:tr>
        <w:trPr>
          <w:trHeight w:val="22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Period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(in millions) </w:t>
            </w:r>
            <w:r>
              <w:rPr>
                <w:rFonts w:ascii="Arial" w:cs="Arial" w:eastAsia="Arial" w:hAnsi="Arial"/>
                <w:sz w:val="9"/>
                <w:szCs w:val="9"/>
                <w:b w:val="1"/>
                <w:bCs w:val="1"/>
                <w:color w:val="auto"/>
                <w:w w:val="91"/>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2"/>
              </w:rPr>
              <w:t xml:space="preserve">Paid per Share </w:t>
            </w:r>
            <w:r>
              <w:rPr>
                <w:rFonts w:ascii="Arial" w:cs="Arial" w:eastAsia="Arial" w:hAnsi="Arial"/>
                <w:sz w:val="18"/>
                <w:szCs w:val="18"/>
                <w:b w:val="1"/>
                <w:bCs w:val="1"/>
                <w:color w:val="auto"/>
                <w:w w:val="92"/>
                <w:vertAlign w:val="superscript"/>
              </w:rPr>
              <w:t>(2)</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1"/>
              </w:rPr>
              <w:t>(in millions)</w:t>
            </w:r>
          </w:p>
        </w:tc>
      </w:tr>
      <w:tr>
        <w:trPr>
          <w:trHeight w:val="237"/>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30 to February 26, 2023</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February 27 to April 2, 2023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 to April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6"/>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May 1 to May 28, 2023</w:t>
            </w:r>
          </w:p>
        </w:tc>
        <w:tc>
          <w:tcPr>
            <w:tcW w:w="14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35.63</w:t>
            </w:r>
          </w:p>
        </w:tc>
        <w:tc>
          <w:tcPr>
            <w:tcW w:w="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29 to July 2, 2023</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July 3 to July 30, 2023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162" w:lineRule="exact"/>
        <w:rPr>
          <w:sz w:val="20"/>
          <w:szCs w:val="20"/>
          <w:color w:val="auto"/>
        </w:rPr>
      </w:pPr>
    </w:p>
    <w:p>
      <w:pPr>
        <w:ind w:left="480" w:hanging="475"/>
        <w:spacing w:after="0" w:line="215" w:lineRule="auto"/>
        <w:tabs>
          <w:tab w:leader="none" w:pos="46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Company uses a "4-5-4" calendar to determine the months in each quarter. The periods presented represent the 4 week and 5 week periods making up the twenty-six weeks ended July 30, 2023.</w:t>
      </w:r>
    </w:p>
    <w:p>
      <w:pPr>
        <w:spacing w:after="0" w:line="1" w:lineRule="exact"/>
        <w:rPr>
          <w:rFonts w:ascii="Arial" w:cs="Arial" w:eastAsia="Arial" w:hAnsi="Arial"/>
          <w:sz w:val="21"/>
          <w:szCs w:val="21"/>
          <w:color w:val="auto"/>
          <w:vertAlign w:val="superscript"/>
        </w:rPr>
      </w:pPr>
    </w:p>
    <w:p>
      <w:pPr>
        <w:ind w:left="480" w:hanging="475"/>
        <w:spacing w:after="0" w:line="215" w:lineRule="auto"/>
        <w:tabs>
          <w:tab w:leader="none" w:pos="46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shares repurchased under repurchase program(s) and excludes shares withheld for tax purposes on behalf of our employees in connection with the vesting of time-based and performance restricted stock units totaling 0.01 for the twenty-six weeks ended July 30, 2023.</w:t>
      </w:r>
    </w:p>
    <w:p>
      <w:pPr>
        <w:jc w:val="both"/>
        <w:ind w:left="480" w:hanging="475"/>
        <w:spacing w:after="0" w:line="223" w:lineRule="auto"/>
        <w:tabs>
          <w:tab w:leader="none" w:pos="46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Our Board of Directors approved share repurchase programs in March and April of 2023 (see further discussion at Note 8), under which the Company may repurchase shares on the open market, through privately negotiated transactions, and through trading plans designed to comply with Rule 10b5-1 of the Securities Exchange Act of 1934, as amended. The share repurchase program(s) may be modified, suspended or discontinued at any time.</w:t>
      </w:r>
    </w:p>
    <w:p>
      <w:pPr>
        <w:ind w:left="460" w:hanging="455"/>
        <w:spacing w:after="0" w:line="185" w:lineRule="auto"/>
        <w:tabs>
          <w:tab w:leader="none" w:pos="46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Based on total share repurchase authorizations in effect at the end of each period presented.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r>
      <w:tr>
        <w:trPr>
          <w:trHeight w:val="413"/>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37"/>
        </w:trPr>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0000FF"/>
                <w:w w:val="92"/>
              </w:rPr>
              <w:t>Certification of Christopher Morris, Chief Executive Officer of the Registrant, pursuant to 17 CFR 240.13a-14(a) or 17 CFR 240.15d-14(a).</w:t>
            </w:r>
          </w:p>
        </w:tc>
      </w:tr>
      <w:tr>
        <w:trPr>
          <w:trHeight w:val="20"/>
        </w:trPr>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6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6"/>
        </w:trPr>
        <w:tc>
          <w:tcPr>
            <w:tcW w:w="700" w:type="dxa"/>
            <w:vAlign w:val="bottom"/>
          </w:tcPr>
          <w:p>
            <w:pPr>
              <w:ind w:left="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0000FF"/>
                <w:w w:val="91"/>
              </w:rPr>
              <w:t>Certification of Michael A. Quartieri, Chief Financial Officer of the Registrant, pursuant to 17 CFR 240.13a-14(a) or 17 CFR 240.15d-14(a).</w:t>
            </w:r>
          </w:p>
        </w:tc>
      </w:tr>
      <w:tr>
        <w:trPr>
          <w:trHeight w:val="296"/>
        </w:trPr>
        <w:tc>
          <w:tcPr>
            <w:tcW w:w="700" w:type="dxa"/>
            <w:vAlign w:val="bottom"/>
          </w:tcPr>
          <w:p>
            <w:pPr>
              <w:ind w:left="2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Christopher Morris, Chief Executive Officer of the Registrant, pursuant to 18 U.S.C. Section 1350, as adopted pursuant to</w:t>
            </w:r>
          </w:p>
        </w:tc>
        <w:tc>
          <w:tcPr>
            <w:tcW w:w="220" w:type="dxa"/>
            <w:vAlign w:val="bottom"/>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00" w:type="dxa"/>
            <w:vAlign w:val="bottom"/>
            <w:tcBorders>
              <w:top w:val="single" w:sz="8" w:color="0000FF"/>
            </w:tcBorders>
            <w:gridSpan w:val="2"/>
          </w:tcPr>
          <w:p>
            <w:pPr>
              <w:spacing w:after="0" w:line="191" w:lineRule="exact"/>
              <w:rPr>
                <w:sz w:val="20"/>
                <w:szCs w:val="20"/>
                <w:color w:val="auto"/>
              </w:rPr>
            </w:pPr>
            <w:r>
              <w:rPr>
                <w:rFonts w:ascii="Arial" w:cs="Arial" w:eastAsia="Arial" w:hAnsi="Arial"/>
                <w:sz w:val="18"/>
                <w:szCs w:val="18"/>
                <w:color w:val="0000FF"/>
              </w:rPr>
              <w:t>Section 906 of the Sarbanes-Oxley Act of 2002.</w:t>
            </w:r>
          </w:p>
        </w:tc>
        <w:tc>
          <w:tcPr>
            <w:tcW w:w="420" w:type="dxa"/>
            <w:vAlign w:val="bottom"/>
            <w:gridSpan w:val="3"/>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6"/>
        </w:trPr>
        <w:tc>
          <w:tcPr>
            <w:tcW w:w="700" w:type="dxa"/>
            <w:vAlign w:val="bottom"/>
          </w:tcPr>
          <w:p>
            <w:pPr>
              <w:ind w:left="2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Certification of Michael A. Quartieri, Chief Financial Officer of the Registrant, pursuant to 18 U.S.C. Section 1350, as adopted pursuant to</w:t>
            </w:r>
          </w:p>
        </w:tc>
        <w:tc>
          <w:tcPr>
            <w:tcW w:w="280" w:type="dxa"/>
            <w:vAlign w:val="bottom"/>
            <w:gridSpan w:val="2"/>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20" w:type="dxa"/>
            <w:vAlign w:val="bottom"/>
            <w:gridSpan w:val="5"/>
          </w:tcPr>
          <w:p>
            <w:pPr>
              <w:spacing w:after="0" w:line="191" w:lineRule="exact"/>
              <w:rPr>
                <w:sz w:val="20"/>
                <w:szCs w:val="20"/>
                <w:color w:val="auto"/>
              </w:rPr>
            </w:pPr>
            <w:r>
              <w:rPr>
                <w:rFonts w:ascii="Arial" w:cs="Arial" w:eastAsia="Arial" w:hAnsi="Arial"/>
                <w:sz w:val="18"/>
                <w:szCs w:val="18"/>
                <w:color w:val="0000FF"/>
              </w:rPr>
              <w:t>Section 906 of the Sarbanes-Oxley Act of 2002.</w:t>
            </w:r>
          </w:p>
        </w:tc>
      </w:tr>
      <w:tr>
        <w:trPr>
          <w:trHeight w:val="20"/>
        </w:trPr>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r>
      <w:tr>
        <w:trPr>
          <w:trHeight w:val="323"/>
        </w:trPr>
        <w:tc>
          <w:tcPr>
            <w:tcW w:w="700" w:type="dxa"/>
            <w:vAlign w:val="bottom"/>
          </w:tcPr>
          <w:p>
            <w:pPr>
              <w:ind w:left="20"/>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w w:val="94"/>
              </w:rPr>
              <w:t>Inline XBRL Inline Instance Document—the instance document does not appear in the Interactive Data File because its XBRL tags are</w:t>
            </w:r>
          </w:p>
        </w:tc>
      </w:tr>
      <w:tr>
        <w:trPr>
          <w:trHeight w:val="222"/>
        </w:trPr>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6"/>
        </w:trPr>
        <w:tc>
          <w:tcPr>
            <w:tcW w:w="700" w:type="dxa"/>
            <w:vAlign w:val="bottom"/>
          </w:tcPr>
          <w:p>
            <w:pPr>
              <w:ind w:left="20"/>
              <w:spacing w:after="0"/>
              <w:rPr>
                <w:sz w:val="20"/>
                <w:szCs w:val="20"/>
                <w:color w:val="auto"/>
              </w:rPr>
            </w:pPr>
            <w:r>
              <w:rPr>
                <w:rFonts w:ascii="Arial" w:cs="Arial" w:eastAsia="Arial" w:hAnsi="Arial"/>
                <w:sz w:val="18"/>
                <w:szCs w:val="18"/>
                <w:color w:val="auto"/>
                <w:w w:val="90"/>
              </w:rPr>
              <w:t>101.SCH</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Inline Taxonomy Extension Schema Document</w:t>
            </w:r>
          </w:p>
        </w:tc>
      </w:tr>
      <w:tr>
        <w:trPr>
          <w:trHeight w:val="316"/>
        </w:trPr>
        <w:tc>
          <w:tcPr>
            <w:tcW w:w="700" w:type="dxa"/>
            <w:vAlign w:val="bottom"/>
          </w:tcPr>
          <w:p>
            <w:pPr>
              <w:ind w:left="20"/>
              <w:spacing w:after="0"/>
              <w:rPr>
                <w:sz w:val="20"/>
                <w:szCs w:val="20"/>
                <w:color w:val="auto"/>
              </w:rPr>
            </w:pPr>
            <w:r>
              <w:rPr>
                <w:rFonts w:ascii="Arial" w:cs="Arial" w:eastAsia="Arial" w:hAnsi="Arial"/>
                <w:sz w:val="18"/>
                <w:szCs w:val="18"/>
                <w:color w:val="auto"/>
                <w:w w:val="94"/>
              </w:rPr>
              <w:t>101.CAL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Inline Taxonomy Extension Calculation Linkbase Document</w:t>
            </w:r>
          </w:p>
        </w:tc>
      </w:tr>
      <w:tr>
        <w:trPr>
          <w:trHeight w:val="316"/>
        </w:trPr>
        <w:tc>
          <w:tcPr>
            <w:tcW w:w="700" w:type="dxa"/>
            <w:vAlign w:val="bottom"/>
          </w:tcPr>
          <w:p>
            <w:pPr>
              <w:ind w:left="20"/>
              <w:spacing w:after="0"/>
              <w:rPr>
                <w:sz w:val="20"/>
                <w:szCs w:val="20"/>
                <w:color w:val="auto"/>
              </w:rPr>
            </w:pPr>
            <w:r>
              <w:rPr>
                <w:rFonts w:ascii="Arial" w:cs="Arial" w:eastAsia="Arial" w:hAnsi="Arial"/>
                <w:sz w:val="18"/>
                <w:szCs w:val="18"/>
                <w:color w:val="auto"/>
                <w:w w:val="92"/>
              </w:rPr>
              <w:t>101.DEF</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Inline Taxonomy Extension Definition Linkbase Document</w:t>
            </w:r>
          </w:p>
        </w:tc>
      </w:tr>
      <w:tr>
        <w:trPr>
          <w:trHeight w:val="316"/>
        </w:trPr>
        <w:tc>
          <w:tcPr>
            <w:tcW w:w="700" w:type="dxa"/>
            <w:vAlign w:val="bottom"/>
          </w:tcPr>
          <w:p>
            <w:pPr>
              <w:ind w:left="20"/>
              <w:spacing w:after="0"/>
              <w:rPr>
                <w:sz w:val="20"/>
                <w:szCs w:val="20"/>
                <w:color w:val="auto"/>
              </w:rPr>
            </w:pPr>
            <w:r>
              <w:rPr>
                <w:rFonts w:ascii="Arial" w:cs="Arial" w:eastAsia="Arial" w:hAnsi="Arial"/>
                <w:sz w:val="18"/>
                <w:szCs w:val="18"/>
                <w:color w:val="auto"/>
                <w:w w:val="95"/>
              </w:rPr>
              <w:t>101.LAB</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Inline Taxonomy Extension Label Linkbase Document</w:t>
            </w:r>
          </w:p>
        </w:tc>
      </w:tr>
      <w:tr>
        <w:trPr>
          <w:trHeight w:val="316"/>
        </w:trPr>
        <w:tc>
          <w:tcPr>
            <w:tcW w:w="700" w:type="dxa"/>
            <w:vAlign w:val="bottom"/>
          </w:tcPr>
          <w:p>
            <w:pPr>
              <w:ind w:left="20"/>
              <w:spacing w:after="0"/>
              <w:rPr>
                <w:sz w:val="20"/>
                <w:szCs w:val="20"/>
                <w:color w:val="auto"/>
              </w:rPr>
            </w:pPr>
            <w:r>
              <w:rPr>
                <w:rFonts w:ascii="Arial" w:cs="Arial" w:eastAsia="Arial" w:hAnsi="Arial"/>
                <w:sz w:val="18"/>
                <w:szCs w:val="18"/>
                <w:color w:val="auto"/>
                <w:w w:val="91"/>
              </w:rPr>
              <w:t>101.PRE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Inline XBRL Inline Taxonomy Extension Presentation Linkbase Document</w:t>
            </w:r>
          </w:p>
        </w:tc>
      </w:tr>
      <w:tr>
        <w:trPr>
          <w:trHeight w:val="316"/>
        </w:trPr>
        <w:tc>
          <w:tcPr>
            <w:tcW w:w="700" w:type="dxa"/>
            <w:vAlign w:val="bottom"/>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5" w:lineRule="exact"/>
        <w:rPr>
          <w:sz w:val="20"/>
          <w:szCs w:val="20"/>
          <w:color w:val="auto"/>
        </w:rPr>
      </w:pPr>
    </w:p>
    <w:p>
      <w:pPr>
        <w:ind w:left="480" w:hanging="475"/>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7640" w:type="dxa"/>
            <w:vAlign w:val="bottom"/>
            <w:gridSpan w:val="2"/>
          </w:tcPr>
          <w:p>
            <w:pPr>
              <w:ind w:left="1820"/>
              <w:spacing w:after="0"/>
              <w:rPr>
                <w:sz w:val="20"/>
                <w:szCs w:val="20"/>
                <w:color w:val="auto"/>
              </w:rPr>
            </w:pPr>
            <w:r>
              <w:rPr>
                <w:rFonts w:ascii="Arial" w:cs="Arial" w:eastAsia="Arial" w:hAnsi="Arial"/>
                <w:sz w:val="18"/>
                <w:szCs w:val="18"/>
                <w:color w:val="auto"/>
              </w:rPr>
              <w:t>DAVE &amp; BUSTER’S ENTERTAINMENT, INC.,</w:t>
            </w:r>
          </w:p>
        </w:tc>
      </w:tr>
      <w:tr>
        <w:trPr>
          <w:trHeight w:val="222"/>
        </w:trPr>
        <w:tc>
          <w:tcPr>
            <w:tcW w:w="3560" w:type="dxa"/>
            <w:vAlign w:val="bottom"/>
          </w:tcPr>
          <w:p>
            <w:pPr>
              <w:spacing w:after="0"/>
              <w:rPr>
                <w:sz w:val="19"/>
                <w:szCs w:val="19"/>
                <w:color w:val="auto"/>
              </w:rPr>
            </w:pPr>
          </w:p>
        </w:tc>
        <w:tc>
          <w:tcPr>
            <w:tcW w:w="7640" w:type="dxa"/>
            <w:vAlign w:val="bottom"/>
            <w:gridSpan w:val="2"/>
          </w:tcPr>
          <w:p>
            <w:pPr>
              <w:ind w:left="1820"/>
              <w:spacing w:after="0"/>
              <w:rPr>
                <w:sz w:val="20"/>
                <w:szCs w:val="20"/>
                <w:color w:val="auto"/>
              </w:rPr>
            </w:pPr>
            <w:r>
              <w:rPr>
                <w:rFonts w:ascii="Arial" w:cs="Arial" w:eastAsia="Arial" w:hAnsi="Arial"/>
                <w:sz w:val="18"/>
                <w:szCs w:val="18"/>
                <w:color w:val="auto"/>
              </w:rPr>
              <w:t>a Delaware corporation</w:t>
            </w:r>
          </w:p>
        </w:tc>
      </w:tr>
      <w:tr>
        <w:trPr>
          <w:trHeight w:val="527"/>
        </w:trPr>
        <w:tc>
          <w:tcPr>
            <w:tcW w:w="3560" w:type="dxa"/>
            <w:vAlign w:val="bottom"/>
          </w:tcPr>
          <w:p>
            <w:pPr>
              <w:spacing w:after="0"/>
              <w:rPr>
                <w:sz w:val="20"/>
                <w:szCs w:val="20"/>
                <w:color w:val="auto"/>
              </w:rPr>
            </w:pPr>
            <w:r>
              <w:rPr>
                <w:rFonts w:ascii="Arial" w:cs="Arial" w:eastAsia="Arial" w:hAnsi="Arial"/>
                <w:sz w:val="18"/>
                <w:szCs w:val="18"/>
                <w:color w:val="auto"/>
              </w:rPr>
              <w:t>Date: September 6,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Pr>
          <w:p>
            <w:pPr>
              <w:ind w:left="20"/>
              <w:spacing w:after="0"/>
              <w:rPr>
                <w:sz w:val="20"/>
                <w:szCs w:val="20"/>
                <w:color w:val="auto"/>
              </w:rPr>
            </w:pPr>
            <w:r>
              <w:rPr>
                <w:rFonts w:ascii="Arial" w:cs="Arial" w:eastAsia="Arial" w:hAnsi="Arial"/>
                <w:sz w:val="18"/>
                <w:szCs w:val="18"/>
                <w:color w:val="auto"/>
              </w:rPr>
              <w:t>/s/ Christopher Morris</w:t>
            </w:r>
          </w:p>
        </w:tc>
      </w:tr>
      <w:tr>
        <w:trPr>
          <w:trHeight w:val="27"/>
        </w:trPr>
        <w:tc>
          <w:tcPr>
            <w:tcW w:w="3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0"/>
        </w:trPr>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Christopher Morris</w:t>
            </w:r>
          </w:p>
        </w:tc>
      </w:tr>
      <w:tr>
        <w:trPr>
          <w:trHeight w:val="263"/>
        </w:trPr>
        <w:tc>
          <w:tcPr>
            <w:tcW w:w="35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27"/>
        </w:trPr>
        <w:tc>
          <w:tcPr>
            <w:tcW w:w="3560" w:type="dxa"/>
            <w:vAlign w:val="bottom"/>
          </w:tcPr>
          <w:p>
            <w:pPr>
              <w:spacing w:after="0"/>
              <w:rPr>
                <w:sz w:val="20"/>
                <w:szCs w:val="20"/>
                <w:color w:val="auto"/>
              </w:rPr>
            </w:pPr>
            <w:r>
              <w:rPr>
                <w:rFonts w:ascii="Arial" w:cs="Arial" w:eastAsia="Arial" w:hAnsi="Arial"/>
                <w:sz w:val="18"/>
                <w:szCs w:val="18"/>
                <w:color w:val="auto"/>
              </w:rPr>
              <w:t>Date: September 6,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Pr>
          <w:p>
            <w:pPr>
              <w:ind w:left="20"/>
              <w:spacing w:after="0"/>
              <w:rPr>
                <w:sz w:val="20"/>
                <w:szCs w:val="20"/>
                <w:color w:val="auto"/>
              </w:rPr>
            </w:pPr>
            <w:r>
              <w:rPr>
                <w:rFonts w:ascii="Arial" w:cs="Arial" w:eastAsia="Arial" w:hAnsi="Arial"/>
                <w:sz w:val="18"/>
                <w:szCs w:val="18"/>
                <w:color w:val="auto"/>
              </w:rPr>
              <w:t>/s/ Michael A. Quartieri</w:t>
            </w:r>
          </w:p>
        </w:tc>
      </w:tr>
      <w:tr>
        <w:trPr>
          <w:trHeight w:val="27"/>
        </w:trPr>
        <w:tc>
          <w:tcPr>
            <w:tcW w:w="3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0"/>
        </w:trPr>
        <w:tc>
          <w:tcPr>
            <w:tcW w:w="35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Michael A. Quartieri</w:t>
            </w:r>
          </w:p>
        </w:tc>
      </w:tr>
      <w:tr>
        <w:trPr>
          <w:trHeight w:val="263"/>
        </w:trPr>
        <w:tc>
          <w:tcPr>
            <w:tcW w:w="35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09"/>
        </w:trPr>
        <w:tc>
          <w:tcPr>
            <w:tcW w:w="3560" w:type="dxa"/>
            <w:vAlign w:val="bottom"/>
          </w:tcPr>
          <w:p>
            <w:pPr>
              <w:spacing w:after="0"/>
              <w:rPr>
                <w:sz w:val="24"/>
                <w:szCs w:val="24"/>
                <w:color w:val="auto"/>
              </w:rPr>
            </w:pPr>
          </w:p>
        </w:tc>
        <w:tc>
          <w:tcPr>
            <w:tcW w:w="2260" w:type="dxa"/>
            <w:vAlign w:val="bottom"/>
          </w:tcPr>
          <w:p>
            <w:pPr>
              <w:ind w:left="1960"/>
              <w:spacing w:after="0"/>
              <w:rPr>
                <w:sz w:val="20"/>
                <w:szCs w:val="20"/>
                <w:color w:val="auto"/>
              </w:rPr>
            </w:pPr>
            <w:r>
              <w:rPr>
                <w:rFonts w:ascii="Arial" w:cs="Arial" w:eastAsia="Arial" w:hAnsi="Arial"/>
                <w:sz w:val="18"/>
                <w:szCs w:val="18"/>
                <w:color w:val="auto"/>
              </w:rPr>
              <w:t>33</w:t>
            </w:r>
          </w:p>
        </w:tc>
        <w:tc>
          <w:tcPr>
            <w:tcW w:w="5380" w:type="dxa"/>
            <w:vAlign w:val="bottom"/>
          </w:tcPr>
          <w:p>
            <w:pPr>
              <w:spacing w:after="0"/>
              <w:rPr>
                <w:sz w:val="24"/>
                <w:szCs w:val="24"/>
                <w:color w:val="auto"/>
              </w:rPr>
            </w:pPr>
          </w:p>
        </w:tc>
      </w:tr>
    </w:tbl>
    <w:p>
      <w:pPr>
        <w:sectPr>
          <w:pgSz w:w="11900" w:h="16838" w:orient="portrait"/>
          <w:cols w:equalWidth="0" w:num="1">
            <w:col w:w="11220"/>
          </w:cols>
          <w:pgMar w:left="320" w:top="127"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Morris, Chief Executive Officer of Dave &amp; Buster’s Entertainment, Inc., certify that:</w:t>
      </w:r>
    </w:p>
    <w:p>
      <w:pPr>
        <w:spacing w:after="0" w:line="215"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214" w:lineRule="exact"/>
        <w:rPr>
          <w:rFonts w:ascii="Arial" w:cs="Arial" w:eastAsia="Arial" w:hAnsi="Arial"/>
          <w:sz w:val="18"/>
          <w:szCs w:val="18"/>
          <w:color w:val="auto"/>
        </w:rPr>
      </w:pPr>
    </w:p>
    <w:p>
      <w:pPr>
        <w:ind w:left="320" w:right="220" w:hanging="315"/>
        <w:spacing w:after="0" w:line="362"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320" w:right="20" w:hanging="315"/>
        <w:spacing w:after="0" w:line="262"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left="320" w:right="160" w:hanging="315"/>
        <w:spacing w:after="0" w:line="25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640" w:right="140" w:hanging="318"/>
        <w:spacing w:after="0" w:line="253" w:lineRule="auto"/>
        <w:tabs>
          <w:tab w:leader="none" w:pos="6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640" w:right="140" w:hanging="318"/>
        <w:spacing w:after="0" w:line="253"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40" w:right="180" w:hanging="318"/>
        <w:spacing w:after="0" w:line="325" w:lineRule="auto"/>
        <w:tabs>
          <w:tab w:leader="none" w:pos="63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640" w:right="160" w:hanging="318"/>
        <w:spacing w:after="0" w:line="325" w:lineRule="auto"/>
        <w:tabs>
          <w:tab w:leader="none" w:pos="62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4" w:lineRule="exact"/>
        <w:rPr>
          <w:rFonts w:ascii="Arial" w:cs="Arial" w:eastAsia="Arial" w:hAnsi="Arial"/>
          <w:sz w:val="16"/>
          <w:szCs w:val="16"/>
          <w:color w:val="auto"/>
        </w:rPr>
      </w:pPr>
    </w:p>
    <w:p>
      <w:pPr>
        <w:ind w:left="320" w:right="600" w:hanging="315"/>
        <w:spacing w:after="0" w:line="325"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4" w:lineRule="exact"/>
        <w:rPr>
          <w:rFonts w:ascii="Arial" w:cs="Arial" w:eastAsia="Arial" w:hAnsi="Arial"/>
          <w:sz w:val="16"/>
          <w:szCs w:val="16"/>
          <w:color w:val="auto"/>
        </w:rPr>
      </w:pPr>
    </w:p>
    <w:p>
      <w:pPr>
        <w:ind w:left="640" w:right="100" w:hanging="318"/>
        <w:spacing w:after="0" w:line="262" w:lineRule="auto"/>
        <w:tabs>
          <w:tab w:leader="none" w:pos="6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right="160" w:hanging="318"/>
        <w:spacing w:after="0" w:line="262"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Date: September 6,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Morris</w:t>
            </w:r>
          </w:p>
        </w:tc>
      </w:tr>
      <w:tr>
        <w:trPr>
          <w:trHeight w:val="217"/>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Christopher Morris</w:t>
            </w:r>
          </w:p>
        </w:tc>
      </w:tr>
      <w:tr>
        <w:trPr>
          <w:trHeight w:val="224"/>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22"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Michael A. Quartieri, Chief Financial Officer of Dave &amp; Buster’s Entertainment, Inc., certify that:</w:t>
      </w:r>
    </w:p>
    <w:p>
      <w:pPr>
        <w:spacing w:after="0" w:line="215"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214" w:lineRule="exact"/>
        <w:rPr>
          <w:rFonts w:ascii="Arial" w:cs="Arial" w:eastAsia="Arial" w:hAnsi="Arial"/>
          <w:sz w:val="18"/>
          <w:szCs w:val="18"/>
          <w:color w:val="auto"/>
        </w:rPr>
      </w:pPr>
    </w:p>
    <w:p>
      <w:pPr>
        <w:ind w:left="320" w:right="220" w:hanging="315"/>
        <w:spacing w:after="0" w:line="362" w:lineRule="auto"/>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320" w:right="20" w:hanging="315"/>
        <w:spacing w:after="0" w:line="262"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left="320" w:right="160" w:hanging="315"/>
        <w:spacing w:after="0" w:line="253"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640" w:right="140" w:hanging="318"/>
        <w:spacing w:after="0" w:line="253" w:lineRule="auto"/>
        <w:tabs>
          <w:tab w:leader="none" w:pos="6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640" w:right="140" w:hanging="318"/>
        <w:spacing w:after="0" w:line="253" w:lineRule="auto"/>
        <w:tabs>
          <w:tab w:leader="none" w:pos="6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40" w:right="180" w:hanging="318"/>
        <w:spacing w:after="0" w:line="325" w:lineRule="auto"/>
        <w:tabs>
          <w:tab w:leader="none" w:pos="63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640" w:right="160" w:hanging="318"/>
        <w:spacing w:after="0" w:line="325" w:lineRule="auto"/>
        <w:tabs>
          <w:tab w:leader="none" w:pos="62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134" w:lineRule="exact"/>
        <w:rPr>
          <w:rFonts w:ascii="Arial" w:cs="Arial" w:eastAsia="Arial" w:hAnsi="Arial"/>
          <w:sz w:val="16"/>
          <w:szCs w:val="16"/>
          <w:color w:val="auto"/>
        </w:rPr>
      </w:pPr>
    </w:p>
    <w:p>
      <w:pPr>
        <w:ind w:left="320" w:right="600" w:hanging="315"/>
        <w:spacing w:after="0" w:line="325"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4" w:lineRule="exact"/>
        <w:rPr>
          <w:rFonts w:ascii="Arial" w:cs="Arial" w:eastAsia="Arial" w:hAnsi="Arial"/>
          <w:sz w:val="16"/>
          <w:szCs w:val="16"/>
          <w:color w:val="auto"/>
        </w:rPr>
      </w:pPr>
    </w:p>
    <w:p>
      <w:pPr>
        <w:ind w:left="640" w:right="100" w:hanging="318"/>
        <w:spacing w:after="0" w:line="262" w:lineRule="auto"/>
        <w:tabs>
          <w:tab w:leader="none" w:pos="6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right="160" w:hanging="318"/>
        <w:spacing w:after="0" w:line="262" w:lineRule="auto"/>
        <w:tabs>
          <w:tab w:leader="none" w:pos="6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Date: September 6,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 Quartieri</w:t>
            </w:r>
          </w:p>
        </w:tc>
      </w:tr>
      <w:tr>
        <w:trPr>
          <w:trHeight w:val="217"/>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Michael A. Quartieri</w:t>
            </w:r>
          </w:p>
        </w:tc>
      </w:tr>
      <w:tr>
        <w:trPr>
          <w:trHeight w:val="224"/>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122"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1" w:lineRule="exact"/>
        <w:rPr>
          <w:sz w:val="20"/>
          <w:szCs w:val="20"/>
          <w:color w:val="auto"/>
        </w:rPr>
      </w:pPr>
    </w:p>
    <w:p>
      <w:pPr>
        <w:ind w:right="20" w:firstLine="632"/>
        <w:spacing w:after="0" w:line="25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July 30, 2023 as filed with the Securities and Exchange Commission on the date hereof (the “Report”), I, Christopher Morris, Chief Executive Officer of the Company, certify, pursuant to 18 U.S.C. Section 1350, that:</w:t>
      </w:r>
    </w:p>
    <w:p>
      <w:pPr>
        <w:spacing w:after="0" w:line="189" w:lineRule="exact"/>
        <w:rPr>
          <w:sz w:val="20"/>
          <w:szCs w:val="20"/>
          <w:color w:val="auto"/>
        </w:rPr>
      </w:pPr>
    </w:p>
    <w:p>
      <w:pPr>
        <w:ind w:left="640" w:hanging="31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applicable requirements of Section 13(a) or 15(d), as applicable, of the Securities Exchange Act of 1934; and</w:t>
      </w:r>
    </w:p>
    <w:p>
      <w:pPr>
        <w:spacing w:after="0" w:line="237" w:lineRule="exact"/>
        <w:rPr>
          <w:rFonts w:ascii="Arial" w:cs="Arial" w:eastAsia="Arial" w:hAnsi="Arial"/>
          <w:sz w:val="16"/>
          <w:szCs w:val="16"/>
          <w:color w:val="auto"/>
        </w:rPr>
      </w:pPr>
    </w:p>
    <w:p>
      <w:pPr>
        <w:ind w:left="640" w:hanging="31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2023</w:t>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10160</wp:posOffset>
            </wp:positionV>
            <wp:extent cx="35718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Christopher Morris</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2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1" w:lineRule="exact"/>
        <w:rPr>
          <w:sz w:val="20"/>
          <w:szCs w:val="20"/>
          <w:color w:val="auto"/>
        </w:rPr>
      </w:pPr>
    </w:p>
    <w:p>
      <w:pPr>
        <w:jc w:val="both"/>
        <w:ind w:right="20" w:firstLine="632"/>
        <w:spacing w:after="0" w:line="25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July 30, 2023 as filed with the Securities and Exchange Commission on the date hereof (the “Report”), I, Michael A. Quartieri, Chief Financial Officer of the Company, certify, pursuant to 18 U.S.C. Section 1350, that:</w:t>
      </w:r>
    </w:p>
    <w:p>
      <w:pPr>
        <w:spacing w:after="0" w:line="189" w:lineRule="exact"/>
        <w:rPr>
          <w:sz w:val="20"/>
          <w:szCs w:val="20"/>
          <w:color w:val="auto"/>
        </w:rPr>
      </w:pPr>
    </w:p>
    <w:p>
      <w:pPr>
        <w:ind w:left="640" w:hanging="31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applicable requirements of Section 13(a) or 15(d), as applicable, of the Securities Exchange Act of 1934; and</w:t>
      </w:r>
    </w:p>
    <w:p>
      <w:pPr>
        <w:spacing w:after="0" w:line="237" w:lineRule="exact"/>
        <w:rPr>
          <w:rFonts w:ascii="Arial" w:cs="Arial" w:eastAsia="Arial" w:hAnsi="Arial"/>
          <w:sz w:val="16"/>
          <w:szCs w:val="16"/>
          <w:color w:val="auto"/>
        </w:rPr>
      </w:pPr>
    </w:p>
    <w:p>
      <w:pPr>
        <w:ind w:left="640" w:hanging="31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2023</w:t>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A. Quartieri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10160</wp:posOffset>
            </wp:positionV>
            <wp:extent cx="35718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A. Quartieri</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2023-09-06T15:32:44Z</dcterms:created>
  <dcterms:modified xsi:type="dcterms:W3CDTF">2023-09-06T15:32:44Z</dcterms:modified>
</cp:coreProperties>
</file>