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40" w:after="283"/>
        <w:jc w:val="center"/>
        <w:rPr/>
      </w:pPr>
      <w:r>
        <w:rPr>
          <w:rFonts w:ascii="Times New Roman;serif" w:hAnsi="Times New Roman;serif"/>
          <w:b/>
          <w:color w:val="000000"/>
          <w:sz w:val="20"/>
        </w:rPr>
        <w:t>Current Report</w:t>
      </w:r>
      <w:r>
        <w:rPr>
          <w:color w:val="000000"/>
        </w:rPr>
        <w:t xml:space="preserve"> </w:t>
      </w: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14, 2026</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DAVE &amp; BUSTER’S ENTERTAINMENT,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888" w:type="dxa"/>
        <w:jc w:val="left"/>
        <w:tblInd w:w="0" w:type="dxa"/>
        <w:tblLayout w:type="fixed"/>
        <w:tblCellMar>
          <w:top w:w="28" w:type="dxa"/>
          <w:left w:w="28" w:type="dxa"/>
          <w:bottom w:w="28" w:type="dxa"/>
          <w:right w:w="28" w:type="dxa"/>
        </w:tblCellMar>
      </w:tblPr>
      <w:tblGrid>
        <w:gridCol w:w="466"/>
        <w:gridCol w:w="410"/>
        <w:gridCol w:w="414"/>
        <w:gridCol w:w="528"/>
        <w:gridCol w:w="528"/>
        <w:gridCol w:w="533"/>
        <w:gridCol w:w="586"/>
        <w:gridCol w:w="586"/>
        <w:gridCol w:w="83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001-35664</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35-2382255</w:t>
            </w:r>
          </w:p>
        </w:tc>
      </w:tr>
      <w:tr>
        <w:trPr/>
        <w:tc>
          <w:tcPr>
            <w:tcW w:w="12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(State of</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5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Number)</w:t>
            </w:r>
          </w:p>
        </w:tc>
        <w:tc>
          <w:tcPr>
            <w:tcW w:w="200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bl>
    <w:tbl>
      <w:tblPr>
        <w:tblW w:w="3344" w:type="dxa"/>
        <w:jc w:val="left"/>
        <w:tblInd w:w="0" w:type="dxa"/>
        <w:tblLayout w:type="fixed"/>
        <w:tblCellMar>
          <w:top w:w="28" w:type="dxa"/>
          <w:left w:w="28" w:type="dxa"/>
          <w:bottom w:w="28" w:type="dxa"/>
          <w:right w:w="28" w:type="dxa"/>
        </w:tblCellMar>
      </w:tblPr>
      <w:tblGrid>
        <w:gridCol w:w="1071"/>
        <w:gridCol w:w="941"/>
        <w:gridCol w:w="1332"/>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1221 S. Belt Line Rd., Suite 500</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Coppell, TX 75019</w:t>
            </w:r>
          </w:p>
        </w:tc>
      </w:tr>
      <w:tr>
        <w:trPr/>
        <w:tc>
          <w:tcPr>
            <w:tcW w:w="33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bl>
    <w:p>
      <w:pPr>
        <w:pStyle w:val="TextBody"/>
        <w:bidi w:val="0"/>
        <w:spacing w:lineRule="auto" w:line="288" w:before="240" w:after="283"/>
        <w:jc w:val="left"/>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(214) 357-9588</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if the Form 8-K filing is intended to simultaneously satisfy the reporting obligation of the registrant under any of the following provisions:</w:t>
      </w:r>
    </w:p>
    <w:tbl>
      <w:tblPr>
        <w:tblW w:w="6855" w:type="dxa"/>
        <w:jc w:val="left"/>
        <w:tblInd w:w="0" w:type="dxa"/>
        <w:tblLayout w:type="fixed"/>
        <w:tblCellMar>
          <w:top w:w="28" w:type="dxa"/>
          <w:left w:w="28" w:type="dxa"/>
          <w:bottom w:w="28" w:type="dxa"/>
          <w:right w:w="28" w:type="dxa"/>
        </w:tblCellMar>
      </w:tblPr>
      <w:tblGrid>
        <w:gridCol w:w="141"/>
        <w:gridCol w:w="124"/>
        <w:gridCol w:w="126"/>
        <w:gridCol w:w="1890"/>
        <w:gridCol w:w="1890"/>
        <w:gridCol w:w="268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w:t>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of the Exchange Act</w:t>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Exchange Act</w:t>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Exchange Act</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62" w:type="dxa"/>
        <w:jc w:val="left"/>
        <w:tblInd w:w="0" w:type="dxa"/>
        <w:tblLayout w:type="fixed"/>
        <w:tblCellMar>
          <w:top w:w="28" w:type="dxa"/>
          <w:left w:w="28" w:type="dxa"/>
          <w:bottom w:w="28" w:type="dxa"/>
          <w:right w:w="28" w:type="dxa"/>
        </w:tblCellMar>
      </w:tblPr>
      <w:tblGrid>
        <w:gridCol w:w="972"/>
        <w:gridCol w:w="851"/>
        <w:gridCol w:w="861"/>
        <w:gridCol w:w="109"/>
        <w:gridCol w:w="109"/>
        <w:gridCol w:w="109"/>
        <w:gridCol w:w="539"/>
        <w:gridCol w:w="539"/>
        <w:gridCol w:w="541"/>
        <w:gridCol w:w="109"/>
        <w:gridCol w:w="109"/>
        <w:gridCol w:w="109"/>
        <w:gridCol w:w="1085"/>
        <w:gridCol w:w="1085"/>
        <w:gridCol w:w="1535"/>
      </w:tblGrid>
      <w:tr>
        <w:trPr/>
        <w:tc>
          <w:tcPr>
            <w:tcW w:w="97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Section 2 – Financial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Current Report on Form 8-K, including the Exhibit attached hereto, is being furnished and shall not be deemed to be “filed” for the purposes of Section 18 of the Securities Exchange Act of 1934, as amended, or otherwise subject to the liabilities of that Section. Furthermore, the information contained in Item 2.02 of this Current Report on Form 8-K shall not be deemed to be incorporated by reference into any registration statement or other document filed pursuant to the Securities Act of 1933, as amended.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14, 2026, Dave &amp; Buster’s Entertainment, Inc. (the “Company”) issued a press release announcing results its second quarter 2026 results. A copy of this Press Release is attached hereto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2747"/>
        <w:gridCol w:w="2745"/>
        <w:gridCol w:w="39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ay-2026q2er8kxexx991.htm">
              <w:r>
                <w:rPr>
                  <w:rStyle w:val="InternetLink"/>
                  <w:rFonts w:ascii="Times New Roman;serif" w:hAnsi="Times New Roman;serif"/>
                  <w:b w:val="false"/>
                  <w:color w:val="0000FF"/>
                  <w:sz w:val="20"/>
                </w:rPr>
                <w:t>99.1</w:t>
              </w:r>
            </w:hyperlink>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ay-2026q2er8kxexx991.htm">
              <w:r>
                <w:rPr>
                  <w:rStyle w:val="InternetLink"/>
                  <w:rFonts w:ascii="Times New Roman;serif" w:hAnsi="Times New Roman;serif"/>
                  <w:b w:val="false"/>
                  <w:color w:val="000080"/>
                  <w:sz w:val="20"/>
                  <w:u w:val="single"/>
                </w:rPr>
                <w:t xml:space="preserve">Press release dated </w:t>
              </w:r>
            </w:hyperlink>
            <w:hyperlink w:anchor="play-2026q2er8kxexx991.htm">
              <w:r>
                <w:rPr>
                  <w:rStyle w:val="InternetLink"/>
                  <w:rFonts w:ascii="Times New Roman;serif" w:hAnsi="Times New Roman;serif"/>
                  <w:b w:val="false"/>
                  <w:color w:val="000080"/>
                  <w:sz w:val="20"/>
                  <w:u w:val="single"/>
                </w:rPr>
                <w:t xml:space="preserve">September 14, </w:t>
              </w:r>
            </w:hyperlink>
            <w:hyperlink w:anchor="play-2026q2er8kxexx991.htm">
              <w:r>
                <w:rPr>
                  <w:rStyle w:val="InternetLink"/>
                  <w:rFonts w:ascii="Times New Roman;serif" w:hAnsi="Times New Roman;serif"/>
                  <w:b w:val="false"/>
                  <w:color w:val="000080"/>
                  <w:sz w:val="20"/>
                  <w:u w:val="single"/>
                </w:rPr>
                <w:t>2026</w:t>
              </w:r>
            </w:hyperlink>
            <w:hyperlink w:anchor="play-2026q2er8kxexx991.htm">
              <w:r>
                <w:rPr>
                  <w:rStyle w:val="InternetLink"/>
                  <w:rFonts w:ascii="Times New Roman;serif" w:hAnsi="Times New Roman;serif"/>
                  <w:b w:val="false"/>
                  <w:color w:val="000080"/>
                  <w:sz w:val="20"/>
                  <w:u w:val="single"/>
                </w:rPr>
                <w: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is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191" w:type="dxa"/>
        <w:jc w:val="left"/>
        <w:tblInd w:w="0" w:type="dxa"/>
        <w:tblLayout w:type="fixed"/>
        <w:tblCellMar>
          <w:top w:w="28" w:type="dxa"/>
          <w:left w:w="28" w:type="dxa"/>
          <w:bottom w:w="28" w:type="dxa"/>
          <w:right w:w="28" w:type="dxa"/>
        </w:tblCellMar>
      </w:tblPr>
      <w:tblGrid>
        <w:gridCol w:w="802"/>
        <w:gridCol w:w="707"/>
        <w:gridCol w:w="711"/>
        <w:gridCol w:w="618"/>
        <w:gridCol w:w="618"/>
        <w:gridCol w:w="618"/>
        <w:gridCol w:w="618"/>
        <w:gridCol w:w="618"/>
        <w:gridCol w:w="881"/>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DAVE &amp; BUSTER’S ENTERTAINMENT,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Cory Hatton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Cory Hatton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83"/>
        <w:jc w:val="left"/>
        <w:rPr/>
      </w:pPr>
      <w:r>
        <w:rPr/>
        <w:drawing>
          <wp:inline distT="0" distB="0" distL="0" distR="0">
            <wp:extent cx="914400" cy="704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4400" cy="7048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Dave &amp; Buster’s Reports Second Quarter 2026 Financial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DALLAS, September 14, 2026 (GLOBE NEWSWIRE) -- Dave &amp; Buster's Entertainment, Inc. (NASDAQ: PLAY) (“Dave &amp; Buster's” or “the Company”), an owner, operator, and franchisor of entertainment and dining venues, today announced financial results for its second quarter of fiscal 2026 ended August 4,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Second Quarter 2026 Financial Summary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Revenue of $544.1 million decreased 2.4% from the second quarter of fiscal 2025.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Comparable store sales decreased 2.9% compared to the same calendar period in fiscal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loss totaled $12.5 million, or a $0.36 net loss per diluted share, compared to net income of $11.4 million, or $0.32 net income per diluted share in the second quarter of fiscal 2025. Adjusted net loss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totaled $9.5 million, or a $0.27 Adjusted net loss per diluted share, compared to Adjusted net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$14.2 million, or $0.40 Adjusted net income per diluted share in the second quarter of fiscal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was $98.9 million compared to $129.8 million in the second quarter of fiscal 2025.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free cash flow</w:t>
      </w:r>
      <w:r>
        <w:rPr>
          <w:rFonts w:ascii="Times New Roman;serif" w:hAnsi="Times New Roman;serif"/>
          <w:b w:val="false"/>
          <w:color w:val="000000"/>
          <w:sz w:val="13"/>
        </w:rPr>
        <w:t xml:space="preserve">1 </w:t>
      </w:r>
      <w:r>
        <w:rPr>
          <w:rFonts w:ascii="Times New Roman;serif" w:hAnsi="Times New Roman;serif"/>
          <w:b w:val="false"/>
          <w:color w:val="000000"/>
          <w:sz w:val="20"/>
        </w:rPr>
        <w:t>was positive $19.5 million for the six months ended August 4, 2026 compared to negative $36.5 million through the end of the six months ended August 5,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Additional Events and Commentary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opened six new domestic stores in the second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expects to complete two additional Dave &amp; Buster’s store remodels during the remainder of fiscal 2026, bringing the total number of remodels completed in fiscal 2026 to eight.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has six international franchise stores and expects to open at least one additional international franchise store during the remainder of fiscal 2026.</w:t>
      </w:r>
    </w:p>
    <w:p>
      <w:pPr>
        <w:pStyle w:val="TextBody"/>
        <w:bidi w:val="0"/>
        <w:spacing w:before="120" w:after="283"/>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We are energized by the obvious, actionable, and enormous opportunities ahead for Dave &amp; Buster’s and Main Event,” said Darin Harper, Chief Executive Officer. “Our Back-to-Basics strategy is gaining momentum with enhanced executional urgency. We are experiencing ongoing growth in food and beverage sales as well as in Special Events sales. The same store sales of our remodels continue to outperform the system. Further, we improved overall same store sales in July, and saw continued improvement in overall same store sales during the third quarter to date. We are laser focused on returning to same-store sales and EBITDA growth, sharpening our margin management with cost saving initiatives, generating significant free cash flow, and delivering meaningful shareholder value. I have tremendous confidence in the direction of our business and am excited about what we will accomplish together as we shape the future of our company.”</w:t>
      </w:r>
    </w:p>
    <w:p>
      <w:pPr>
        <w:pStyle w:val="TextBody"/>
        <w:bidi w:val="0"/>
        <w:spacing w:lineRule="auto" w:line="288"/>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Adjusted EBITDA, Adjusted net income (loss) and Adjusted free cash flow are non-GAAP financial measures. Please see the discussion under </w:t>
      </w:r>
      <w:r>
        <w:rPr>
          <w:rFonts w:ascii="Times New Roman;serif" w:hAnsi="Times New Roman;serif"/>
          <w:b w:val="false"/>
          <w:i/>
          <w:color w:val="000000"/>
          <w:sz w:val="16"/>
        </w:rPr>
        <w:t>Non-GAAP Measures</w:t>
      </w:r>
      <w:r>
        <w:rPr>
          <w:color w:val="000000"/>
        </w:rPr>
        <w:t xml:space="preserve"> </w:t>
      </w:r>
      <w:r>
        <w:rPr>
          <w:rFonts w:ascii="Times New Roman;serif" w:hAnsi="Times New Roman;serif"/>
          <w:b w:val="false"/>
          <w:color w:val="000000"/>
          <w:sz w:val="16"/>
        </w:rPr>
        <w:t>and the reconciliations at the end of this release for additional information concerning these and other non-GAAP financial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 and Liquidity</w:t>
      </w:r>
    </w:p>
    <w:p>
      <w:pPr>
        <w:pStyle w:val="TextBody"/>
        <w:bidi w:val="0"/>
        <w:spacing w:lineRule="auto" w:line="288" w:before="120" w:after="283"/>
        <w:jc w:val="both"/>
        <w:rPr/>
      </w:pPr>
      <w:r>
        <w:rPr>
          <w:rFonts w:ascii="Times New Roman;serif" w:hAnsi="Times New Roman;serif"/>
          <w:b w:val="false"/>
          <w:color w:val="000000"/>
          <w:sz w:val="20"/>
        </w:rPr>
        <w:t>The Company generated $19.5 million in Adjusted free cash flow for the six months ended August 4, 2026, ending the quarter with $492.1 million of available liquidity</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Quarterly Report on Form 10-Q Available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which will be available at www.sec.gov and on the Company’s investor relations website, contains a thorough review of its financial results for the second quarter ended August 4,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Investor Conference Call and Webcast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will host a conference call to discuss these results on Monday, September 14, 2026 at 4:00 p.m. Central Time (5:00 p.m. Eastern Time). Both the live and archived webcasts of the conference call will be available at ir.daveandbusters.com. Participants in the U.S. can access the conference call by dialing toll-free (888) 596-4144, and international participants can access by dialing +1 (646) 968-2525. The conference ID is 3278311. A replay will be available after the call beginning at 6:00 p.m. Central Time (7:00 p.m. Eastern Time) and can be accessed by dialing toll-free (800) 770-2030 or by the toll number +1 (609) 800-9909. The replay conference ID is also 3278311.</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About Dave &amp; Buster’s Entertainment, Inc.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Founded in 1982 and headquartered in Coppell, Texas, Dave &amp; Buster's Entertainment, Inc. is the owner and operator of 250 stores in North America that offer premier entertainment and dining experiences to guests through two distinct brands: Dave &amp; Buster’s and Main Event. The Company has 184 Dave &amp; Buster’s branded stores in 43 states, Puerto Rico, and Canada, and offers guests the opportunity to “Eat, Drink, Play, and Watch” all in one location. Each store offers a full menu of entrées and appetizers, a complete selection of alcoholic and non-alcoholic beverages, and an extensive assortment of entertainment attractions centered around playing games and watching live sports and other televised events. The Company also operates 66 Main Event branded stores in 24 states across the country, and offers state-of-the-art bowling, laser tag, hundreds of arcade games and virtual reality, making it the perfect place for families to connect and make memories. Internationally, the Company is in early-stage growth as a franchisor of its brands with six Dave &amp; Buster’s franchise stores currently open. For more information about each brand, visit daveandbusters.com and mainevent.com.</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cautions that this release contains statements that are, or may be deemed to be, “forward-looking statements” within the meaning of Section 27A of the Securities Act of 1933, as amended, and Section 21E of the Securities Exchange Act of 1934, as amended. These forward-looking statements can be identified by the use of forward-looking terminology, including the terms “believes,” “estimates,” “anticipates,” “expects,” “intends,” “may,” “will” or “should” or, in each case, their negative or other variations or comparable terminology. Forward-looking statements are neither historical facts nor assurances of future performance, and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These forward-looking statements include all matters that are not historical facts, including statements regarding our intentions, beliefs or current expectations concerning, among other things: our results of operations; financial condition; liquidity; prospects; growth; strategies; the industry in which we operate; expansion and opening of new locations; and opportunities and risks affecting our business, industry and financial results, including macroeconomic factors. These forward-looking statements involve risks and uncertainties, including: our ability to successfully design and execute our business strategy; our effectiveness at integrating and operating our past or future acquisitions; the effects of new or improved technologies or changes in consumer behavior; the potential for unfavorable publicity; our ability to obtain and renew leases on favorable terms or at all; our substantial indebtedness and covenants in our debt agreements restricting our ability to implement our business plan; our success in opening and operating new stores profitably and optimizing existing stores; risks related to our information systems and potential cybersecurity breaches or other privacy or data incidents; the cost and availability of certain commodities; our procurement of new games and entertainment offerings and our ability to obtain related licensing rights; the extensive laws and regulations in which we must comply with; and other risks identified in “Risk Factors” in our reports filed with the Securities and Exchange Commission. Accordingly, actual results may differ materially from the forward-looking statements, and the Company therefore cautions you against relying on such forward-looking statements. The Company intends these forward-looking statements to speak only as of the time of this release and does not undertake to update or revise them as more appropriate information becomes available, except as required by law.</w:t>
      </w:r>
    </w:p>
    <w:p>
      <w:pPr>
        <w:pStyle w:val="TextBody"/>
        <w:bidi w:val="0"/>
        <w:spacing w:lineRule="auto" w:line="276"/>
        <w:ind w:left="0" w:right="0" w:hanging="9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Available liquidity is defined as cash and cash equivalents plus availability under the Company’s $650.0 million revolving credit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supplement its consolidated financial statements, which are prepared and presented in accordance with accounting principles generally accepted in the United States of America (“GAAP”), the Company uses the following non-GAAP financial measures: Adjusted EBITDA, Credit Adjusted EBITDA (calculated in accordance with the Company’s Credit Facility), Net Total Leverage Ratio (calculated in accordance with the Company’s Credit Facility), Store operating income before depreciation and amortization, Adjusted net income (loss), Adjusted net income (loss) per share - diluted, and Adjusted free cash flow, reconciliations or numerical inputs of which can be found on the following pages (collectively the “non-GAAP financial measures”). The presentation of this financial information is not intended to be considered in isolation or as a substitute for, or superior to, the financial information prepared and presented in accordance with GAAP. The Company uses these non-GAAP financial measures for financial and operational decision making and as a means to evaluate period-to-period comparisons. The Company believes that they provide useful information about operating results, enhance the overall understanding of our operating performance and future prospects, and allow for greater transparency with respect to key metrics used by management in its financial and operational decision making. The non-GAAP measures used by the Company in this press release may be different from the measures used by other companies or calculated differently than similar measures used by other companies.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 Investor Relations Inquiries: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Investor@daveandbusters.com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 except per share amounts)</w:t>
      </w:r>
    </w:p>
    <w:p>
      <w:pPr>
        <w:pStyle w:val="TextBody"/>
        <w:bidi w:val="0"/>
        <w:spacing w:before="0" w:after="0"/>
        <w:jc w:val="center"/>
        <w:rPr/>
      </w:pPr>
      <w:r>
        <w:rPr/>
      </w:r>
    </w:p>
    <w:tbl>
      <w:tblPr>
        <w:tblW w:w="10704" w:type="dxa"/>
        <w:jc w:val="center"/>
        <w:tblInd w:w="0" w:type="dxa"/>
        <w:tblLayout w:type="fixed"/>
        <w:tblCellMar>
          <w:top w:w="28" w:type="dxa"/>
          <w:left w:w="28" w:type="dxa"/>
          <w:bottom w:w="28" w:type="dxa"/>
          <w:right w:w="28" w:type="dxa"/>
        </w:tblCellMar>
      </w:tblPr>
      <w:tblGrid>
        <w:gridCol w:w="652"/>
        <w:gridCol w:w="349"/>
        <w:gridCol w:w="350"/>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301"/>
      </w:tblGrid>
      <w:tr>
        <w:trPr/>
        <w:tc>
          <w:tcPr>
            <w:tcW w:w="65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food and beverage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products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payroll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store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Pre-opening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charges and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Basic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used in per share calculations: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Basic shares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 stores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Store operating weeks in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per store operating weeks in the period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per square foot per store operating weeks in the period (in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All percentages are expressed as a percentage of total revenues for the respective period presented, except cost of entertainment, which is expressed as a percentage of entertainment revenues, and cost of food and beverage, which is expressed as a percentage of food and beverage revenues.</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Other Financial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 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Condensed Consolidated Balance Sheets:</w:t>
      </w:r>
    </w:p>
    <w:tbl>
      <w:tblPr>
        <w:tblW w:w="7031" w:type="dxa"/>
        <w:jc w:val="center"/>
        <w:tblInd w:w="0" w:type="dxa"/>
        <w:tblLayout w:type="fixed"/>
        <w:tblCellMar>
          <w:top w:w="28" w:type="dxa"/>
          <w:left w:w="28" w:type="dxa"/>
          <w:bottom w:w="28" w:type="dxa"/>
          <w:right w:w="28" w:type="dxa"/>
        </w:tblCellMar>
      </w:tblPr>
      <w:tblGrid>
        <w:gridCol w:w="1480"/>
        <w:gridCol w:w="1296"/>
        <w:gridCol w:w="1304"/>
        <w:gridCol w:w="236"/>
        <w:gridCol w:w="833"/>
        <w:gridCol w:w="131"/>
        <w:gridCol w:w="109"/>
        <w:gridCol w:w="109"/>
        <w:gridCol w:w="109"/>
        <w:gridCol w:w="268"/>
        <w:gridCol w:w="946"/>
        <w:gridCol w:w="210"/>
      </w:tblGrid>
      <w:tr>
        <w:trPr/>
        <w:tc>
          <w:tcPr>
            <w:tcW w:w="148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3, 2026</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and other assets, net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4,116.6 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4,120.9 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4,116.6 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Summary Cash Flow Information:</w:t>
      </w:r>
    </w:p>
    <w:tbl>
      <w:tblPr>
        <w:tblW w:w="9660" w:type="dxa"/>
        <w:jc w:val="center"/>
        <w:tblInd w:w="0" w:type="dxa"/>
        <w:tblLayout w:type="fixed"/>
        <w:tblCellMar>
          <w:top w:w="28" w:type="dxa"/>
          <w:left w:w="28" w:type="dxa"/>
          <w:bottom w:w="28" w:type="dxa"/>
          <w:right w:w="28" w:type="dxa"/>
        </w:tblCellMar>
      </w:tblPr>
      <w:tblGrid>
        <w:gridCol w:w="1272"/>
        <w:gridCol w:w="1117"/>
        <w:gridCol w:w="1121"/>
        <w:gridCol w:w="109"/>
        <w:gridCol w:w="109"/>
        <w:gridCol w:w="109"/>
        <w:gridCol w:w="305"/>
        <w:gridCol w:w="725"/>
        <w:gridCol w:w="169"/>
        <w:gridCol w:w="109"/>
        <w:gridCol w:w="109"/>
        <w:gridCol w:w="109"/>
        <w:gridCol w:w="305"/>
        <w:gridCol w:w="725"/>
        <w:gridCol w:w="169"/>
        <w:gridCol w:w="109"/>
        <w:gridCol w:w="109"/>
        <w:gridCol w:w="109"/>
        <w:gridCol w:w="273"/>
        <w:gridCol w:w="775"/>
        <w:gridCol w:w="152"/>
        <w:gridCol w:w="109"/>
        <w:gridCol w:w="109"/>
        <w:gridCol w:w="109"/>
        <w:gridCol w:w="269"/>
        <w:gridCol w:w="764"/>
        <w:gridCol w:w="211"/>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 in millions)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EBITDA represents net income (loss), plus interest expense, net, loss on debt refinancing, provision for (benefit from) income taxes, depreciation and amortization expense, (gain) loss on property and equipment transactions, impairment of long-lived assets, share-based compensation, currency transaction (gains) losses, transaction and integration costs, system implementation costs and certain other costs, as calculated below. Adjusted EBITDA is a non-GAAP financial measure commonly used in our industry and should not be construed as an alternative to net income as an indicator of operating performance or as an alternative to cash flow provided by operating activities as a measure of liquidity (as determined in accordance with GAAP). Adjusted EBITDA may not be comparable to similarly titled measures reported by other companies. 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 A reconciliation of net income (loss) to Adjusted EBITDA is provided below for the periods presented:</w:t>
      </w:r>
    </w:p>
    <w:tbl>
      <w:tblPr>
        <w:tblW w:w="10205" w:type="dxa"/>
        <w:jc w:val="center"/>
        <w:tblInd w:w="0" w:type="dxa"/>
        <w:tblLayout w:type="fixed"/>
        <w:tblCellMar>
          <w:top w:w="28" w:type="dxa"/>
          <w:left w:w="28" w:type="dxa"/>
          <w:bottom w:w="28" w:type="dxa"/>
          <w:right w:w="28" w:type="dxa"/>
        </w:tblCellMar>
      </w:tblPr>
      <w:tblGrid>
        <w:gridCol w:w="943"/>
        <w:gridCol w:w="487"/>
        <w:gridCol w:w="490"/>
        <w:gridCol w:w="196"/>
        <w:gridCol w:w="499"/>
        <w:gridCol w:w="109"/>
        <w:gridCol w:w="109"/>
        <w:gridCol w:w="109"/>
        <w:gridCol w:w="109"/>
        <w:gridCol w:w="232"/>
        <w:gridCol w:w="234"/>
        <w:gridCol w:w="256"/>
        <w:gridCol w:w="109"/>
        <w:gridCol w:w="109"/>
        <w:gridCol w:w="109"/>
        <w:gridCol w:w="196"/>
        <w:gridCol w:w="466"/>
        <w:gridCol w:w="109"/>
        <w:gridCol w:w="109"/>
        <w:gridCol w:w="109"/>
        <w:gridCol w:w="109"/>
        <w:gridCol w:w="233"/>
        <w:gridCol w:w="233"/>
        <w:gridCol w:w="256"/>
        <w:gridCol w:w="109"/>
        <w:gridCol w:w="109"/>
        <w:gridCol w:w="109"/>
        <w:gridCol w:w="196"/>
        <w:gridCol w:w="409"/>
        <w:gridCol w:w="109"/>
        <w:gridCol w:w="109"/>
        <w:gridCol w:w="109"/>
        <w:gridCol w:w="109"/>
        <w:gridCol w:w="232"/>
        <w:gridCol w:w="234"/>
        <w:gridCol w:w="256"/>
        <w:gridCol w:w="109"/>
        <w:gridCol w:w="109"/>
        <w:gridCol w:w="109"/>
        <w:gridCol w:w="196"/>
        <w:gridCol w:w="466"/>
        <w:gridCol w:w="109"/>
        <w:gridCol w:w="109"/>
        <w:gridCol w:w="109"/>
        <w:gridCol w:w="109"/>
        <w:gridCol w:w="233"/>
        <w:gridCol w:w="233"/>
        <w:gridCol w:w="304"/>
      </w:tblGrid>
      <w:tr>
        <w:trPr/>
        <w:tc>
          <w:tcPr>
            <w:tcW w:w="94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August 4, 2026</w:t>
            </w:r>
            <w:r>
              <w:rPr>
                <w:color w:val="000000"/>
              </w:rPr>
              <w:t xml:space="preserv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August 5, 2025</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August 4, 2026</w:t>
            </w:r>
            <w:r>
              <w:rPr>
                <w:color w:val="000000"/>
              </w:rPr>
              <w:t xml:space="preserv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August 5, 2025</w:t>
            </w:r>
            <w:r>
              <w:rPr>
                <w:color w:val="000000"/>
              </w:rPr>
              <w:t xml:space="preserve"> </w:t>
            </w:r>
            <w:r>
              <w:rPr>
                <w:rFonts w:ascii="Times New Roman;serif" w:hAnsi="Times New Roman;serif"/>
                <w:b/>
                <w:color w:val="000000"/>
                <w:sz w:val="10"/>
              </w:rPr>
              <w:t>(1)</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Share-based compensation </w:t>
            </w:r>
            <w:r>
              <w:rPr>
                <w:rFonts w:ascii="Times New Roman;serif" w:hAnsi="Times New Roman;serif"/>
                <w:b w:val="false"/>
                <w:color w:val="000000"/>
                <w:sz w:val="12"/>
              </w:rPr>
              <w:t>(2)</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 and integration costs </w:t>
            </w:r>
            <w:r>
              <w:rPr>
                <w:rFonts w:ascii="Times New Roman;serif" w:hAnsi="Times New Roman;serif"/>
                <w:b w:val="false"/>
                <w:color w:val="000000"/>
                <w:sz w:val="12"/>
              </w:rPr>
              <w:t>(3)</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System implementation costs </w:t>
            </w:r>
            <w:r>
              <w:rPr>
                <w:rFonts w:ascii="Times New Roman;serif" w:hAnsi="Times New Roman;serif"/>
                <w:b w:val="false"/>
                <w:color w:val="000000"/>
                <w:sz w:val="12"/>
              </w:rPr>
              <w:t>(4)</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Loss on property and equipment transactions </w:t>
            </w:r>
            <w:r>
              <w:rPr>
                <w:rFonts w:ascii="Times New Roman;serif" w:hAnsi="Times New Roman;serif"/>
                <w:b w:val="false"/>
                <w:color w:val="000000"/>
                <w:sz w:val="12"/>
              </w:rPr>
              <w:t>(5)</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items, net</w:t>
            </w:r>
            <w:r>
              <w:rPr>
                <w:color w:val="000000"/>
              </w:rPr>
              <w:t xml:space="preserve"> </w:t>
            </w:r>
            <w:r>
              <w:rPr>
                <w:rFonts w:ascii="Times New Roman;serif" w:hAnsi="Times New Roman;serif"/>
                <w:b w:val="false"/>
                <w:color w:val="000000"/>
                <w:sz w:val="12"/>
              </w:rPr>
              <w:t>(6)</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a non-GAAP measure </w:t>
            </w:r>
            <w:r>
              <w:rPr>
                <w:rFonts w:ascii="Times New Roman;serif" w:hAnsi="Times New Roman;serif"/>
                <w:b w:val="false"/>
                <w:color w:val="000000"/>
                <w:sz w:val="12"/>
              </w:rPr>
              <w:t>(1)</w:t>
            </w:r>
          </w:p>
        </w:tc>
        <w:tc>
          <w:tcPr>
            <w:tcW w:w="8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All percentages are expressed as a percentage of total revenues for the respective period presented.</w:t>
      </w:r>
    </w:p>
    <w:p>
      <w:pPr>
        <w:pStyle w:val="TextBody"/>
        <w:bidi w:val="0"/>
        <w:spacing w:lineRule="auto" w:line="288" w:before="0" w:after="0"/>
        <w:ind w:left="0" w:right="0" w:hanging="270"/>
        <w:jc w:val="both"/>
        <w:rPr/>
      </w:pPr>
      <w:r>
        <w:rPr>
          <w:rFonts w:ascii="Times New Roman;serif" w:hAnsi="Times New Roman;serif"/>
          <w:b w:val="false"/>
          <w:color w:val="000000"/>
          <w:sz w:val="12"/>
        </w:rPr>
        <w:t>(2)</w:t>
      </w:r>
      <w:r>
        <w:rPr>
          <w:rFonts w:ascii="Times New Roman;serif" w:hAnsi="Times New Roman;serif"/>
          <w:b w:val="false"/>
          <w:color w:val="000000"/>
          <w:sz w:val="18"/>
        </w:rPr>
        <w:t>Non-cash share-based compensation expense, net of forfeitures, recorded in General and administrative expenses on the Consolidated Statements of Comprehensive Income (Loss).</w:t>
      </w:r>
    </w:p>
    <w:p>
      <w:pPr>
        <w:pStyle w:val="TextBody"/>
        <w:bidi w:val="0"/>
        <w:spacing w:lineRule="auto" w:line="288" w:before="0" w:after="0"/>
        <w:ind w:left="0" w:right="0" w:hanging="270"/>
        <w:jc w:val="both"/>
        <w:rPr/>
      </w:pPr>
      <w:r>
        <w:rPr>
          <w:rFonts w:ascii="Times New Roman;serif" w:hAnsi="Times New Roman;serif"/>
          <w:b w:val="false"/>
          <w:color w:val="000000"/>
          <w:sz w:val="12"/>
        </w:rPr>
        <w:t>(3)</w:t>
      </w:r>
      <w:r>
        <w:rPr>
          <w:rFonts w:ascii="Times New Roman;serif" w:hAnsi="Times New Roman;serif"/>
          <w:b w:val="false"/>
          <w:color w:val="000000"/>
          <w:sz w:val="18"/>
        </w:rPr>
        <w:t>Transaction and integration costs related to the acquisition and integration of Main Event recorded in General and administrative expenses on the Consolidated Statements of Comprehensive Income (Loss).</w:t>
      </w:r>
    </w:p>
    <w:p>
      <w:pPr>
        <w:pStyle w:val="TextBody"/>
        <w:bidi w:val="0"/>
        <w:spacing w:lineRule="auto" w:line="288" w:before="0" w:after="0"/>
        <w:ind w:left="0" w:right="0" w:hanging="270"/>
        <w:jc w:val="both"/>
        <w:rPr/>
      </w:pPr>
      <w:r>
        <w:rPr>
          <w:rFonts w:ascii="Times New Roman;serif" w:hAnsi="Times New Roman;serif"/>
          <w:b w:val="false"/>
          <w:color w:val="000000"/>
          <w:sz w:val="12"/>
        </w:rPr>
        <w:t>(4)</w:t>
      </w:r>
      <w:r>
        <w:rPr>
          <w:rFonts w:ascii="Times New Roman;serif" w:hAnsi="Times New Roman;serif"/>
          <w:b w:val="false"/>
          <w:color w:val="000000"/>
          <w:sz w:val="18"/>
        </w:rPr>
        <w:t>System implementation costs represent expenses incurred related to the development of new enterprise resource planning, human capital management and inventory software for our stores and store support teams. These charges are recorded in Other charges and gains on the Consolidated Statements of Comprehensive Income (Loss).</w:t>
      </w:r>
    </w:p>
    <w:p>
      <w:pPr>
        <w:pStyle w:val="TextBody"/>
        <w:bidi w:val="0"/>
        <w:spacing w:lineRule="auto" w:line="288" w:before="0" w:after="0"/>
        <w:ind w:left="0" w:right="0" w:hanging="270"/>
        <w:jc w:val="both"/>
        <w:rPr/>
      </w:pPr>
      <w:r>
        <w:rPr>
          <w:rFonts w:ascii="Times New Roman;serif" w:hAnsi="Times New Roman;serif"/>
          <w:b w:val="false"/>
          <w:color w:val="000000"/>
          <w:sz w:val="12"/>
        </w:rPr>
        <w:t>(5)</w:t>
      </w:r>
      <w:r>
        <w:rPr>
          <w:rFonts w:ascii="Times New Roman;serif" w:hAnsi="Times New Roman;serif"/>
          <w:b w:val="false"/>
          <w:color w:val="000000"/>
          <w:sz w:val="18"/>
        </w:rPr>
        <w:t xml:space="preserve">Loss on property and equipment transactions primarily represents the net book value of assets retired and certain costs associated with the retirement of those assets. </w:t>
      </w:r>
    </w:p>
    <w:p>
      <w:pPr>
        <w:pStyle w:val="TextBody"/>
        <w:bidi w:val="0"/>
        <w:spacing w:lineRule="auto" w:line="288" w:before="0" w:after="0"/>
        <w:ind w:left="0" w:right="0" w:hanging="270"/>
        <w:jc w:val="both"/>
        <w:rPr/>
      </w:pPr>
      <w:r>
        <w:rPr>
          <w:rFonts w:ascii="Times New Roman;serif" w:hAnsi="Times New Roman;serif"/>
          <w:b w:val="false"/>
          <w:color w:val="000000"/>
          <w:sz w:val="12"/>
        </w:rPr>
        <w:t>(6)</w:t>
      </w:r>
      <w:r>
        <w:rPr>
          <w:rFonts w:ascii="Times New Roman;serif" w:hAnsi="Times New Roman;serif"/>
          <w:b w:val="false"/>
          <w:color w:val="000000"/>
          <w:sz w:val="18"/>
        </w:rPr>
        <w:t>The amounts for the 2026 periods primarily consisted of severance and restructuring charges, one-time third-party legal consulting fees, a discrete legal settlement outside of the normal course of business, and various individually immaterial adjustments. The amount for the fiscal 2025 periods primarily consisted of discretionary retention incentives, one-time, third-party consulting fees, and severance costs.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Store Operating Income Before Depreciation and Amortization: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Store Operating Income Before Depreciation and Amortization, a non-GAAP measure, represents operating income, plus depreciation and amortization expense, general and administrative expenses, pre-opening costs and other gains and charges. We believe that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pre-opening costs and other gains and charges, as well as our interest expense, net, loss on debt extinguishment/refinance and depreciation and amortization expense, which are important in evaluating our consolidated financial performance from period to period, the value of this measure is limited as a measure of our consolidated financial performance. A reconciliation of operating income to Store Operating Income Before Depreciation and Amortization is provided below for the periods presented:</w:t>
      </w:r>
    </w:p>
    <w:tbl>
      <w:tblPr>
        <w:tblW w:w="10205" w:type="dxa"/>
        <w:jc w:val="center"/>
        <w:tblInd w:w="0" w:type="dxa"/>
        <w:tblLayout w:type="fixed"/>
        <w:tblCellMar>
          <w:top w:w="28" w:type="dxa"/>
          <w:left w:w="28" w:type="dxa"/>
          <w:bottom w:w="28" w:type="dxa"/>
          <w:right w:w="28" w:type="dxa"/>
        </w:tblCellMar>
      </w:tblPr>
      <w:tblGrid>
        <w:gridCol w:w="645"/>
        <w:gridCol w:w="484"/>
        <w:gridCol w:w="408"/>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303"/>
      </w:tblGrid>
      <w:tr>
        <w:trPr/>
        <w:tc>
          <w:tcPr>
            <w:tcW w:w="64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August 4, 2026</w:t>
            </w:r>
            <w:r>
              <w:rPr>
                <w:color w:val="000000"/>
              </w:rPr>
              <w:t xml:space="preserv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 xml:space="preserve">August 5, 2025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August 4, 2026</w:t>
            </w:r>
            <w:r>
              <w:rPr>
                <w:color w:val="000000"/>
              </w:rPr>
              <w:t xml:space="preserv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August 5, 2025 </w:t>
            </w:r>
            <w:r>
              <w:rPr>
                <w:rFonts w:ascii="Times New Roman;serif" w:hAnsi="Times New Roman;serif"/>
                <w:b/>
                <w:color w:val="000000"/>
                <w:sz w:val="10"/>
              </w:rPr>
              <w:t>(1)</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Pre-opening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gains and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Store operating income before depreciation and amortization, a non-GAAP measure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ind w:left="0" w:right="0" w:hanging="270"/>
        <w:jc w:val="left"/>
        <w:rPr/>
      </w:pPr>
      <w:r>
        <w:rPr>
          <w:rFonts w:ascii="Times New Roman;serif" w:hAnsi="Times New Roman;serif"/>
          <w:b w:val="false"/>
          <w:color w:val="000000"/>
          <w:sz w:val="12"/>
        </w:rPr>
        <w:t>(1)</w:t>
      </w:r>
      <w:r>
        <w:rPr>
          <w:rFonts w:ascii="Times New Roman;serif" w:hAnsi="Times New Roman;serif"/>
          <w:b w:val="false"/>
          <w:color w:val="000000"/>
          <w:sz w:val="18"/>
        </w:rPr>
        <w:t>All percentages are expressed as a percentage of total revenues for the respective period presented.</w:t>
      </w:r>
    </w:p>
    <w:p>
      <w:pPr>
        <w:pStyle w:val="TextBody"/>
        <w:bidi w:val="0"/>
        <w:spacing w:before="0" w:after="0"/>
        <w:ind w:left="0" w:right="0" w:firstLine="90"/>
        <w:jc w:val="left"/>
        <w:rPr/>
      </w:pPr>
      <w:r>
        <w:rPr/>
      </w:r>
    </w:p>
    <w:p>
      <w:pPr>
        <w:pStyle w:val="TextBody"/>
        <w:bidi w:val="0"/>
        <w:spacing w:before="0" w:after="0"/>
        <w:ind w:left="0" w:right="0" w:firstLine="9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free cash flow: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free cash flow, a non-GAAP measure, represents Net cash provided by operating activities less capital expenditures, plus payments received from landlords related to sale-leaseback transactions and finance leases. Management believes adjusted free cash flow provides investors with an additional measure of the cash generated by the business after considering routine capital investment requirements. A reconciliation of Net cash provided by operating activities to Adjusted free cash flow is provided below for the periods presented:</w:t>
      </w:r>
    </w:p>
    <w:tbl>
      <w:tblPr>
        <w:tblW w:w="6592" w:type="dxa"/>
        <w:jc w:val="left"/>
        <w:tblInd w:w="0" w:type="dxa"/>
        <w:tblLayout w:type="fixed"/>
        <w:tblCellMar>
          <w:top w:w="28" w:type="dxa"/>
          <w:left w:w="28" w:type="dxa"/>
          <w:bottom w:w="28" w:type="dxa"/>
          <w:right w:w="28" w:type="dxa"/>
        </w:tblCellMar>
      </w:tblPr>
      <w:tblGrid>
        <w:gridCol w:w="1267"/>
        <w:gridCol w:w="1109"/>
        <w:gridCol w:w="1118"/>
        <w:gridCol w:w="109"/>
        <w:gridCol w:w="109"/>
        <w:gridCol w:w="109"/>
        <w:gridCol w:w="273"/>
        <w:gridCol w:w="775"/>
        <w:gridCol w:w="152"/>
        <w:gridCol w:w="109"/>
        <w:gridCol w:w="109"/>
        <w:gridCol w:w="109"/>
        <w:gridCol w:w="269"/>
        <w:gridCol w:w="764"/>
        <w:gridCol w:w="211"/>
      </w:tblGrid>
      <w:tr>
        <w:trPr/>
        <w:tc>
          <w:tcPr>
            <w:tcW w:w="126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Incentives from landlords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Proceeds from sale-leaseback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free cash flow, a non-GAAP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Credit Adjusted EBITDA and Net Total Leverage Ratio:</w:t>
      </w:r>
    </w:p>
    <w:p>
      <w:pPr>
        <w:pStyle w:val="TextBody"/>
        <w:bidi w:val="0"/>
        <w:spacing w:lineRule="auto" w:line="288" w:before="120" w:after="283"/>
        <w:jc w:val="both"/>
        <w:rPr/>
      </w:pPr>
      <w:r>
        <w:rPr>
          <w:rFonts w:ascii="Times New Roman;serif" w:hAnsi="Times New Roman;serif"/>
          <w:b w:val="false"/>
          <w:color w:val="000000"/>
          <w:sz w:val="20"/>
        </w:rPr>
        <w:t xml:space="preserve">Credit Adjusted EBITDA, a non-GAAP measure, represents net loss plus certain items as defined at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above, as well as certain other adjustments as defined in our Credit Agreement. These other adjustments include (i) entertainment revenue deferrals, (ii) the cost of new projects, including store pre-opening costs, (iii) business optimization expenses and other restructuring costs, and (iv) other costs and adjustments as permitted by the Credit Agreement. We believe the presentation of Credit Adjusted EBITDA is appropriate as it provides additional information to investors about the calculation of, and compliance with, certain financial covenants in the Credit Agreement. The following table sets forth a reconciliation of Net loss to Credit Adjusted EBITDA for the period shown:</w:t>
      </w:r>
    </w:p>
    <w:tbl>
      <w:tblPr>
        <w:tblW w:w="7484" w:type="dxa"/>
        <w:jc w:val="center"/>
        <w:tblInd w:w="0" w:type="dxa"/>
        <w:tblLayout w:type="fixed"/>
        <w:tblCellMar>
          <w:top w:w="28" w:type="dxa"/>
          <w:left w:w="28" w:type="dxa"/>
          <w:bottom w:w="28" w:type="dxa"/>
          <w:right w:w="28" w:type="dxa"/>
        </w:tblCellMar>
      </w:tblPr>
      <w:tblGrid>
        <w:gridCol w:w="1704"/>
        <w:gridCol w:w="1495"/>
        <w:gridCol w:w="1510"/>
        <w:gridCol w:w="109"/>
        <w:gridCol w:w="109"/>
        <w:gridCol w:w="109"/>
        <w:gridCol w:w="109"/>
        <w:gridCol w:w="506"/>
        <w:gridCol w:w="1436"/>
        <w:gridCol w:w="397"/>
      </w:tblGrid>
      <w:tr>
        <w:trPr/>
        <w:tc>
          <w:tcPr>
            <w:tcW w:w="1704"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Trailing Four Quarters Ended</w:t>
              <w:br/>
              <w:t>August 4, 2026</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refinancing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Share-based compensation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 and integration costs </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System implementation costs </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Loss on property and equipment transactions and impairments </w:t>
            </w:r>
            <w:r>
              <w:rPr>
                <w:rFonts w:ascii="Times New Roman;serif" w:hAnsi="Times New Roman;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items, net </w:t>
            </w:r>
            <w:r>
              <w:rPr>
                <w:rFonts w:ascii="Times New Roman;serif" w:hAnsi="Times New Roman;serif"/>
                <w:b w:val="false"/>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Pre-opening costs </w:t>
            </w:r>
            <w:r>
              <w:rPr>
                <w:rFonts w:ascii="Times New Roman;serif" w:hAnsi="Times New Roman;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Credit Facility specific items, net </w:t>
            </w:r>
            <w:r>
              <w:rPr>
                <w:rFonts w:ascii="Times New Roman;serif" w:hAnsi="Times New Roman;serif"/>
                <w:b w:val="false"/>
                <w:color w:val="000000"/>
                <w:sz w:val="12"/>
              </w:rPr>
              <w:t>(7)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Adjusted EBITDA, a non-GAAP measure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435.8 </w:t>
            </w:r>
          </w:p>
        </w:tc>
        <w:tc>
          <w:tcPr>
            <w:tcW w:w="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See discussion of share-based compensation at </w:t>
      </w:r>
      <w:r>
        <w:rPr>
          <w:rFonts w:ascii="Times New Roman;serif" w:hAnsi="Times New Roman;serif"/>
          <w:b w:val="false"/>
          <w:i/>
          <w:color w:val="000000"/>
          <w:sz w:val="18"/>
        </w:rPr>
        <w:t>Adjusted EBITDA</w:t>
      </w:r>
      <w:r>
        <w:rPr>
          <w:color w:val="000000"/>
        </w:rPr>
        <w:t xml:space="preserve"> </w:t>
      </w:r>
      <w:r>
        <w:rPr>
          <w:rFonts w:ascii="Times New Roman;serif" w:hAnsi="Times New Roman;serif"/>
          <w:b w:val="false"/>
          <w:color w:val="000000"/>
          <w:sz w:val="18"/>
        </w:rPr>
        <w:t>above.</w:t>
      </w:r>
    </w:p>
    <w:p>
      <w:pPr>
        <w:pStyle w:val="TextBody"/>
        <w:bidi w:val="0"/>
        <w:spacing w:lineRule="auto" w:line="288" w:before="0" w:after="0"/>
        <w:ind w:left="0" w:right="0" w:hanging="27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See discussion of transaction and integration costs at </w:t>
      </w:r>
      <w:r>
        <w:rPr>
          <w:rFonts w:ascii="Times New Roman;serif" w:hAnsi="Times New Roman;serif"/>
          <w:b w:val="false"/>
          <w:i/>
          <w:color w:val="000000"/>
          <w:sz w:val="18"/>
        </w:rPr>
        <w:t>Adjusted EBITDA</w:t>
      </w:r>
      <w:r>
        <w:rPr>
          <w:color w:val="000000"/>
        </w:rPr>
        <w:t xml:space="preserve"> </w:t>
      </w:r>
      <w:r>
        <w:rPr>
          <w:rFonts w:ascii="Times New Roman;serif" w:hAnsi="Times New Roman;serif"/>
          <w:b w:val="false"/>
          <w:color w:val="000000"/>
          <w:sz w:val="18"/>
        </w:rPr>
        <w:t>above.</w:t>
      </w:r>
    </w:p>
    <w:p>
      <w:pPr>
        <w:pStyle w:val="TextBody"/>
        <w:bidi w:val="0"/>
        <w:spacing w:lineRule="auto" w:line="288" w:before="0" w:after="0"/>
        <w:ind w:left="0" w:right="0" w:hanging="270"/>
        <w:jc w:val="both"/>
        <w:rPr/>
      </w:pPr>
      <w:r>
        <w:rPr>
          <w:rFonts w:ascii="Times New Roman;serif" w:hAnsi="Times New Roman;serif"/>
          <w:b w:val="false"/>
          <w:color w:val="000000"/>
          <w:sz w:val="12"/>
        </w:rPr>
        <w:t>(3)</w:t>
      </w:r>
      <w:r>
        <w:rPr>
          <w:rFonts w:ascii="Times New Roman;serif" w:hAnsi="Times New Roman;serif"/>
          <w:b w:val="false"/>
          <w:color w:val="000000"/>
          <w:sz w:val="18"/>
        </w:rPr>
        <w:t xml:space="preserve">See discussion of system implementation costs at </w:t>
      </w:r>
      <w:r>
        <w:rPr>
          <w:rFonts w:ascii="Times New Roman;serif" w:hAnsi="Times New Roman;serif"/>
          <w:b w:val="false"/>
          <w:i/>
          <w:color w:val="000000"/>
          <w:sz w:val="18"/>
        </w:rPr>
        <w:t>Adjusted EBITDA</w:t>
      </w:r>
      <w:r>
        <w:rPr>
          <w:color w:val="000000"/>
        </w:rPr>
        <w:t xml:space="preserve"> </w:t>
      </w:r>
      <w:r>
        <w:rPr>
          <w:rFonts w:ascii="Times New Roman;serif" w:hAnsi="Times New Roman;serif"/>
          <w:b w:val="false"/>
          <w:color w:val="000000"/>
          <w:sz w:val="18"/>
        </w:rPr>
        <w:t>above.</w:t>
      </w:r>
    </w:p>
    <w:p>
      <w:pPr>
        <w:pStyle w:val="TextBody"/>
        <w:bidi w:val="0"/>
        <w:spacing w:lineRule="auto" w:line="288" w:before="0" w:after="0"/>
        <w:ind w:left="0" w:right="0" w:hanging="27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Consists of store asset impairments and loss on property and equipment disposals. </w:t>
      </w:r>
    </w:p>
    <w:p>
      <w:pPr>
        <w:pStyle w:val="TextBody"/>
        <w:bidi w:val="0"/>
        <w:spacing w:lineRule="auto" w:line="288" w:before="0" w:after="0"/>
        <w:ind w:left="0" w:right="0" w:hanging="270"/>
        <w:jc w:val="both"/>
        <w:rPr/>
      </w:pPr>
      <w:r>
        <w:rPr>
          <w:rFonts w:ascii="Times New Roman;serif" w:hAnsi="Times New Roman;serif"/>
          <w:b w:val="false"/>
          <w:color w:val="000000"/>
          <w:sz w:val="12"/>
        </w:rPr>
        <w:t>(5)</w:t>
      </w:r>
      <w:r>
        <w:rPr>
          <w:rFonts w:ascii="Times New Roman;serif" w:hAnsi="Times New Roman;serif"/>
          <w:b w:val="false"/>
          <w:color w:val="000000"/>
          <w:sz w:val="18"/>
        </w:rPr>
        <w:t>Primarily consists of discretionary retention incentives, severance costs and certain third-party consulting fees. The third-party consulting fees are not part of our ongoing operations and were incurred in association with a change in leadership to execute discrete, project-based strategic initiatives aimed at analyzing and summarizing growth opportunities and cost reductions for the Company. The transformative nature, narrow scope, and limited duration of these incremental consulting fees are not reflective of the ordinary course expenses incurred to operate our business. Third-party consulting fees, discretionary retention incentives and severance costs are included in General and administrative expenses on the Consolidated Statements of Comprehensive Income (Loss).</w:t>
      </w:r>
    </w:p>
    <w:p>
      <w:pPr>
        <w:pStyle w:val="TextBody"/>
        <w:bidi w:val="0"/>
        <w:spacing w:lineRule="auto" w:line="288" w:before="0" w:after="0"/>
        <w:ind w:left="0" w:right="0" w:hanging="270"/>
        <w:jc w:val="both"/>
        <w:rPr/>
      </w:pPr>
      <w:r>
        <w:rPr>
          <w:rFonts w:ascii="Times New Roman;serif" w:hAnsi="Times New Roman;serif"/>
          <w:b w:val="false"/>
          <w:color w:val="000000"/>
          <w:sz w:val="12"/>
        </w:rPr>
        <w:t>(6)</w:t>
      </w:r>
      <w:r>
        <w:rPr>
          <w:rFonts w:ascii="Times New Roman;serif" w:hAnsi="Times New Roman;serif"/>
          <w:b w:val="false"/>
          <w:color w:val="000000"/>
          <w:sz w:val="18"/>
        </w:rPr>
        <w:t>Represents costs incurred, primarily consisting of occupancy and payroll related expenses, associated with the opening of new stores. These costs are considered a “cost of new projects” as defined in our Credit Facility.</w:t>
      </w:r>
    </w:p>
    <w:p>
      <w:pPr>
        <w:pStyle w:val="TextBody"/>
        <w:bidi w:val="0"/>
        <w:spacing w:lineRule="auto" w:line="288" w:before="0" w:after="0"/>
        <w:ind w:left="0" w:right="0" w:hanging="270"/>
        <w:jc w:val="both"/>
        <w:rPr/>
      </w:pPr>
      <w:r>
        <w:rPr>
          <w:rFonts w:ascii="Times New Roman;serif" w:hAnsi="Times New Roman;serif"/>
          <w:b w:val="false"/>
          <w:color w:val="000000"/>
          <w:sz w:val="12"/>
        </w:rPr>
        <w:t>(7)</w:t>
      </w:r>
      <w:r>
        <w:rPr>
          <w:rFonts w:ascii="Times New Roman;serif" w:hAnsi="Times New Roman;serif"/>
          <w:b w:val="false"/>
          <w:color w:val="000000"/>
          <w:sz w:val="18"/>
        </w:rPr>
        <w:t>Represents other adjustments allowed under our Credit Agreement in the determination of Net Total Leverage Ratio including (i) amortization of software costs, (ii) executive search fees, (iii) public company costs, (iv) estimated impact of remodels to financial performance, (v) the pro forma impact of certain leases that were reclassified as finance leases during fiscal 2025 and (vi) the pro forma impact of certain implemented cost saving initiatives.</w:t>
      </w:r>
    </w:p>
    <w:p>
      <w:pPr>
        <w:pStyle w:val="TextBody"/>
        <w:bidi w:val="0"/>
        <w:ind w:left="0" w:right="0" w:firstLine="9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calculation of Net Total Leverage Ratio, as defined in the Credit Agreement, for the period shown: </w:t>
      </w:r>
    </w:p>
    <w:tbl>
      <w:tblPr>
        <w:tblW w:w="6150" w:type="dxa"/>
        <w:jc w:val="center"/>
        <w:tblInd w:w="0" w:type="dxa"/>
        <w:tblLayout w:type="fixed"/>
        <w:tblCellMar>
          <w:top w:w="28" w:type="dxa"/>
          <w:left w:w="28" w:type="dxa"/>
          <w:bottom w:w="28" w:type="dxa"/>
          <w:right w:w="28" w:type="dxa"/>
        </w:tblCellMar>
      </w:tblPr>
      <w:tblGrid>
        <w:gridCol w:w="902"/>
        <w:gridCol w:w="791"/>
        <w:gridCol w:w="797"/>
        <w:gridCol w:w="636"/>
        <w:gridCol w:w="2242"/>
        <w:gridCol w:w="782"/>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and for the Trailing Four Quarters Ended</w:t>
              <w:br/>
              <w:t>August 4, 2026</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Adjusted EBITDA (a)</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435.8 </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debt</w:t>
            </w:r>
            <w:r>
              <w:rPr>
                <w:color w:val="000000"/>
              </w:rPr>
              <w:t xml:space="preserve"> </w:t>
            </w:r>
            <w:r>
              <w:rPr>
                <w:rFonts w:ascii="Times New Roman;serif" w:hAnsi="Times New Roman;serif"/>
                <w:b w:val="false"/>
                <w:color w:val="000000"/>
                <w:sz w:val="12"/>
              </w:rPr>
              <w:t>(1)</w:t>
            </w:r>
          </w:p>
        </w:tc>
        <w:tc>
          <w:tcPr>
            <w:tcW w:w="287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1,540.4 </w:t>
            </w:r>
          </w:p>
        </w:tc>
        <w:tc>
          <w:tcPr>
            <w:tcW w:w="78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and cash equivalents</w:t>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Outstanding letters of credit</w:t>
            </w:r>
          </w:p>
        </w:tc>
        <w:tc>
          <w:tcPr>
            <w:tcW w:w="2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debt (b)</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1,543.3 </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Total Leverage Ratio (b / a)</w:t>
            </w:r>
          </w:p>
        </w:tc>
        <w:tc>
          <w:tcPr>
            <w:tcW w:w="287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Amount represents the sum of the carrying amount of debt outstanding and finance lease liabilities.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Net Income (Loss) and Adjusted Net Income (Loss) Per Share - Diluted: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net income (loss), a non-GAAP measure, represents net income (loss) before special items, as calculated below, and Adjusted net income (loss) per share - diluted, a non-GAAP measure, represents Adjusted net income (loss) on a fully diluted, per share basis. We believe excluding these special items from net income (loss) provides investors with a clearer perspective of our ongoing operating performance and a more relevant comparison to prior period results. The following table presents a reconciliation of net income (loss) to Adjusted net income (loss) and presents Adjusted net income (loss) per diluted share, for the periods shown:</w:t>
      </w:r>
    </w:p>
    <w:tbl>
      <w:tblPr>
        <w:tblW w:w="10205" w:type="dxa"/>
        <w:jc w:val="center"/>
        <w:tblInd w:w="0" w:type="dxa"/>
        <w:tblLayout w:type="fixed"/>
        <w:tblCellMar>
          <w:top w:w="28" w:type="dxa"/>
          <w:left w:w="28" w:type="dxa"/>
          <w:bottom w:w="28" w:type="dxa"/>
          <w:right w:w="28" w:type="dxa"/>
        </w:tblCellMar>
      </w:tblPr>
      <w:tblGrid>
        <w:gridCol w:w="1168"/>
        <w:gridCol w:w="278"/>
        <w:gridCol w:w="280"/>
        <w:gridCol w:w="196"/>
        <w:gridCol w:w="393"/>
        <w:gridCol w:w="109"/>
        <w:gridCol w:w="109"/>
        <w:gridCol w:w="109"/>
        <w:gridCol w:w="109"/>
        <w:gridCol w:w="200"/>
        <w:gridCol w:w="496"/>
        <w:gridCol w:w="111"/>
        <w:gridCol w:w="109"/>
        <w:gridCol w:w="109"/>
        <w:gridCol w:w="109"/>
        <w:gridCol w:w="196"/>
        <w:gridCol w:w="466"/>
        <w:gridCol w:w="109"/>
        <w:gridCol w:w="109"/>
        <w:gridCol w:w="109"/>
        <w:gridCol w:w="109"/>
        <w:gridCol w:w="201"/>
        <w:gridCol w:w="479"/>
        <w:gridCol w:w="112"/>
        <w:gridCol w:w="109"/>
        <w:gridCol w:w="109"/>
        <w:gridCol w:w="109"/>
        <w:gridCol w:w="196"/>
        <w:gridCol w:w="393"/>
        <w:gridCol w:w="109"/>
        <w:gridCol w:w="109"/>
        <w:gridCol w:w="109"/>
        <w:gridCol w:w="109"/>
        <w:gridCol w:w="200"/>
        <w:gridCol w:w="496"/>
        <w:gridCol w:w="111"/>
        <w:gridCol w:w="109"/>
        <w:gridCol w:w="109"/>
        <w:gridCol w:w="109"/>
        <w:gridCol w:w="196"/>
        <w:gridCol w:w="466"/>
        <w:gridCol w:w="109"/>
        <w:gridCol w:w="109"/>
        <w:gridCol w:w="109"/>
        <w:gridCol w:w="109"/>
        <w:gridCol w:w="201"/>
        <w:gridCol w:w="479"/>
        <w:gridCol w:w="166"/>
      </w:tblGrid>
      <w:tr>
        <w:trPr/>
        <w:tc>
          <w:tcPr>
            <w:tcW w:w="1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bookmarkStart w:id="0" w:name="ib4ddee40b1a9448aa1330b12f1399365_0-1-11"/>
            <w:bookmarkEnd w:id="0"/>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Diluted Share</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and net income (loss) per diluted share</w:t>
            </w:r>
          </w:p>
        </w:tc>
        <w:tc>
          <w:tcPr>
            <w:tcW w:w="6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 and integration costs </w:t>
            </w:r>
            <w:r>
              <w:rPr>
                <w:rFonts w:ascii="Times New Roman;serif" w:hAnsi="Times New Roman;serif"/>
                <w:b w:val="false"/>
                <w:color w:val="000000"/>
                <w:sz w:val="12"/>
              </w:rPr>
              <w:t>(1)</w:t>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System implementation costs </w:t>
            </w:r>
            <w:r>
              <w:rPr>
                <w:rFonts w:ascii="Times New Roman;serif" w:hAnsi="Times New Roman;serif"/>
                <w:b w:val="false"/>
                <w:color w:val="000000"/>
                <w:sz w:val="12"/>
              </w:rPr>
              <w:t>(2)</w:t>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 xml:space="preserve">Loss on property and </w:t>
            </w:r>
          </w:p>
          <w:p>
            <w:pPr>
              <w:pStyle w:val="TableContents"/>
              <w:bidi w:val="0"/>
              <w:spacing w:lineRule="auto" w:line="240" w:before="0" w:after="0"/>
              <w:jc w:val="left"/>
              <w:rPr/>
            </w:pPr>
            <w:r>
              <w:rPr>
                <w:color w:val="000000"/>
              </w:rPr>
              <w:t>           </w:t>
            </w:r>
            <w:r>
              <w:rPr>
                <w:rFonts w:ascii="Times New Roman;serif" w:hAnsi="Times New Roman;serif"/>
                <w:b w:val="false"/>
                <w:color w:val="000000"/>
                <w:sz w:val="18"/>
              </w:rPr>
              <w:t>equipment transactions</w:t>
            </w:r>
            <w:r>
              <w:rPr>
                <w:color w:val="000000"/>
              </w:rPr>
              <w:t xml:space="preserve"> </w:t>
            </w:r>
            <w:r>
              <w:rPr>
                <w:rFonts w:ascii="Times New Roman;serif" w:hAnsi="Times New Roman;serif"/>
                <w:b w:val="false"/>
                <w:color w:val="000000"/>
                <w:sz w:val="12"/>
              </w:rPr>
              <w:t>(3)</w:t>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items, net </w:t>
            </w:r>
            <w:r>
              <w:rPr>
                <w:rFonts w:ascii="Times New Roman;serif" w:hAnsi="Times New Roman;serif"/>
                <w:b w:val="false"/>
                <w:color w:val="000000"/>
                <w:sz w:val="12"/>
              </w:rPr>
              <w:t>(4)</w:t>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impact of items above, net </w:t>
            </w:r>
            <w:r>
              <w:rPr>
                <w:rFonts w:ascii="Times New Roman;serif" w:hAnsi="Times New Roman;serif"/>
                <w:b w:val="false"/>
                <w:color w:val="000000"/>
                <w:sz w:val="12"/>
              </w:rPr>
              <w:t>(5)</w:t>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(loss) and Adjusted net income (loss) per share - diluted, non-GAAP measures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See discussion of transaction and integration costs at </w:t>
      </w:r>
      <w:r>
        <w:rPr>
          <w:rFonts w:ascii="Times New Roman;serif" w:hAnsi="Times New Roman;serif"/>
          <w:b w:val="false"/>
          <w:i/>
          <w:color w:val="000000"/>
          <w:sz w:val="18"/>
        </w:rPr>
        <w:t>Adjusted EBITDA</w:t>
      </w:r>
      <w:r>
        <w:rPr>
          <w:color w:val="000000"/>
        </w:rPr>
        <w:t xml:space="preserve"> </w:t>
      </w:r>
      <w:r>
        <w:rPr>
          <w:rFonts w:ascii="Times New Roman;serif" w:hAnsi="Times New Roman;serif"/>
          <w:b w:val="false"/>
          <w:color w:val="000000"/>
          <w:sz w:val="18"/>
        </w:rPr>
        <w:t>above.</w:t>
      </w:r>
    </w:p>
    <w:p>
      <w:pPr>
        <w:pStyle w:val="TextBody"/>
        <w:bidi w:val="0"/>
        <w:spacing w:lineRule="auto" w:line="288" w:before="0" w:after="0"/>
        <w:ind w:left="0" w:right="0" w:hanging="27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See discussion of system implementation costs at </w:t>
      </w:r>
      <w:r>
        <w:rPr>
          <w:rFonts w:ascii="Times New Roman;serif" w:hAnsi="Times New Roman;serif"/>
          <w:b w:val="false"/>
          <w:i/>
          <w:color w:val="000000"/>
          <w:sz w:val="18"/>
        </w:rPr>
        <w:t>Adjusted EBITDA</w:t>
      </w:r>
      <w:r>
        <w:rPr>
          <w:color w:val="000000"/>
        </w:rPr>
        <w:t xml:space="preserve"> </w:t>
      </w:r>
      <w:r>
        <w:rPr>
          <w:rFonts w:ascii="Times New Roman;serif" w:hAnsi="Times New Roman;serif"/>
          <w:b w:val="false"/>
          <w:color w:val="000000"/>
          <w:sz w:val="18"/>
        </w:rPr>
        <w:t>above.</w:t>
      </w:r>
    </w:p>
    <w:p>
      <w:pPr>
        <w:pStyle w:val="TextBody"/>
        <w:bidi w:val="0"/>
        <w:spacing w:lineRule="auto" w:line="288" w:before="0" w:after="0"/>
        <w:ind w:left="0" w:right="0" w:hanging="270"/>
        <w:jc w:val="both"/>
        <w:rPr/>
      </w:pPr>
      <w:r>
        <w:rPr>
          <w:rFonts w:ascii="Times New Roman;serif" w:hAnsi="Times New Roman;serif"/>
          <w:b w:val="false"/>
          <w:color w:val="000000"/>
          <w:sz w:val="12"/>
        </w:rPr>
        <w:t>(3)</w:t>
      </w:r>
      <w:r>
        <w:rPr>
          <w:rFonts w:ascii="Times New Roman;serif" w:hAnsi="Times New Roman;serif"/>
          <w:b w:val="false"/>
          <w:color w:val="000000"/>
          <w:sz w:val="18"/>
        </w:rPr>
        <w:t>Loss on property and equipment transactions primarily represents the net book value of assets retired and certain costs associated with the retirement of those assets.</w:t>
      </w:r>
    </w:p>
    <w:p>
      <w:pPr>
        <w:pStyle w:val="TextBody"/>
        <w:bidi w:val="0"/>
        <w:spacing w:lineRule="auto" w:line="288" w:before="0" w:after="0"/>
        <w:ind w:left="0" w:right="0" w:hanging="27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See discussion of other items, net at </w:t>
      </w:r>
      <w:r>
        <w:rPr>
          <w:rFonts w:ascii="Times New Roman;serif" w:hAnsi="Times New Roman;serif"/>
          <w:b w:val="false"/>
          <w:i/>
          <w:color w:val="000000"/>
          <w:sz w:val="18"/>
        </w:rPr>
        <w:t>Adjusted EBITDA</w:t>
      </w:r>
      <w:r>
        <w:rPr>
          <w:color w:val="000000"/>
        </w:rPr>
        <w:t xml:space="preserve"> </w:t>
      </w:r>
      <w:r>
        <w:rPr>
          <w:rFonts w:ascii="Times New Roman;serif" w:hAnsi="Times New Roman;serif"/>
          <w:b w:val="false"/>
          <w:color w:val="000000"/>
          <w:sz w:val="18"/>
        </w:rPr>
        <w:t>above.</w:t>
      </w:r>
    </w:p>
    <w:p>
      <w:pPr>
        <w:pStyle w:val="TextBody"/>
        <w:bidi w:val="0"/>
        <w:spacing w:lineRule="auto" w:line="288"/>
        <w:ind w:left="0" w:right="0" w:hanging="270"/>
        <w:jc w:val="both"/>
        <w:rPr/>
      </w:pPr>
      <w:r>
        <w:rPr>
          <w:rFonts w:ascii="Times New Roman;serif" w:hAnsi="Times New Roman;serif"/>
          <w:b w:val="false"/>
          <w:color w:val="000000"/>
          <w:sz w:val="12"/>
        </w:rPr>
        <w:t>(5)</w:t>
      </w:r>
      <w:r>
        <w:rPr>
          <w:rFonts w:ascii="Times New Roman;serif" w:hAnsi="Times New Roman;serif"/>
          <w:b w:val="false"/>
          <w:color w:val="000000"/>
          <w:sz w:val="18"/>
        </w:rPr>
        <w:t>The income tax effect related to special items is based on the blended jurisdictional statutory tax rates for the applicable period.</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4549</Words>
  <Characters>25067</Characters>
  <CharactersWithSpaces>29133</CharactersWithSpaces>
  <Paragraphs>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