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6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May 2, 2021</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40" w:right="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320" w:type="dxa"/>
        <w:tblCellMar>
          <w:top w:w="0" w:type="dxa"/>
          <w:left w:w="0" w:type="dxa"/>
          <w:bottom w:w="0" w:type="dxa"/>
          <w:right w:w="0" w:type="dxa"/>
        </w:tblCellMar>
      </w:tblPr>
      <w:tr>
        <w:trPr>
          <w:trHeight w:val="212"/>
        </w:trPr>
        <w:tc>
          <w:tcPr>
            <w:tcW w:w="46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right"/>
              <w:ind w:right="479"/>
              <w:spacing w:after="0"/>
              <w:rPr>
                <w:sz w:val="20"/>
                <w:szCs w:val="20"/>
                <w:color w:val="auto"/>
              </w:rPr>
            </w:pPr>
            <w:r>
              <w:rPr>
                <w:rFonts w:ascii="Arial" w:cs="Arial" w:eastAsia="Arial" w:hAnsi="Arial"/>
                <w:sz w:val="18"/>
                <w:szCs w:val="18"/>
                <w:b w:val="1"/>
                <w:bCs w:val="1"/>
                <w:color w:val="auto"/>
              </w:rPr>
              <w:t>35-2382255</w:t>
            </w:r>
          </w:p>
        </w:tc>
      </w:tr>
      <w:tr>
        <w:trPr>
          <w:trHeight w:val="186"/>
        </w:trPr>
        <w:tc>
          <w:tcPr>
            <w:tcW w:w="4640" w:type="dxa"/>
            <w:vAlign w:val="bottom"/>
          </w:tcPr>
          <w:p>
            <w:pPr>
              <w:jc w:val="center"/>
              <w:ind w:right="1419"/>
              <w:spacing w:after="0"/>
              <w:rPr>
                <w:sz w:val="20"/>
                <w:szCs w:val="20"/>
                <w:color w:val="auto"/>
              </w:rPr>
            </w:pPr>
            <w:r>
              <w:rPr>
                <w:rFonts w:ascii="Arial" w:cs="Arial" w:eastAsia="Arial" w:hAnsi="Arial"/>
                <w:sz w:val="14"/>
                <w:szCs w:val="14"/>
                <w:b w:val="1"/>
                <w:bCs w:val="1"/>
                <w:color w:val="auto"/>
                <w:w w:val="94"/>
              </w:rPr>
              <w:t>(State of Incorporation)</w:t>
            </w:r>
          </w:p>
        </w:tc>
        <w:tc>
          <w:tcPr>
            <w:tcW w:w="3500" w:type="dxa"/>
            <w:vAlign w:val="bottom"/>
          </w:tcPr>
          <w:p>
            <w:pPr>
              <w:jc w:val="center"/>
              <w:ind w:left="1419"/>
              <w:spacing w:after="0"/>
              <w:rPr>
                <w:sz w:val="20"/>
                <w:szCs w:val="20"/>
                <w:color w:val="auto"/>
              </w:rPr>
            </w:pPr>
            <w:r>
              <w:rPr>
                <w:rFonts w:ascii="Arial" w:cs="Arial" w:eastAsia="Arial" w:hAnsi="Arial"/>
                <w:sz w:val="14"/>
                <w:szCs w:val="14"/>
                <w:b w:val="1"/>
                <w:bCs w:val="1"/>
                <w:color w:val="auto"/>
                <w:w w:val="98"/>
              </w:rPr>
              <w:t>(I.R.S. Employer ID)</w:t>
            </w:r>
          </w:p>
        </w:tc>
      </w:tr>
      <w:tr>
        <w:trPr>
          <w:trHeight w:val="394"/>
        </w:trPr>
        <w:tc>
          <w:tcPr>
            <w:tcW w:w="46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1"/>
              </w:rPr>
              <w:t>2481 Mañana Drive, Dallas, Texas, 75220</w:t>
            </w:r>
          </w:p>
        </w:tc>
        <w:tc>
          <w:tcPr>
            <w:tcW w:w="3500" w:type="dxa"/>
            <w:vAlign w:val="bottom"/>
          </w:tcPr>
          <w:p>
            <w:pPr>
              <w:jc w:val="right"/>
              <w:ind w:right="359"/>
              <w:spacing w:after="0"/>
              <w:rPr>
                <w:sz w:val="20"/>
                <w:szCs w:val="20"/>
                <w:color w:val="auto"/>
              </w:rPr>
            </w:pPr>
            <w:r>
              <w:rPr>
                <w:rFonts w:ascii="Arial" w:cs="Arial" w:eastAsia="Arial" w:hAnsi="Arial"/>
                <w:sz w:val="18"/>
                <w:szCs w:val="18"/>
                <w:b w:val="1"/>
                <w:bCs w:val="1"/>
                <w:color w:val="auto"/>
              </w:rPr>
              <w:t>(214) 357-9588</w:t>
            </w:r>
          </w:p>
        </w:tc>
      </w:tr>
      <w:tr>
        <w:trPr>
          <w:trHeight w:val="186"/>
        </w:trPr>
        <w:tc>
          <w:tcPr>
            <w:tcW w:w="4640" w:type="dxa"/>
            <w:vAlign w:val="bottom"/>
          </w:tcPr>
          <w:p>
            <w:pPr>
              <w:jc w:val="center"/>
              <w:ind w:right="139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3500" w:type="dxa"/>
            <w:vAlign w:val="bottom"/>
          </w:tcPr>
          <w:p>
            <w:pPr>
              <w:jc w:val="center"/>
              <w:ind w:left="1419"/>
              <w:spacing w:after="0"/>
              <w:rPr>
                <w:sz w:val="20"/>
                <w:szCs w:val="20"/>
                <w:color w:val="auto"/>
              </w:rPr>
            </w:pPr>
            <w:r>
              <w:rPr>
                <w:rFonts w:ascii="Arial" w:cs="Arial" w:eastAsia="Arial" w:hAnsi="Arial"/>
                <w:sz w:val="14"/>
                <w:szCs w:val="14"/>
                <w:b w:val="1"/>
                <w:bCs w:val="1"/>
                <w:color w:val="auto"/>
                <w:w w:val="92"/>
              </w:rPr>
              <w:t>(Registrant’s telephone number)</w:t>
            </w:r>
          </w:p>
        </w:tc>
      </w:tr>
    </w:tbl>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0" w:lineRule="exact"/>
        <w:rPr>
          <w:sz w:val="24"/>
          <w:szCs w:val="24"/>
          <w:color w:val="auto"/>
        </w:rPr>
      </w:pPr>
    </w:p>
    <w:tbl>
      <w:tblPr>
        <w:tblLayout w:type="fixed"/>
        <w:tblInd w:w="780" w:type="dxa"/>
        <w:tblCellMar>
          <w:top w:w="0" w:type="dxa"/>
          <w:left w:w="0" w:type="dxa"/>
          <w:bottom w:w="0" w:type="dxa"/>
          <w:right w:w="0" w:type="dxa"/>
        </w:tblCellMar>
      </w:tblPr>
      <w:tr>
        <w:trPr>
          <w:trHeight w:val="201"/>
        </w:trPr>
        <w:tc>
          <w:tcPr>
            <w:tcW w:w="660" w:type="dxa"/>
            <w:vAlign w:val="bottom"/>
          </w:tcPr>
          <w:p>
            <w:pPr>
              <w:spacing w:after="0"/>
              <w:rPr>
                <w:sz w:val="17"/>
                <w:szCs w:val="17"/>
                <w:color w:val="auto"/>
              </w:rPr>
            </w:pPr>
          </w:p>
        </w:tc>
        <w:tc>
          <w:tcPr>
            <w:tcW w:w="1760" w:type="dxa"/>
            <w:vAlign w:val="bottom"/>
            <w:gridSpan w:val="2"/>
          </w:tcPr>
          <w:p>
            <w:pPr>
              <w:jc w:val="center"/>
              <w:ind w:right="590"/>
              <w:spacing w:after="0"/>
              <w:rPr>
                <w:sz w:val="20"/>
                <w:szCs w:val="20"/>
                <w:color w:val="auto"/>
              </w:rPr>
            </w:pPr>
            <w:r>
              <w:rPr>
                <w:rFonts w:ascii="Arial" w:cs="Arial" w:eastAsia="Arial" w:hAnsi="Arial"/>
                <w:sz w:val="14"/>
                <w:szCs w:val="14"/>
                <w:b w:val="1"/>
                <w:bCs w:val="1"/>
                <w:color w:val="auto"/>
                <w:w w:val="89"/>
              </w:rPr>
              <w:t>Title of each class</w:t>
            </w:r>
          </w:p>
        </w:tc>
        <w:tc>
          <w:tcPr>
            <w:tcW w:w="484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4"/>
              </w:rPr>
              <w:t>Trading Symbol(s)</w:t>
            </w:r>
          </w:p>
        </w:tc>
        <w:tc>
          <w:tcPr>
            <w:tcW w:w="2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1"/>
        </w:trPr>
        <w:tc>
          <w:tcPr>
            <w:tcW w:w="660" w:type="dxa"/>
            <w:vAlign w:val="bottom"/>
          </w:tcPr>
          <w:p>
            <w:pPr>
              <w:spacing w:after="0" w:line="203" w:lineRule="exact"/>
              <w:rPr>
                <w:sz w:val="20"/>
                <w:szCs w:val="20"/>
                <w:color w:val="auto"/>
              </w:rPr>
            </w:pPr>
            <w:r>
              <w:rPr>
                <w:rFonts w:ascii="Arial" w:cs="Arial" w:eastAsia="Arial" w:hAnsi="Arial"/>
                <w:sz w:val="18"/>
                <w:szCs w:val="18"/>
                <w:b w:val="1"/>
                <w:bCs w:val="1"/>
                <w:color w:val="auto"/>
                <w:w w:val="81"/>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680" w:type="dxa"/>
            <w:vAlign w:val="bottom"/>
          </w:tcPr>
          <w:p>
            <w:pPr>
              <w:spacing w:after="0" w:line="203" w:lineRule="exact"/>
              <w:rPr>
                <w:sz w:val="20"/>
                <w:szCs w:val="20"/>
                <w:color w:val="auto"/>
              </w:rPr>
            </w:pPr>
            <w:r>
              <w:rPr>
                <w:rFonts w:ascii="Arial" w:cs="Arial" w:eastAsia="Arial" w:hAnsi="Arial"/>
                <w:sz w:val="18"/>
                <w:szCs w:val="18"/>
                <w:b w:val="1"/>
                <w:bCs w:val="1"/>
                <w:color w:val="auto"/>
                <w:w w:val="83"/>
              </w:rPr>
              <w:t>par value</w:t>
            </w:r>
          </w:p>
        </w:tc>
        <w:tc>
          <w:tcPr>
            <w:tcW w:w="196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PLAY</w:t>
            </w:r>
          </w:p>
        </w:tc>
        <w:tc>
          <w:tcPr>
            <w:tcW w:w="172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20" w:type="dxa"/>
            <w:vAlign w:val="bottom"/>
          </w:tcPr>
          <w:p>
            <w:pPr>
              <w:spacing w:after="0"/>
              <w:rPr>
                <w:sz w:val="19"/>
                <w:szCs w:val="19"/>
                <w:color w:val="auto"/>
              </w:rPr>
            </w:pPr>
          </w:p>
        </w:tc>
      </w:tr>
      <w:tr>
        <w:trPr>
          <w:trHeight w:val="306"/>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145415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3" w:lineRule="exact"/>
        <w:rPr>
          <w:sz w:val="24"/>
          <w:szCs w:val="24"/>
          <w:color w:val="auto"/>
        </w:rPr>
      </w:pPr>
    </w:p>
    <w:p>
      <w:pPr>
        <w:ind w:left="120" w:right="80" w:firstLine="440"/>
        <w:spacing w:after="0" w:line="225"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Indicate by checkmark whether the registrant has submitted electronically every Interactive Data File required to be submitted pursuant to Rule</w:t>
      </w:r>
    </w:p>
    <w:p>
      <w:pPr>
        <w:spacing w:after="0" w:line="38" w:lineRule="exact"/>
        <w:rPr>
          <w:sz w:val="24"/>
          <w:szCs w:val="24"/>
          <w:color w:val="auto"/>
        </w:rPr>
      </w:pPr>
    </w:p>
    <w:p>
      <w:pPr>
        <w:ind w:left="120" w:right="60"/>
        <w:spacing w:after="0" w:line="226" w:lineRule="exact"/>
        <w:rPr>
          <w:sz w:val="20"/>
          <w:szCs w:val="20"/>
          <w:color w:val="auto"/>
        </w:rPr>
      </w:pPr>
      <w:r>
        <w:rPr>
          <w:rFonts w:ascii="Arial" w:cs="Arial" w:eastAsia="Arial" w:hAnsi="Arial"/>
          <w:sz w:val="18"/>
          <w:szCs w:val="18"/>
          <w:color w:val="auto"/>
        </w:rPr>
        <w:t xml:space="preserve">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4" w:lineRule="exact"/>
        <w:rPr>
          <w:sz w:val="24"/>
          <w:szCs w:val="24"/>
          <w:color w:val="auto"/>
        </w:rPr>
      </w:pPr>
    </w:p>
    <w:p>
      <w:pPr>
        <w:ind w:left="120" w:right="12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440" w:firstLine="440"/>
        <w:spacing w:after="0" w:line="294"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June 4, 2021, the registrant had 48,157,786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 FOR QUARTERLY PERIOD ENDED MAY 2,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400" w:type="dxa"/>
            <w:vAlign w:val="bottom"/>
            <w:gridSpan w:val="4"/>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860" w:type="dxa"/>
            <w:vAlign w:val="bottom"/>
            <w:vMerge w:val="continue"/>
          </w:tcPr>
          <w:p>
            <w:pPr>
              <w:spacing w:after="0"/>
              <w:rPr>
                <w:sz w:val="13"/>
                <w:szCs w:val="13"/>
                <w:color w:val="auto"/>
              </w:rPr>
            </w:pPr>
          </w:p>
        </w:tc>
        <w:tc>
          <w:tcPr>
            <w:tcW w:w="2400" w:type="dxa"/>
            <w:vAlign w:val="bottom"/>
            <w:tcBorders>
              <w:bottom w:val="single" w:sz="8" w:color="0000EE"/>
            </w:tcBorders>
            <w:gridSpan w:val="8"/>
            <w:vMerge w:val="continue"/>
          </w:tcPr>
          <w:p>
            <w:pPr>
              <w:spacing w:after="0"/>
              <w:rPr>
                <w:sz w:val="13"/>
                <w:szCs w:val="13"/>
                <w:color w:val="auto"/>
              </w:rPr>
            </w:pPr>
          </w:p>
        </w:tc>
        <w:tc>
          <w:tcPr>
            <w:tcW w:w="740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54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gridSpan w:val="1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77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17"/>
                <w:szCs w:val="17"/>
                <w:color w:val="auto"/>
              </w:rPr>
            </w:pPr>
          </w:p>
        </w:tc>
        <w:tc>
          <w:tcPr>
            <w:tcW w:w="54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Signatures</w:t>
              </w:r>
            </w:hyperlink>
          </w:p>
        </w:tc>
        <w:tc>
          <w:tcPr>
            <w:tcW w:w="90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460" w:type="dxa"/>
            <w:vAlign w:val="bottom"/>
            <w:gridSpan w:val="11"/>
          </w:tcPr>
          <w:p>
            <w:pPr>
              <w:ind w:left="4600"/>
              <w:spacing w:after="0"/>
              <w:rPr>
                <w:sz w:val="20"/>
                <w:szCs w:val="20"/>
                <w:color w:val="auto"/>
              </w:rPr>
            </w:pPr>
            <w:r>
              <w:rPr>
                <w:rFonts w:ascii="Arial" w:cs="Arial" w:eastAsia="Arial" w:hAnsi="Arial"/>
                <w:sz w:val="18"/>
                <w:szCs w:val="18"/>
                <w:color w:val="auto"/>
              </w:rPr>
              <w:t>2</w:t>
            </w: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580" w:type="dxa"/>
            <w:vAlign w:val="bottom"/>
          </w:tcPr>
          <w:p>
            <w:pPr>
              <w:jc w:val="center"/>
              <w:ind w:left="85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tcPr>
          <w:p>
            <w:pPr>
              <w:jc w:val="center"/>
              <w:ind w:left="870"/>
              <w:spacing w:after="0"/>
              <w:rPr>
                <w:sz w:val="20"/>
                <w:szCs w:val="20"/>
                <w:color w:val="auto"/>
              </w:rPr>
            </w:pPr>
            <w:r>
              <w:rPr>
                <w:rFonts w:ascii="Arial" w:cs="Arial" w:eastAsia="Arial" w:hAnsi="Arial"/>
                <w:sz w:val="18"/>
                <w:szCs w:val="18"/>
                <w:b w:val="1"/>
                <w:bCs w:val="1"/>
                <w:color w:val="auto"/>
              </w:rPr>
              <w:t>DAVE &amp; BUSTER’S ENTERTAINMENT, INC.</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58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80" w:type="dxa"/>
            <w:vAlign w:val="bottom"/>
          </w:tcPr>
          <w:p>
            <w:pPr>
              <w:jc w:val="center"/>
              <w:ind w:left="870"/>
              <w:spacing w:after="0"/>
              <w:rPr>
                <w:sz w:val="20"/>
                <w:szCs w:val="20"/>
                <w:color w:val="auto"/>
              </w:rPr>
            </w:pPr>
            <w:r>
              <w:rPr>
                <w:rFonts w:ascii="Arial" w:cs="Arial" w:eastAsia="Arial" w:hAnsi="Arial"/>
                <w:sz w:val="18"/>
                <w:szCs w:val="18"/>
                <w:color w:val="auto"/>
                <w:w w:val="87"/>
              </w:rPr>
              <w:t>(in thousands, except share and per share amounts)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May 2,</w:t>
            </w:r>
          </w:p>
        </w:tc>
        <w:tc>
          <w:tcPr>
            <w:tcW w:w="8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January 31,</w:t>
            </w:r>
          </w:p>
        </w:tc>
      </w:tr>
      <w:tr>
        <w:trPr>
          <w:trHeight w:val="171"/>
        </w:trPr>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r>
      <w:tr>
        <w:trPr>
          <w:trHeight w:val="142"/>
        </w:trPr>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1"/>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r>
      <w:tr>
        <w:trPr>
          <w:trHeight w:val="216"/>
        </w:trPr>
        <w:tc>
          <w:tcPr>
            <w:tcW w:w="1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580" w:type="dxa"/>
            <w:vAlign w:val="bottom"/>
            <w:shd w:val="clear" w:color="auto" w:fill="CCEEFF"/>
          </w:tcPr>
          <w:p>
            <w:pPr>
              <w:jc w:val="center"/>
              <w:ind w:right="115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6"/>
              </w:rPr>
              <w:t>Current assets:</w:t>
            </w:r>
          </w:p>
        </w:tc>
        <w:tc>
          <w:tcPr>
            <w:tcW w:w="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11,891</w:t>
            </w:r>
          </w:p>
        </w:tc>
      </w:tr>
      <w:tr>
        <w:trPr>
          <w:trHeight w:val="216"/>
        </w:trPr>
        <w:tc>
          <w:tcPr>
            <w:tcW w:w="120" w:type="dxa"/>
            <w:vAlign w:val="bottom"/>
          </w:tcPr>
          <w:p>
            <w:pPr>
              <w:spacing w:after="0"/>
              <w:rPr>
                <w:sz w:val="18"/>
                <w:szCs w:val="18"/>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93"/>
              </w:rPr>
              <w:t>Inventories</w:t>
            </w:r>
          </w:p>
        </w:tc>
        <w:tc>
          <w:tcPr>
            <w:tcW w:w="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23,807</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11,878</w:t>
            </w:r>
          </w:p>
        </w:tc>
      </w:tr>
      <w:tr>
        <w:trPr>
          <w:trHeight w:val="216"/>
        </w:trPr>
        <w:tc>
          <w:tcPr>
            <w:tcW w:w="120" w:type="dxa"/>
            <w:vAlign w:val="bottom"/>
          </w:tcPr>
          <w:p>
            <w:pPr>
              <w:spacing w:after="0"/>
              <w:rPr>
                <w:sz w:val="18"/>
                <w:szCs w:val="18"/>
                <w:color w:val="auto"/>
              </w:rPr>
            </w:pPr>
          </w:p>
        </w:tc>
        <w:tc>
          <w:tcPr>
            <w:tcW w:w="8820" w:type="dxa"/>
            <w:vAlign w:val="bottom"/>
            <w:gridSpan w:val="3"/>
          </w:tcPr>
          <w:p>
            <w:pPr>
              <w:ind w:left="36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70,064</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r>
      <w:tr>
        <w:trPr>
          <w:trHeight w:val="27"/>
        </w:trPr>
        <w:tc>
          <w:tcPr>
            <w:tcW w:w="120" w:type="dxa"/>
            <w:vAlign w:val="bottom"/>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820" w:type="dxa"/>
            <w:vAlign w:val="bottom"/>
            <w:gridSpan w:val="3"/>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118,871</w:t>
            </w:r>
          </w:p>
        </w:tc>
      </w:tr>
      <w:tr>
        <w:trPr>
          <w:trHeight w:val="202"/>
        </w:trPr>
        <w:tc>
          <w:tcPr>
            <w:tcW w:w="120" w:type="dxa"/>
            <w:vAlign w:val="bottom"/>
          </w:tcPr>
          <w:p>
            <w:pPr>
              <w:spacing w:after="0"/>
              <w:rPr>
                <w:sz w:val="17"/>
                <w:szCs w:val="17"/>
                <w:color w:val="auto"/>
              </w:rPr>
            </w:pPr>
          </w:p>
        </w:tc>
        <w:tc>
          <w:tcPr>
            <w:tcW w:w="8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Property and equipment (net of $832,079 and $798,804 accumulated depreciation as of May 2, 2021 and January 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8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2021, respectively)</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792,296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815,027</w:t>
            </w:r>
          </w:p>
        </w:tc>
      </w:tr>
      <w:tr>
        <w:trPr>
          <w:trHeight w:val="216"/>
        </w:trPr>
        <w:tc>
          <w:tcPr>
            <w:tcW w:w="1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1,029,315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1,037,569</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5,874</w:t>
            </w:r>
          </w:p>
        </w:tc>
      </w:tr>
      <w:tr>
        <w:trPr>
          <w:trHeight w:val="216"/>
        </w:trPr>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Tradenames</w:t>
            </w:r>
          </w:p>
        </w:tc>
        <w:tc>
          <w:tcPr>
            <w:tcW w:w="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79,000</w:t>
            </w:r>
          </w:p>
        </w:tc>
      </w:tr>
      <w:tr>
        <w:trPr>
          <w:trHeight w:val="216"/>
        </w:trPr>
        <w:tc>
          <w:tcPr>
            <w:tcW w:w="1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272,597</w:t>
            </w:r>
          </w:p>
        </w:tc>
      </w:tr>
      <w:tr>
        <w:trPr>
          <w:trHeight w:val="223"/>
        </w:trPr>
        <w:tc>
          <w:tcPr>
            <w:tcW w:w="120" w:type="dxa"/>
            <w:vAlign w:val="bottom"/>
          </w:tcPr>
          <w:p>
            <w:pPr>
              <w:spacing w:after="0"/>
              <w:rPr>
                <w:sz w:val="19"/>
                <w:szCs w:val="19"/>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Other assets and deferred charges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23,886</w:t>
            </w:r>
          </w:p>
        </w:tc>
      </w:tr>
      <w:tr>
        <w:trPr>
          <w:trHeight w:val="256"/>
        </w:trPr>
        <w:tc>
          <w:tcPr>
            <w:tcW w:w="120" w:type="dxa"/>
            <w:vAlign w:val="bottom"/>
          </w:tcPr>
          <w:p>
            <w:pPr>
              <w:spacing w:after="0"/>
              <w:rPr>
                <w:sz w:val="22"/>
                <w:szCs w:val="22"/>
                <w:color w:val="auto"/>
              </w:rPr>
            </w:pP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Total assets</w:t>
            </w:r>
          </w:p>
        </w:tc>
        <w:tc>
          <w:tcPr>
            <w:tcW w:w="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2,317,975</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2,352,824</w:t>
            </w:r>
          </w:p>
        </w:tc>
        <w:tc>
          <w:tcPr>
            <w:tcW w:w="120" w:type="dxa"/>
            <w:vAlign w:val="bottom"/>
            <w:shd w:val="clear" w:color="auto" w:fill="CCEEFF"/>
          </w:tcPr>
          <w:p>
            <w:pPr>
              <w:spacing w:after="0"/>
              <w:rPr>
                <w:sz w:val="22"/>
                <w:szCs w:val="22"/>
                <w:color w:val="auto"/>
              </w:rPr>
            </w:pPr>
          </w:p>
        </w:tc>
      </w:tr>
      <w:tr>
        <w:trPr>
          <w:trHeight w:val="210"/>
        </w:trPr>
        <w:tc>
          <w:tcPr>
            <w:tcW w:w="120" w:type="dxa"/>
            <w:vAlign w:val="bottom"/>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jc w:val="center"/>
              <w:ind w:right="115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2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39,418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36,400</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234,790</w:t>
            </w:r>
          </w:p>
        </w:tc>
      </w:tr>
      <w:tr>
        <w:trPr>
          <w:trHeight w:val="223"/>
        </w:trPr>
        <w:tc>
          <w:tcPr>
            <w:tcW w:w="120" w:type="dxa"/>
            <w:vAlign w:val="bottom"/>
          </w:tcPr>
          <w:p>
            <w:pPr>
              <w:spacing w:after="0"/>
              <w:rPr>
                <w:sz w:val="19"/>
                <w:szCs w:val="19"/>
                <w:color w:val="auto"/>
              </w:rPr>
            </w:pPr>
          </w:p>
        </w:tc>
        <w:tc>
          <w:tcPr>
            <w:tcW w:w="8820" w:type="dxa"/>
            <w:vAlign w:val="bottom"/>
            <w:gridSpan w:val="3"/>
          </w:tcPr>
          <w:p>
            <w:pPr>
              <w:ind w:left="3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271,636</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13,658</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1,258,169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1,267,791</w:t>
            </w:r>
          </w:p>
        </w:tc>
      </w:tr>
      <w:tr>
        <w:trPr>
          <w:trHeight w:val="216"/>
        </w:trPr>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9"/>
              </w:rPr>
              <w:t>Other liabilities</w:t>
            </w:r>
          </w:p>
        </w:tc>
        <w:tc>
          <w:tcPr>
            <w:tcW w:w="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50,119</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596,388</w:t>
            </w:r>
          </w:p>
        </w:tc>
      </w:tr>
      <w:tr>
        <w:trPr>
          <w:trHeight w:val="216"/>
        </w:trPr>
        <w:tc>
          <w:tcPr>
            <w:tcW w:w="1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882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4"/>
              </w:rPr>
              <w:t>Common stock, par value $0.01; authorized: 400,000,000 shares; issued: 60,691,906 shares at May 2, 2021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8820" w:type="dxa"/>
            <w:vAlign w:val="bottom"/>
            <w:gridSpan w:val="3"/>
          </w:tcPr>
          <w:p>
            <w:pPr>
              <w:ind w:left="540"/>
              <w:spacing w:after="0"/>
              <w:rPr>
                <w:sz w:val="20"/>
                <w:szCs w:val="20"/>
                <w:color w:val="auto"/>
              </w:rPr>
            </w:pPr>
            <w:r>
              <w:rPr>
                <w:rFonts w:ascii="Arial" w:cs="Arial" w:eastAsia="Arial" w:hAnsi="Arial"/>
                <w:sz w:val="18"/>
                <w:szCs w:val="18"/>
                <w:color w:val="auto"/>
                <w:w w:val="90"/>
              </w:rPr>
              <w:t>60,488,833 shares at January 31, 2021; outstanding: 47,844,608 shares at May 2, 2021 and 47,646,606 shares at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8820" w:type="dxa"/>
            <w:vAlign w:val="bottom"/>
            <w:gridSpan w:val="3"/>
          </w:tcPr>
          <w:p>
            <w:pPr>
              <w:ind w:left="540"/>
              <w:spacing w:after="0"/>
              <w:rPr>
                <w:sz w:val="20"/>
                <w:szCs w:val="20"/>
                <w:color w:val="auto"/>
              </w:rPr>
            </w:pPr>
            <w:r>
              <w:rPr>
                <w:rFonts w:ascii="Arial" w:cs="Arial" w:eastAsia="Arial" w:hAnsi="Arial"/>
                <w:sz w:val="18"/>
                <w:szCs w:val="18"/>
                <w:color w:val="auto"/>
              </w:rPr>
              <w:t>January 31, 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50,000,000 authorized; none issued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8820" w:type="dxa"/>
            <w:vAlign w:val="bottom"/>
            <w:gridSpan w:val="3"/>
          </w:tcPr>
          <w:p>
            <w:pPr>
              <w:ind w:left="36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535,768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531,191</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Treasury stock, 12,847,298 and 12,842,227 shares as of May 2, 2021 and January 31, 2021, respectively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(596,206 )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(595,970)</w:t>
            </w:r>
          </w:p>
        </w:tc>
      </w:tr>
      <w:tr>
        <w:trPr>
          <w:trHeight w:val="216"/>
        </w:trPr>
        <w:tc>
          <w:tcPr>
            <w:tcW w:w="120" w:type="dxa"/>
            <w:vAlign w:val="bottom"/>
          </w:tcPr>
          <w:p>
            <w:pPr>
              <w:spacing w:after="0"/>
              <w:rPr>
                <w:sz w:val="18"/>
                <w:szCs w:val="18"/>
                <w:color w:val="auto"/>
              </w:rPr>
            </w:pPr>
          </w:p>
        </w:tc>
        <w:tc>
          <w:tcPr>
            <w:tcW w:w="882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(7,653 )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(9,085)</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226,491</w:t>
            </w:r>
          </w:p>
        </w:tc>
      </w:tr>
      <w:tr>
        <w:trPr>
          <w:trHeight w:val="27"/>
        </w:trPr>
        <w:tc>
          <w:tcPr>
            <w:tcW w:w="120" w:type="dxa"/>
            <w:vAlign w:val="bottom"/>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120" w:type="dxa"/>
            <w:vAlign w:val="bottom"/>
          </w:tcPr>
          <w:p>
            <w:pPr>
              <w:spacing w:after="0"/>
              <w:rPr>
                <w:sz w:val="19"/>
                <w:szCs w:val="19"/>
                <w:color w:val="auto"/>
              </w:rPr>
            </w:pPr>
          </w:p>
        </w:tc>
        <w:tc>
          <w:tcPr>
            <w:tcW w:w="882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178,642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153,232</w:t>
            </w:r>
          </w:p>
        </w:tc>
      </w:tr>
      <w:tr>
        <w:trPr>
          <w:trHeight w:val="216"/>
        </w:trPr>
        <w:tc>
          <w:tcPr>
            <w:tcW w:w="120" w:type="dxa"/>
            <w:vAlign w:val="bottom"/>
          </w:tcPr>
          <w:p>
            <w:pPr>
              <w:spacing w:after="0"/>
              <w:rPr>
                <w:sz w:val="18"/>
                <w:szCs w:val="18"/>
                <w:color w:val="auto"/>
              </w:rPr>
            </w:pPr>
          </w:p>
        </w:tc>
        <w:tc>
          <w:tcPr>
            <w:tcW w:w="8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2,317,975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2,352,824</w:t>
            </w:r>
          </w:p>
        </w:tc>
        <w:tc>
          <w:tcPr>
            <w:tcW w:w="12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73"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60" w:right="182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(LOSS)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2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May 2, 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May 3, 2020</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179,582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95,886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159,806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43,737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95,672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35,099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35,352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(61,413)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(67,528)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(23,984)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(43,544)</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Unrealized foreign currency translation gain (loss)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derivatives, net of tax</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Total other comprehensive income (loss)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 (loss)</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(48,928)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100" w:type="dxa"/>
            <w:vAlign w:val="bottom"/>
            <w:gridSpan w:val="2"/>
          </w:tcPr>
          <w:p>
            <w:pPr>
              <w:ind w:left="20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47,695,705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31,829,985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49,331,092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31,829,985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2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STOCKHOLDERS’ EQUITY (UNAUDITED) </w:t>
      </w:r>
      <w:r>
        <w:rPr>
          <w:rFonts w:ascii="Arial" w:cs="Arial" w:eastAsia="Arial" w:hAnsi="Arial"/>
          <w:sz w:val="18"/>
          <w:szCs w:val="18"/>
          <w:color w:val="auto"/>
        </w:rPr>
        <w:t>(in thousands, except share amounts)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w w:val="94"/>
              </w:rPr>
              <w:t>Thirteen Weeks Ended May 2, 2021</w:t>
            </w: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9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940" w:type="dxa"/>
            <w:vAlign w:val="bottom"/>
            <w:gridSpan w:val="7"/>
          </w:tcPr>
          <w:p>
            <w:pPr>
              <w:ind w:left="180"/>
              <w:spacing w:after="0"/>
              <w:rPr>
                <w:sz w:val="20"/>
                <w:szCs w:val="20"/>
                <w:color w:val="auto"/>
              </w:rPr>
            </w:pPr>
            <w:r>
              <w:rPr>
                <w:rFonts w:ascii="Arial" w:cs="Arial" w:eastAsia="Arial" w:hAnsi="Arial"/>
                <w:sz w:val="14"/>
                <w:szCs w:val="14"/>
                <w:b w:val="1"/>
                <w:bCs w:val="1"/>
                <w:color w:val="auto"/>
              </w:rPr>
              <w:t>Treasury Stock At Cost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gridSpan w:val="2"/>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vMerge w:val="restart"/>
          </w:tcPr>
          <w:p>
            <w:pPr>
              <w:jc w:val="center"/>
              <w:ind w:right="181"/>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Amt.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6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81"/>
              <w:spacing w:after="0" w:line="142" w:lineRule="exact"/>
              <w:rPr>
                <w:sz w:val="20"/>
                <w:szCs w:val="20"/>
                <w:color w:val="auto"/>
              </w:rPr>
            </w:pPr>
            <w:r>
              <w:rPr>
                <w:rFonts w:ascii="Arial" w:cs="Arial" w:eastAsia="Arial" w:hAnsi="Arial"/>
                <w:sz w:val="14"/>
                <w:szCs w:val="14"/>
                <w:b w:val="1"/>
                <w:bCs w:val="1"/>
                <w:color w:val="auto"/>
              </w:rPr>
              <w:t>Amt.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31, 2021</w:t>
            </w: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60,488,833</w:t>
            </w:r>
          </w:p>
        </w:tc>
        <w:tc>
          <w:tcPr>
            <w:tcW w:w="6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$ 605</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9"/>
              </w:rPr>
              <w:t>$ 531,191</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12,842,227</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 (595,970)</w:t>
            </w:r>
          </w:p>
        </w:tc>
        <w:tc>
          <w:tcPr>
            <w:tcW w:w="3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(9,085)</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2"/>
              </w:rPr>
              <w:t>$ 226,491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$ 153,232</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19,635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19,635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foreign currency translation gain</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Unrealized gain on derivatives, net of tax</w:t>
            </w:r>
          </w:p>
        </w:tc>
        <w:tc>
          <w:tcPr>
            <w:tcW w:w="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2,971</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203,073</w:t>
            </w:r>
          </w:p>
        </w:tc>
        <w:tc>
          <w:tcPr>
            <w:tcW w:w="620" w:type="dxa"/>
            <w:vAlign w:val="bottom"/>
            <w:gridSpan w:val="5"/>
          </w:tcPr>
          <w:p>
            <w:pPr>
              <w:jc w:val="right"/>
              <w:ind w:right="80"/>
              <w:spacing w:after="0"/>
              <w:rPr>
                <w:sz w:val="20"/>
                <w:szCs w:val="20"/>
                <w:color w:val="auto"/>
              </w:rPr>
            </w:pPr>
            <w:r>
              <w:rPr>
                <w:rFonts w:ascii="Arial" w:cs="Arial" w:eastAsia="Arial" w:hAnsi="Arial"/>
                <w:sz w:val="18"/>
                <w:szCs w:val="18"/>
                <w:color w:val="auto"/>
              </w:rPr>
              <w:t>2</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1,606</w:t>
            </w:r>
          </w:p>
        </w:tc>
        <w:tc>
          <w:tcPr>
            <w:tcW w:w="60" w:type="dxa"/>
            <w:vAlign w:val="bottom"/>
          </w:tcPr>
          <w:p>
            <w:pPr>
              <w:spacing w:after="0"/>
              <w:rPr>
                <w:sz w:val="18"/>
                <w:szCs w:val="18"/>
                <w:color w:val="auto"/>
              </w:rPr>
            </w:pPr>
          </w:p>
        </w:tc>
        <w:tc>
          <w:tcPr>
            <w:tcW w:w="98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5,071</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b w:val="1"/>
                <w:bCs w:val="1"/>
                <w:color w:val="auto"/>
              </w:rPr>
              <w:t>Balance May 2, 2021</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60,691,906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$ 607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$ 535,768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12,847,298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(596,206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$ 246,126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$ 178,642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95"/>
              </w:rPr>
              <w:t>Thirteen Weeks Ended May 3, 2020</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Paid-In</w:t>
            </w:r>
          </w:p>
        </w:tc>
        <w:tc>
          <w:tcPr>
            <w:tcW w:w="1940" w:type="dxa"/>
            <w:vAlign w:val="bottom"/>
            <w:gridSpan w:val="7"/>
          </w:tcPr>
          <w:p>
            <w:pPr>
              <w:ind w:left="140"/>
              <w:spacing w:after="0"/>
              <w:rPr>
                <w:sz w:val="20"/>
                <w:szCs w:val="20"/>
                <w:color w:val="auto"/>
              </w:rPr>
            </w:pPr>
            <w:r>
              <w:rPr>
                <w:rFonts w:ascii="Arial" w:cs="Arial" w:eastAsia="Arial" w:hAnsi="Arial"/>
                <w:sz w:val="14"/>
                <w:szCs w:val="14"/>
                <w:b w:val="1"/>
                <w:bCs w:val="1"/>
                <w:color w:val="auto"/>
              </w:rPr>
              <w:t>Treasury Stock At Cost</w:t>
            </w:r>
          </w:p>
        </w:tc>
        <w:tc>
          <w:tcPr>
            <w:tcW w:w="40" w:type="dxa"/>
            <w:vAlign w:val="bottom"/>
          </w:tcPr>
          <w:p>
            <w:pPr>
              <w:spacing w:after="0"/>
              <w:rPr>
                <w:sz w:val="16"/>
                <w:szCs w:val="16"/>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4"/>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Amt.</w:t>
            </w:r>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Capital</w:t>
            </w: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Amt.</w:t>
            </w: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3"/>
          </w:tcPr>
          <w:p>
            <w:pPr>
              <w:jc w:val="center"/>
              <w:ind w:right="520"/>
              <w:spacing w:after="0" w:line="155"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8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February 2, 2020</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43,386,852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$ 339,161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12,783,512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(595,041)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$ 433,465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$ 169,650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(43,544)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(43,544)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9"/>
              </w:rPr>
              <w:t>Unrealized foreign currency translation loss</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Unrealized loss on derivatives, net of tax</w:t>
            </w: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(4,949)</w:t>
            </w:r>
          </w:p>
        </w:tc>
        <w:tc>
          <w:tcPr>
            <w:tcW w:w="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6,191,499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72,276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72,338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w:t>
            </w: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b w:val="1"/>
                <w:bCs w:val="1"/>
                <w:color w:val="auto"/>
              </w:rPr>
              <w:t>Balance May 3, 2020</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49,578,351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$ 496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$ 411,048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12,786,624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(595,077</w:t>
            </w:r>
          </w:p>
        </w:tc>
        <w:tc>
          <w:tcPr>
            <w:tcW w:w="160" w:type="dxa"/>
            <w:vAlign w:val="bottom"/>
            <w:gridSpan w:val="2"/>
          </w:tcPr>
          <w:p>
            <w:pPr>
              <w:jc w:val="right"/>
              <w:ind w:right="2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(13,753</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$ 389,921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$ 192,635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r>
      <w:tr>
        <w:trPr>
          <w:trHeight w:val="148"/>
        </w:trPr>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5"/>
              </w:rPr>
              <w:t>May 2, 2021</w:t>
            </w: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May 3, 2020</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(43,544)</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35,099</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35,352</w:t>
            </w: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11,549</w:t>
            </w: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1,828</w:t>
            </w: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(20,910)</w:t>
            </w: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w:t>
            </w: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Other assets and deferred charges</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21,441</w:t>
            </w: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8,667</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11,647</w:t>
            </w: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(1,847)</w:t>
            </w: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r>
      <w:tr>
        <w:trPr>
          <w:trHeight w:val="27"/>
        </w:trPr>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16,817</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(55,168)</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7"/>
        </w:trPr>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(55,150)</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138,000</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Payments of debt</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(34,750)</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the issuance of common stock</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72,144</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(4,891)</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7"/>
        </w:trPr>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(58,628)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170,511</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8,263</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132,178</w:t>
            </w:r>
          </w:p>
        </w:tc>
        <w:tc>
          <w:tcPr>
            <w:tcW w:w="12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24,655</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156,833</w:t>
            </w:r>
          </w:p>
        </w:tc>
        <w:tc>
          <w:tcPr>
            <w:tcW w:w="12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Increase (decrease) in fixed asset 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(7,717)</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(refund received) for income taxes,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Cash paid for interest, net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22,525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5,574</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2540"/>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Dallas, Texas, is a leading operator of high-volume entertainment and dining venues (“stores”) in North America for adults and families under the name “Dave &amp; Buster’s”. The Company operates its business as one operating and one reportable segment. During the thirteen weeks ended May 2, 2021, we opened one new store located in Gainesville, Florida. As of May 2, 2021, we owned and operated 141 stores located in 40 states, Puerto Rico and one Canadian province.</w:t>
      </w:r>
    </w:p>
    <w:p>
      <w:pPr>
        <w:spacing w:after="0" w:line="166"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Company operates on a 52 or 53-week fiscal year that ends on the Sunday after the Saturday closest to January 31. Each quarterly period reported has 13 weeks. Fiscal 2021 and 2020, which end on January 30, 2022 and January 31, 2021, respectively, contain 52 weeks.</w:t>
      </w:r>
    </w:p>
    <w:p>
      <w:pPr>
        <w:spacing w:after="0" w:line="124"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31, 2021, included in our Annual Report on Form 10-K as filed with the SEC.</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COVID-19 Considerations </w:t>
      </w:r>
      <w:r>
        <w:rPr>
          <w:rFonts w:ascii="Arial" w:cs="Arial" w:eastAsia="Arial" w:hAnsi="Arial"/>
          <w:sz w:val="18"/>
          <w:szCs w:val="18"/>
          <w:color w:val="auto"/>
        </w:rPr>
        <w:t>— On March 11, 2020, the World Health Organization declared the COVID-19 outbreak to be a global pandemic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businesses, some of which allowed To-Go or curbside service only while others limited capacity in the dining room or midway. By March 20, 2020, all of our 137 operating stores were temporarily closed.</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April 30, 2020, our first store re-opened to the public, as state and local guidelines began to allow dining rooms and arcades to open at limited capacity and/or limited hours of operation. By the end of fiscal 2020, we had re-opened an additional 101 stores with limited operations. Many of these stores that were re-opened in limited capacity were required to temporarily close again in areas more severely impacted by the COVID-19 pandemic, particularly during the fourth quarter holiday season. The Company also opened five new stores in the second half of the fiscal year, all of which commenced construction prior to the outbreak of the COVID-19 pandemic. As of January 31, 2021, 107 of our 140 stores were open and operating in limited capacity.</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During the first quarter of fiscal 2021, the Company re-opened 31 additional stores and one new store opened on February 8, 2021. One store that was open at the end of fiscal 2020 was temporarily re-closed in an area impacted by a localized resurgence, resulting in 138 of our 141 stores open and operating in some capacity as of the end of our first quarter.</w:t>
      </w:r>
    </w:p>
    <w:p>
      <w:pPr>
        <w:spacing w:after="0" w:line="18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As stores were re-opened during fiscal 2020, typically in limited capacity, the Company reduced labor and other operating costs. During fiscal 2020, the Company also negotiated with landlords and other vendors to negotiate relief from cash payments under existing lease and trade payable obligations, extending or reducing payment terms with several vendors. Regarding negotiations with landlords, a total of 126 initial rent relief agreements related to our operating locations and corporate headquarters were executed during fiscal 2020, which generally provided for rent deferrals on all or a portion of rent for up to six months. As the COVID-19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the first quarter of fiscal 2021, the Company had executed 86 of these additional rent relief agreements.</w:t>
      </w:r>
    </w:p>
    <w:p>
      <w:pPr>
        <w:spacing w:after="0" w:line="17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to reducing or deferring expenditures, including capital expenditures and discretionary spending, during fiscal 2020, the Company obtained additional liquidity through the sale of common stock, which resulted in net proceeds of $182,207. On October 27, 2020, D&amp;B Inc completed the private sale of $550,000 in aggregate principal amount of 7.625% senior secured notes due 2025. At the same time, the revolving credit commitments under our existing credit facility were extended through August 17, 2024, and the suspension of our financial ratio covenants was extended until the last day of the first quarter of fiscal year 2022. See Note 3, Debt, for more information on these transactions.</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8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measures taken by the Company as well as the re-opening of the majority of our stores, although many remain at limited capacity, provide sufficient liquidity to meet estimated cash flow needs and covenant compliance obligations for at least the next twelve months from the issuance of the financial statements. We cannot predict whether, when or the manner in which the conditions surrounding COVID-19 will change including the timing of lifting remaining restrictions, customer re-engagement with our brand, or possible re-closures of our currently open stores.</w:t>
      </w:r>
    </w:p>
    <w:p>
      <w:pPr>
        <w:spacing w:after="0" w:line="17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weeks ended May 2, 2021 are not necessarily indicative of results that may be expected for any other interim period or for the fiscal year ending January 30, 2022.</w:t>
      </w:r>
    </w:p>
    <w:p>
      <w:pPr>
        <w:spacing w:after="0" w:line="15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 We consider transaction settlements in process from credit card companies and all highly-liquid investments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$11,196 and $8,168 are presented in “Accounts payable” in the Consolidated Balance Sheets as of May 2, 2021 and January 31, 2021, respectively. Changes in the book overdraft position are presented within “Net cash provided by (used in) operating activities” within the Consolidated Statements of Cash Flows.</w:t>
      </w:r>
    </w:p>
    <w:p>
      <w:pPr>
        <w:spacing w:after="0" w:line="17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that would be received to sell an asset or paid to transfer a liability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 The fair value of our revolving credit facility was $62,114 at January 31, 2021, and the fair value of our senior secured notes was $588,775 and $576,033 at May 2, 2021 and January 31, 2021, respectively. The fair value of the Company’s debt is determined based on a discounted cash flow method, using a sector-specific yield curve based on market-derived, trade price data as of the measurement date, and is classified as a Level Two input within the fair value hierarchy.</w:t>
      </w:r>
    </w:p>
    <w:p>
      <w:pPr>
        <w:spacing w:after="0" w:line="17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 also measures certain non-financial assets (primarily property and equipment, right-of-use (“ROU”) assets, goodwill, tradenames and other assets) at fair value on a non-recurring basis in connection with its periodic evaluations of such assets for potential impairment.</w:t>
      </w:r>
    </w:p>
    <w:p>
      <w:pPr>
        <w:spacing w:after="0" w:line="12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During the first quarter of fiscal 2020, the Company recorded an impairment charge for its long-lived assets, including ROU assets, of $6,746, primarily driven by the expected impact of the COVID-19 pandemic on future cash flows of specific stores. During the first quarter of fiscal 2021, the Company did not identify triggering events which would require a change in management’s estimate regarding the recoverability of store asset values, and no impairment related to our operating stores was recognized. The Company has determined no events and circumstances existed during the thirteen weeks ended May 2, 2021 that would indicate it is more likely than not that its goodwill or tradename are impaired. The ultimate severity and longevity of the COVID-19 pandemic is unknown, and therefore, it is possible that impairments could be identified in future periods, and such amounts could be material.</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During the first quarter of fiscal 2020, the Company recorded an impairment loss and related contract termination costs of $4,803 related to projects in development and discussions to terminate several executed lease contracts that had not yet commenced, which is included in “Other store operating expenses” in the Consolidated Statements of Comprehensive Income (Loss). There were no charges related to our potential future sites during the first quarter of fiscal 2021.</w:t>
      </w:r>
    </w:p>
    <w:p>
      <w:pPr>
        <w:spacing w:after="0" w:line="187"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b w:val="1"/>
          <w:bCs w:val="1"/>
          <w:i w:val="1"/>
          <w:iCs w:val="1"/>
          <w:color w:val="auto"/>
        </w:rPr>
        <w:t xml:space="preserve">Interest rate swaps </w:t>
      </w:r>
      <w:r>
        <w:rPr>
          <w:rFonts w:ascii="Arial" w:cs="Arial" w:eastAsia="Arial" w:hAnsi="Arial"/>
          <w:sz w:val="17"/>
          <w:szCs w:val="17"/>
          <w:color w:val="auto"/>
        </w:rPr>
        <w:t>— Effective February 28, 2019, the Company entered into three interest rate swap agreements to manage our exposure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 movements on our variable rate credit facility. The agreements entitle the Company to receive at specified</w:t>
      </w:r>
    </w:p>
    <w:p>
      <w:pPr>
        <w:sectPr>
          <w:pgSz w:w="11900" w:h="16838" w:orient="portrait"/>
          <w:cols w:equalWidth="0" w:num="1">
            <w:col w:w="11100"/>
          </w:cols>
          <w:pgMar w:left="320" w:top="486" w:right="47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color w:val="auto"/>
        </w:rPr>
        <w:t>intervals, a variable rate of interest based on one-month LIBOR in exchange for the payment of a fixed rate of interest throughout the life of the agreements. The notional amount of the swap agreements, which mature August 17, 2022, totals $350,000 and the fixed rate of interest for all agreements is 2.47%.</w:t>
      </w:r>
    </w:p>
    <w:p>
      <w:pPr>
        <w:spacing w:after="0" w:line="197" w:lineRule="exact"/>
        <w:rPr>
          <w:sz w:val="20"/>
          <w:szCs w:val="20"/>
          <w:color w:val="auto"/>
        </w:rPr>
      </w:pPr>
    </w:p>
    <w:p>
      <w:pPr>
        <w:ind w:left="120" w:firstLine="440"/>
        <w:spacing w:after="0" w:line="252" w:lineRule="auto"/>
        <w:rPr>
          <w:sz w:val="20"/>
          <w:szCs w:val="20"/>
          <w:color w:val="auto"/>
        </w:rPr>
      </w:pPr>
      <w:r>
        <w:rPr>
          <w:rFonts w:ascii="Arial" w:cs="Arial" w:eastAsia="Arial" w:hAnsi="Arial"/>
          <w:sz w:val="16"/>
          <w:szCs w:val="16"/>
          <w:color w:val="auto"/>
        </w:rPr>
        <w:t>The Company initially designated its interest rate swap agreements as a cash flow hedge and accounted for the underlying activity in accordance with hedge accounting. Effective April 14, 2020, the Company amended its existing credit facility agreement to obtain relief from its financial covenants, and as a result, the variable interest rate terms were modified to create an interest rate floor of 1.00%. Accordingly, and as a result of the then current forward interest rate curve, the Company discontinued the hedging relationship as of April 14, 2020 (de-designation date). Given the continued existence of the hedged interest payments, the Company is reclassifying its accumulated other comprehensive loss of $17,609 as of the de-designation date into “Interest expense, net” using a straight-line approach over the remaining life of the originally designated hedging relationship. The amount of pre-tax losses in accumulated other comprehensive loss that was reclassified into interest expense was $1,887 and $314 for the thirteen weeks ended May 2, 2021 and May 3, 2020, respectively, and the Company expects to reclassify $7,547 within the next twelve months. Effective with the de-designation, any gain or loss on the derivatives are recognized in earnings in the period in which the change occurs. For the thirteen weeks ended May 2, 2021 and May 3, 2020, a gain of $131 and a loss of $820 were recognized, respectively, which are included in “Other store operating expenses” in the Consolidated Statements of Comprehensive Income (Loss).</w:t>
      </w:r>
    </w:p>
    <w:p>
      <w:pPr>
        <w:spacing w:after="0" w:line="183"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Prior to the de-designation,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a component of interest expense and in operating activities.</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Credit risk related to the failure of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derivative instruments were outstanding as of the end of the periods indicated:</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316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May 2, 2021</w:t>
            </w:r>
          </w:p>
        </w:tc>
        <w:tc>
          <w:tcPr>
            <w:tcW w:w="124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w w:val="92"/>
              </w:rPr>
              <w:t>January 31, 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Accrued liabilities</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(8,184)</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8"/>
                <w:szCs w:val="18"/>
                <w:color w:val="auto"/>
              </w:rPr>
              <w:t>(2,366)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derivatives</w:t>
            </w: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8"/>
              </w:rPr>
              <w:t>(10,550)</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in accumulated other comprehensive loss related to our derivative instruments: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May 2, 2021</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May 3, 2020</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of loss recorded in accumulated other comprehensive income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Amount of loss reclassified into income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 (benefit) in accumulated other comprehensive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r>
    </w:tbl>
    <w:p>
      <w:pPr>
        <w:spacing w:after="0" w:line="183" w:lineRule="exact"/>
        <w:rPr>
          <w:sz w:val="20"/>
          <w:szCs w:val="20"/>
          <w:color w:val="auto"/>
        </w:rPr>
      </w:pPr>
    </w:p>
    <w:p>
      <w:pPr>
        <w:ind w:left="540" w:hanging="424"/>
        <w:spacing w:after="0"/>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Amounts reclassified into income are included in “Interest expense, net” in the Consolidated Statements of Comprehensive Income (Loss).</w:t>
      </w:r>
    </w:p>
    <w:p>
      <w:pPr>
        <w:spacing w:after="0" w:line="20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Amusement revenues are primarily recognized upon utilization of game play credits on power cards purchased and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weeks ended May 2, 2021, we recognized revenue of approximately $11,900 related to the amount in deferred amusement revenue as of the end of fiscal 2020.</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125" w:right="4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weeks ended May 2, 2021, we recognized revenue of approximately $900 related to the amount in deferred gift card revenue as of the end of fiscal 2020, of which approximately $120 was breakage revenue.</w:t>
      </w:r>
    </w:p>
    <w:p>
      <w:pPr>
        <w:spacing w:after="0" w:line="173" w:lineRule="exact"/>
        <w:rPr>
          <w:sz w:val="20"/>
          <w:szCs w:val="20"/>
          <w:color w:val="auto"/>
        </w:rPr>
      </w:pPr>
    </w:p>
    <w:p>
      <w:pPr>
        <w:ind w:left="120" w:firstLine="440"/>
        <w:spacing w:after="0" w:line="242" w:lineRule="auto"/>
        <w:rPr>
          <w:sz w:val="20"/>
          <w:szCs w:val="20"/>
          <w:color w:val="auto"/>
        </w:rPr>
      </w:pPr>
      <w:r>
        <w:rPr>
          <w:rFonts w:ascii="Arial" w:cs="Arial" w:eastAsia="Arial" w:hAnsi="Arial"/>
          <w:sz w:val="17"/>
          <w:szCs w:val="17"/>
          <w:b w:val="1"/>
          <w:bCs w:val="1"/>
          <w:i w:val="1"/>
          <w:iCs w:val="1"/>
          <w:color w:val="auto"/>
        </w:rPr>
        <w:t xml:space="preserve">Stockholders’ equity </w:t>
      </w:r>
      <w:r>
        <w:rPr>
          <w:rFonts w:ascii="Arial" w:cs="Arial" w:eastAsia="Arial" w:hAnsi="Arial"/>
          <w:sz w:val="17"/>
          <w:szCs w:val="17"/>
          <w:color w:val="auto"/>
        </w:rPr>
        <w:t>— In our consolidated financial statements, the Company treats shares withheld for tax purposes on behalf of our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vesting of time-based and performance restricted stock units as common stock repurchases because they reduce the number of shares that would have been issued upon vesting. During the thirteen weeks ended May 2, 2021 and May 3, 2020, we withheld 5,071 and 3,112 shares of common stock to satisfy $236 and $36 of employees’ tax obligations, respectively. The share activity in the thirteen weeks ended May 3, 2020 includes the settlements of $150 cash obligations through the issuance of 12,975 shares of common stock.</w:t>
      </w:r>
    </w:p>
    <w:p>
      <w:pPr>
        <w:spacing w:after="0" w:line="175" w:lineRule="exact"/>
        <w:rPr>
          <w:sz w:val="20"/>
          <w:szCs w:val="20"/>
          <w:color w:val="auto"/>
        </w:rPr>
      </w:pPr>
    </w:p>
    <w:p>
      <w:pPr>
        <w:ind w:left="120" w:firstLine="440"/>
        <w:spacing w:after="0" w:line="231" w:lineRule="auto"/>
        <w:rPr>
          <w:sz w:val="20"/>
          <w:szCs w:val="20"/>
          <w:color w:val="auto"/>
        </w:rPr>
      </w:pPr>
      <w:r>
        <w:rPr>
          <w:rFonts w:ascii="Arial" w:cs="Arial" w:eastAsia="Arial" w:hAnsi="Arial"/>
          <w:sz w:val="18"/>
          <w:szCs w:val="18"/>
          <w:color w:val="auto"/>
        </w:rPr>
        <w:t>On April 14, 2020, pursuant to an open market sale agreement, the Company sold 6,149,936 shares of its common stock at a price of $12.20 per share, for proceeds of $75,000, prior to deducting offering expenses related to the offering. During May 2020, the Company entered into an underwriting agreement, pursuant to which it sold an additional 10,593,416 shares of its common stock (including shares under an over-allotment option) at a price of $10.44 per share, for proceeds of $110,600, prior to deducting offering costs.</w:t>
      </w:r>
    </w:p>
    <w:p>
      <w:pPr>
        <w:spacing w:after="0" w:line="18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Effective March 18, 2020, the Board of Directors of the Company adopted a 364-day duration Shareholder Rights Plan (the “Rights Plan”) and declared a dividend of one preferred share purchase right for each outstanding share of common stock to shareholders of record on March 30, 2020 to purchase from the Company one one-ten thousandth of a share of Series A Junior Participating Preferred Stock, par value $0.01 per share, of the Company for an exercise price of $45.00, once the rights become exercisable, subject to adjustment as provided in the related rights agreement. The Rights Plan expired on March 17, 2021.</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 Basic net income (loss) per share is computed by dividing net income (loss) available to common shareholders by the basic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 average number of common shares outstanding for the reporting period. Diluted net income (loss)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(loss) per share calculation. For the first quarter of fiscal 2021 and the first quarter of fiscal 2020, the Company excluded anti-dilutive awards from the calculation of approximately 111,485 and 947,365, respectively. Basic weighted average shares outstanding are reconciled to diluted weighted average shares outstanding as follows</w:t>
      </w:r>
    </w:p>
    <w:p>
      <w:pPr>
        <w:spacing w:after="0" w:line="17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Thirteen weeks</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Thirteen weeks</w:t>
            </w:r>
          </w:p>
        </w:tc>
      </w:tr>
      <w:tr>
        <w:trPr>
          <w:trHeight w:val="148"/>
        </w:trPr>
        <w:tc>
          <w:tcPr>
            <w:tcW w:w="60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ended</w:t>
            </w:r>
          </w:p>
        </w:tc>
        <w:tc>
          <w:tcPr>
            <w:tcW w:w="10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60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May 2, 2021</w:t>
            </w:r>
          </w:p>
        </w:tc>
        <w:tc>
          <w:tcPr>
            <w:tcW w:w="36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May 3, 2020</w:t>
            </w:r>
          </w:p>
        </w:tc>
        <w:tc>
          <w:tcPr>
            <w:tcW w:w="40" w:type="dxa"/>
            <w:vAlign w:val="bottom"/>
          </w:tcPr>
          <w:p>
            <w:pPr>
              <w:spacing w:after="0"/>
              <w:rPr>
                <w:sz w:val="14"/>
                <w:szCs w:val="14"/>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47,695,705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31,829,985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Weighted average dilutive impact of awards (1)</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1,635,387</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49,331,092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31,829,985</w:t>
            </w:r>
          </w:p>
        </w:tc>
      </w:tr>
    </w:tbl>
    <w:p>
      <w:pPr>
        <w:spacing w:after="0" w:line="229"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exclude all potential common and common equivalent shares for periods when there is a net loss.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Recently adopted accounting guidance </w:t>
      </w:r>
      <w:r>
        <w:rPr>
          <w:rFonts w:ascii="Arial" w:cs="Arial" w:eastAsia="Arial" w:hAnsi="Arial"/>
          <w:sz w:val="18"/>
          <w:szCs w:val="18"/>
          <w:color w:val="auto"/>
        </w:rPr>
        <w:t>— In December 2019, the Financial Accounting Standards Board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Update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removes certain exceptions related to the approach for intraperiod tax allocations, the calculation of income taxes in interim periods, and the recognition of deferred taxes for taxable goodwill. The Company adopted this standard as of the beginning of fiscal year 2021, and the adoption did not have a material impact on our consolidated financial statements.</w:t>
      </w:r>
    </w:p>
    <w:p>
      <w:pPr>
        <w:spacing w:after="0" w:line="188" w:lineRule="exact"/>
        <w:rPr>
          <w:sz w:val="20"/>
          <w:szCs w:val="20"/>
          <w:color w:val="auto"/>
        </w:rPr>
      </w:pPr>
    </w:p>
    <w:p>
      <w:pPr>
        <w:ind w:left="120" w:right="140" w:firstLine="440"/>
        <w:spacing w:after="0" w:line="252"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In March 2020, the FASB issued ASU 2020-04,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Reference Rate Reform (Topic 848): Facilitation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Effects of Reference Reform on Financial Reporting</w:t>
      </w:r>
      <w:r>
        <w:rPr>
          <w:rFonts w:ascii="Arial" w:cs="Arial" w:eastAsia="Arial" w:hAnsi="Arial"/>
          <w:sz w:val="18"/>
          <w:szCs w:val="18"/>
          <w:color w:val="auto"/>
        </w:rPr>
        <w:t>, which provides temporary optional expedients and exceptions to the current guidance for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and hedging relationships 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de-designation of the instrument, provided certain criteria are met. Although the Company has swap agreements based on LIBOR rates, the guidance is not expected to have an impact on our consolidated financial statements due to the de-designation of our hedging relationships in fiscal 2020.</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May 2, 2021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2021</w:t>
            </w: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87,638</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Current portion of operating lease liabilities, net (1)</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52,212</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46,471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occupancy costs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23,587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36,121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19,208</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13,846</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gift card revenue</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10,513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Property taxes</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8,222</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8,149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derivatives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8,184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Current portion of long-term insurance</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5,100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4,559</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Sales and use taxes</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3,829</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2,577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r>
    </w:tbl>
    <w:p>
      <w:pPr>
        <w:sectPr>
          <w:pgSz w:w="11900" w:h="16838" w:orient="portrait"/>
          <w:cols w:equalWidth="0" w:num="1">
            <w:col w:w="11120"/>
          </w:cols>
          <w:pgMar w:left="320" w:top="486" w:right="459" w:bottom="0" w:gutter="0" w:footer="0" w:header="0"/>
        </w:sectPr>
      </w:pPr>
    </w:p>
    <w:bookmarkStart w:id="10" w:name="page11"/>
    <w:bookmarkEnd w:id="10"/>
    <w:p>
      <w:pPr>
        <w:spacing w:after="0" w:line="1" w:lineRule="exact"/>
        <w:rPr>
          <w:sz w:val="20"/>
          <w:szCs w:val="20"/>
          <w:color w:val="auto"/>
        </w:rPr>
      </w:pPr>
    </w:p>
    <w:tbl>
      <w:tblPr>
        <w:tblLayout w:type="fixed"/>
        <w:tblInd w:w="1324"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Accrued interest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11,321</w:t>
            </w:r>
          </w:p>
        </w:tc>
        <w:tc>
          <w:tcPr>
            <w:tcW w:w="20" w:type="dxa"/>
            <w:vAlign w:val="bottom"/>
          </w:tcPr>
          <w:p>
            <w:pPr>
              <w:spacing w:after="0"/>
              <w:rPr>
                <w:sz w:val="20"/>
                <w:szCs w:val="20"/>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12,492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8,753</w:t>
            </w:r>
          </w:p>
        </w:tc>
        <w:tc>
          <w:tcPr>
            <w:tcW w:w="20" w:type="dxa"/>
            <w:vAlign w:val="bottom"/>
            <w:shd w:val="clear" w:color="auto" w:fill="CCEEFF"/>
          </w:tcPr>
          <w:p>
            <w:pPr>
              <w:spacing w:after="0"/>
              <w:rPr>
                <w:sz w:val="18"/>
                <w:szCs w:val="18"/>
                <w:color w:val="auto"/>
              </w:rPr>
            </w:pP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$ 238,511</w:t>
            </w:r>
          </w:p>
        </w:tc>
        <w:tc>
          <w:tcPr>
            <w:tcW w:w="5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
        </w:trPr>
        <w:tc>
          <w:tcPr>
            <w:tcW w:w="60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ind w:left="424" w:right="4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balance of leasehold incentive receivables of $2,611 and $8,763 at May 2, 2021 and January 31, 2021, respectively, is reflected as a reduction of the current portion of operating lease liabilities.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Debt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Long-term debt consists of the following:</w:t>
      </w:r>
    </w:p>
    <w:p>
      <w:pPr>
        <w:spacing w:after="0" w:line="257"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May 2,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550,000</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Credit facility - revolver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550,000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610,000</w:t>
            </w: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Less debt issuance costs</w:t>
            </w: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(12,898)</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(13,612)</w:t>
            </w:r>
          </w:p>
        </w:tc>
      </w:tr>
      <w:tr>
        <w:trPr>
          <w:trHeight w:val="27"/>
        </w:trPr>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537,102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which is substantially the same as the guarantors of the Company’s existing credit facility.</w:t>
      </w:r>
    </w:p>
    <w:p>
      <w:pPr>
        <w:spacing w:after="0" w:line="176"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minimum liquidity (primarily availability under the credit facility) of $150,000. The second amendment extended the maturity date of the $500,000 revolving portion of the facility from August 17, 2022 to August 17, 2024, increased the interest rate spread to 4.00% during the financial covenant suspension period, and instituted a 1.00% utilization fee during that same time period. The utilization fee is due at maturity. After the financial covenant suspension period, the interest rate spread ranges from 1.25% to 3.00%. The second amendment terminated the term loan portion of the credit facility, which triggered payment of $1,900 of lender debt costs associated with the first amendment. The first amendment, effective April 14, 2020, provided initial relief from compliance with financial covenants after the COVID-19 pandemic and increased the interest rate spread on variable rate debt to 2.00% plus a LIBOR floor of 1.00%.</w:t>
      </w:r>
    </w:p>
    <w:p>
      <w:pPr>
        <w:spacing w:after="0" w:line="16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costs of $18,300, which are being amortized over the terms of the respective Notes and revolving credit facility. The Company also recorded a loss of $904 related to the unamortized debt costs associated with the term portion of the credit facility.</w:t>
      </w:r>
    </w:p>
    <w:p>
      <w:pPr>
        <w:spacing w:after="0" w:line="14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13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308" w:lineRule="auto"/>
        <w:rPr>
          <w:sz w:val="20"/>
          <w:szCs w:val="20"/>
          <w:color w:val="auto"/>
        </w:rPr>
      </w:pPr>
      <w:r>
        <w:rPr>
          <w:rFonts w:ascii="Arial" w:cs="Arial" w:eastAsia="Arial" w:hAnsi="Arial"/>
          <w:sz w:val="17"/>
          <w:szCs w:val="17"/>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46"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For the first quarter of fiscal 2021 and fiscal 2020, the Company’s weighted average interest rate on outstanding borrowings was 10.15% and 3.59%, respectively. As of May 2, 2021, we had letters of credit outstanding of $10,486 and an unused commitment balance of $489,514 under the revolving credit facility.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 sets forth our recorded interest expense, net:</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6180" w:type="dxa"/>
            <w:vAlign w:val="bottom"/>
          </w:tcPr>
          <w:p>
            <w:pPr>
              <w:spacing w:after="0"/>
              <w:rPr>
                <w:sz w:val="13"/>
                <w:szCs w:val="13"/>
                <w:color w:val="auto"/>
              </w:rPr>
            </w:pPr>
          </w:p>
        </w:tc>
        <w:tc>
          <w:tcPr>
            <w:tcW w:w="132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May 2, 2021</w:t>
            </w:r>
          </w:p>
        </w:tc>
        <w:tc>
          <w:tcPr>
            <w:tcW w:w="7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5"/>
              </w:rPr>
              <w:t>May 3, 2020</w:t>
            </w:r>
          </w:p>
        </w:tc>
        <w:tc>
          <w:tcPr>
            <w:tcW w:w="100" w:type="dxa"/>
            <w:vAlign w:val="bottom"/>
          </w:tcPr>
          <w:p>
            <w:pPr>
              <w:spacing w:after="0"/>
              <w:rPr>
                <w:sz w:val="13"/>
                <w:szCs w:val="13"/>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debt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associated with swap agreements</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issuance cost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Total interest expense, net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Leases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currently lease the building or site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 (Loss).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components of lease expense, including variable lease costs primarily consisting of common area maintenance charges and property taxes, are as follows for the fiscal year ended:</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May 2, 2021</w:t>
            </w:r>
          </w:p>
        </w:tc>
        <w:tc>
          <w:tcPr>
            <w:tcW w:w="7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5"/>
              </w:rPr>
              <w:t>May 3, 2020</w:t>
            </w:r>
          </w:p>
        </w:tc>
        <w:tc>
          <w:tcPr>
            <w:tcW w:w="40" w:type="dxa"/>
            <w:vAlign w:val="bottom"/>
          </w:tcPr>
          <w:p>
            <w:pPr>
              <w:spacing w:after="0"/>
              <w:rPr>
                <w:sz w:val="13"/>
                <w:szCs w:val="13"/>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7,389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7,366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41,016</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During fiscal 2020, the Company entered into 126 initial rent relief agreements with our respective landlords on operating locations and our corporate headquarters. Under these agreements, certain rent payments will be abated, deferred or modified without penalty for various periods, generally providing for full deferral for three months beginning April 2020, with partial deferrals continuing for periods of up to six months at approximately 50% of those locations. As the COVID-19 pandemic continued to impact our business into the fourth quarter of fiscal 2020,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the first quarter of fiscal 2021, the Company had executed 86 rent relief agreements related to the second phase of negotiation. The Company has chosen to delay scheduled deferred rent payments for eleven locations and to short pay rent for four locations while continuing to seek additional rent relief. The Company has elected to apply the practical expedient to account for lease concessions and deferrals resulting directly from COVID-19 as though the enforceable rights and obligations to the deferrals existed in the respective contracts at lease inception and will not account for the concessions as lease</w:t>
      </w:r>
    </w:p>
    <w:p>
      <w:pPr>
        <w:sectPr>
          <w:pgSz w:w="11900" w:h="16838" w:orient="portrait"/>
          <w:cols w:equalWidth="0" w:num="1">
            <w:col w:w="11120"/>
          </w:cols>
          <w:pgMar w:left="320" w:top="486" w:right="459" w:bottom="1440" w:gutter="0" w:footer="0" w:header="0"/>
        </w:sectPr>
      </w:pPr>
    </w:p>
    <w:bookmarkStart w:id="12" w:name="page13"/>
    <w:bookmarkEnd w:id="12"/>
    <w:p>
      <w:pPr>
        <w:jc w:val="center"/>
        <w:ind w:right="-1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modifications, unless the concession results in a substantial increase in the Company’s obligations. To date, 195 of our 212 rent relief agreements qualified for this accounting election, and the remaining agreements were treated as lease modifications, primarily due to a significant extension of the lease term. The Company has bifurcated our current operating lease liabilities into the portion that remains subject to accretion and the portion that is accounted for as a deferral of payments or as short payments. The current portion of deferred occupancy costs or short pays is included in “Accrued liabilities” and the balance, or $21,636 and $16,243 at May 2, 2021 and January 31, 2021, respectively, is included in “Other liabilities” in the Consolidated Balance Sheets.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During fiscal 2020, the Company settled a portion of the cases at the approximate amount estimated and accrued. For the remaining cases,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Share-Based Compensation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Compensation expense related to stock options and restricted stock units is included in “General and administrative expenses” in the Consolidated Statements of Comprehensive Income (Loss) and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4"/>
              </w:rPr>
              <w:t>Thirteen Weeks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May 2, 2021</w:t>
            </w: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5"/>
              </w:rPr>
              <w:t>May 3, 2020</w:t>
            </w:r>
          </w:p>
        </w:tc>
        <w:tc>
          <w:tcPr>
            <w:tcW w:w="100" w:type="dxa"/>
            <w:vAlign w:val="bottom"/>
          </w:tcPr>
          <w:p>
            <w:pPr>
              <w:spacing w:after="0"/>
              <w:rPr>
                <w:sz w:val="13"/>
                <w:szCs w:val="13"/>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2,697</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(929)</w:t>
            </w:r>
          </w:p>
        </w:tc>
      </w:tr>
      <w:tr>
        <w:trPr>
          <w:trHeight w:val="27"/>
        </w:trPr>
        <w:tc>
          <w:tcPr>
            <w:tcW w:w="4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0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2,971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(389)</w:t>
            </w:r>
          </w:p>
        </w:tc>
      </w:tr>
      <w:tr>
        <w:trPr>
          <w:trHeight w:val="20"/>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stock option awards during the thirteen weeks ended May 2, 2021 were as follows: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2014 Stock Incentive Plan</w:t>
            </w: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Number</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Wtd. Avg.</w:t>
            </w:r>
          </w:p>
        </w:tc>
        <w:tc>
          <w:tcPr>
            <w:tcW w:w="48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Wtd. Avg.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of Options</w:t>
            </w:r>
          </w:p>
        </w:tc>
        <w:tc>
          <w:tcPr>
            <w:tcW w:w="2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of Options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1,231,601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173,563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(75,463)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(55,122)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(9,056)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43.86</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2,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1,147,082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38.04</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118,441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Exercisable at May 2,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1,077,161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118,441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total intrinsic value of options exercised during the thirteen weeks ended May 2, 2021 was $4,270. The unrecognized expense related to our stock option plan totaled approximately $306 as of May 2, 2021 and will be expensed over a weighted average period of 0.9 years.</w:t>
      </w:r>
    </w:p>
    <w:p>
      <w:pPr>
        <w:sectPr>
          <w:pgSz w:w="11900" w:h="16838" w:orient="portrait"/>
          <w:cols w:equalWidth="0" w:num="1">
            <w:col w:w="11120"/>
          </w:cols>
          <w:pgMar w:left="320" w:top="125" w:right="459" w:bottom="1440" w:gutter="0" w:footer="0" w:header="0"/>
          <w:type w:val="continuous"/>
        </w:sectPr>
      </w:pPr>
    </w:p>
    <w:bookmarkStart w:id="13" w:name="page14"/>
    <w:bookmarkEnd w:id="13"/>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restricted stock units during the thirteen weeks ended May 2, 2021,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1,116,341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226,153</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(72,488)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(43,074)</w:t>
            </w:r>
          </w:p>
        </w:tc>
        <w:tc>
          <w:tcPr>
            <w:tcW w:w="1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2,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1,226,932</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Fair value of our time-based and performance-based restricted stock units is based on our closing stock price on the date of grant. The grand date fair value of market stock units was determined using a Monte-Carlo simulation model. The unrecognized expense related to restricted stock units was $15,725 as of May 2, 2021 and will be expensed over a weighted average period of 2.3 years.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During the thirteen weeks ended May 2, 2021 and May 3, 2020, excess tax expense (benefit) of $(1,135) and $140, respectively, were recognized in the “Provision (benefit) for income taxes” in the Consolidated Statement of Comprehensive Income (Loss) and classified as a source in operating activities in the Consolidated Statement of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We accelerated tax depreciation expense due to the technical amendments made by the CARES Act to qualified improvement property and carried back tax net operating losses from fiscal 2020 and fiscal 2019 to years with a higher federal corporate income tax rate. We expect to file fiscal 2020 carryback claims during fiscal 2021, and we expect that these claims will generate cash refunds of approximately $57,400. The effects of these claims were included in our provision for income taxes based on the best information available at the time we prepared or consolidated financial statements. Legislative and judicial developments relating to these provisions may evolve and the actual effect of these claims may differ, which, in turn, may result in adjustments to our effective tax rate.</w:t>
      </w:r>
    </w:p>
    <w:p>
      <w:pPr>
        <w:spacing w:after="0" w:line="19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has historically calculated the provision for income taxes during interim reporting periods by applying an estimate of the annualized effective tax rate for the full fiscal year to “ordinary” income or loss for the reporting period. Due to the uncertainty created by the events surrounding the COVID-19 pandemic, the actual effective tax rate for the year to date period was used to calculate the income tax provision (benefit) for the first quarter of fiscal 2021 and the first quarter of fiscal 2020. The effective tax rate for the thirteen weeks ended May 2, 2021, was 11.5%, compared to a benefit of 35.5% for the thirteen weeks ended May 3, 2020. The current quarter tax provision includes higher excess tax benefits associated with share-based compensation while the prior year was a tax benefit primarily due to the impact of the pre-tax loss before income tax and the impact of the tax provisions within the CARES Act.</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125"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31, 2021.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31, 2021.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March 11, 2020, the World Health Organization declared the COVID-19 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businesses, some of which allowed To-Go or curbside service only while others limited capacity in the dining room or midway. By March 20, 2020, all of our 137 operating stores were temporarily closed.</w:t>
      </w:r>
    </w:p>
    <w:p>
      <w:pPr>
        <w:spacing w:after="0" w:line="19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April 30, 2020, our first store re-opened to the public, as state and local guidelines began to allow dining rooms and arcades to open at limited capacity and/or limited hours of operation. By the end of fiscal 2020, we had progressively re-opened an additional 101 stores with limited operations. Many of these stores that were re-opened in limited capacity were required to temporarily close again in areas more severely impacted by the COVID-19 pandemic, particularly during the fourth quarter holiday season. The Company also opened five new stores in the second half of the fiscal year, all of which commenced construction prior to the outbreak of the COVID-19 pandemic. As of January 31, 2021, 107 of our 140 stores were open and operating in limited capacity.</w:t>
      </w:r>
    </w:p>
    <w:p>
      <w:pPr>
        <w:spacing w:after="0" w:line="19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Company continues to be subject to risks and uncertainties as a result of the COVID-19 pandemic. These include state and local restrictions on our stores, some of which have limited capacity in the dining rooms and arcade areas while others have allowed To-Go or curbside service only. At the end of our first quarter of fiscal 2021, our two Canadian stores continued to remain closed to in-person customers as a result of provincial COVID-19 restrictions. Additionally, one store in the United States was required to temporarily reclose as the result of a local increase in COVID-19 cases.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re-opening process has been a gradual one with the safety of our team members and customers as our top priority. All of our re-opened stores are operating with some combination of streamlined menus, reduced games, new seating and game configurations, reduced operating hours, and reduced staff levels. As dining room and midway restrictions continue to ease and sales begin to improve, some labor inefficiencies and increased cleaning and supply costs are anticipated as stores adjust to improved sales volumes and enhanced health and safety protocols. On an ongoing basis, we will also continue to pursue long-term operating efficiencies and other cost savings initiatives.</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expect our operating results to continue to be severely impacted until such time that state and local restrictions are completely lifted, and our dining rooms and midways can re-open at full capacity. We cannot predict how long the COVID-19 pandemic will last or when the state and local restrictions will be lifted or potentially re-imposed. In addition, we cannot predict with certainty how quickly our customers will return to our stores once such restrictions have been lifted or the impact this will have on consumer spending habits.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We believe we appeal to a diverse customer base by providing a highly customizable experience in a dynamic and fun setting.</w:t>
      </w:r>
    </w:p>
    <w:p>
      <w:pPr>
        <w:spacing w:after="0" w:line="17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stores, which average 40,000 square feet, range in size between 16,000 and 70,000 square feet. Prior to the COVID-19 pandemic, our stores were generally open seven days a week, with normal hours of operation typically from 11:30 a.m. to midnight on Sunday through Thursday and 11:30 a.m. to 2:00 a.m. on Friday and Saturday.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monitor and analyze several key performance measures to manage our business and evaluate financial and operating performance. These measures include:</w:t>
      </w:r>
    </w:p>
    <w:p>
      <w:pPr>
        <w:spacing w:after="0" w:line="170"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b w:val="1"/>
          <w:bCs w:val="1"/>
          <w:i w:val="1"/>
          <w:iCs w:val="1"/>
          <w:color w:val="auto"/>
        </w:rPr>
        <w:t xml:space="preserve">Comparable store sales. </w:t>
      </w:r>
      <w:r>
        <w:rPr>
          <w:rFonts w:ascii="Arial" w:cs="Arial" w:eastAsia="Arial" w:hAnsi="Arial"/>
          <w:sz w:val="16"/>
          <w:szCs w:val="16"/>
          <w:color w:val="auto"/>
        </w:rPr>
        <w:t>Comparable store sales are a comparison of sales to the same period of prior years for the comparable store base.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2021 is defined as stores open for a full 18 months before the beginning of fiscal 2020 and excludes two stores that the Company elected not to reopen after they were closed in March 2020 as a result of local operating limitations. As of May 2, 2021, our comparable store base consisted of 114 stores, of which three stores were closed (two stores in Canada and one temporary closure in the United States).</w:t>
      </w:r>
    </w:p>
    <w:p>
      <w:pPr>
        <w:spacing w:after="0" w:line="16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Our ability to expand our business and reach new customers is influenced by the opening of additional stores in both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existing markets. The success of our new stores is indicative of our brand appeal and the efficacy of our site selection and operating models. Between May 3, 2020 and May 2, 2021, we opened six new stores (five in fiscal 2020 and one in fiscal 2021).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Adjusted EBITDA and Adjusted EBITDA Margin</w:t>
      </w:r>
      <w:r>
        <w:rPr>
          <w:rFonts w:ascii="Arial" w:cs="Arial" w:eastAsia="Arial" w:hAnsi="Arial"/>
          <w:sz w:val="18"/>
          <w:szCs w:val="18"/>
          <w:color w:val="auto"/>
        </w:rPr>
        <w:t>. We define “Adjusted EBITDA” as net income (loss) plus interest expense, net, loss on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8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7"/>
          <w:szCs w:val="17"/>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operate on a 52 or 53-week fiscal year that ends on the Sunday after the Saturday closest to January 31. Each quarterly period has 13 weeks, except in a 53-week year when the fourth quarter has 14 weeks. All references to the first quarter of 2021 relate to the 13-week period ended May 2, 2021. All references to the first quarter of 2020 relate to the 13-week period ended May 3, 2020. Fiscal 2021 and fiscal 2020 consist of 52 weeks. All dollar amounts are presented in thousands, unless otherwise noted, except share and per share amounts.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Our new stores historically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8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Thirteen Weeks Ended May 2, 2021 Compared to Thirteen Weeks Ended May 3, 2020</w:t>
      </w:r>
    </w:p>
    <w:p>
      <w:pPr>
        <w:spacing w:after="0" w:line="121" w:lineRule="exact"/>
        <w:rPr>
          <w:sz w:val="20"/>
          <w:szCs w:val="20"/>
          <w:color w:val="auto"/>
        </w:rPr>
      </w:pPr>
    </w:p>
    <w:p>
      <w:pPr>
        <w:jc w:val="both"/>
        <w:ind w:left="120" w:firstLine="440"/>
        <w:spacing w:after="0" w:line="381" w:lineRule="auto"/>
        <w:rPr>
          <w:sz w:val="20"/>
          <w:szCs w:val="20"/>
          <w:color w:val="auto"/>
        </w:rPr>
      </w:pPr>
      <w:r>
        <w:rPr>
          <w:rFonts w:ascii="Arial" w:cs="Arial" w:eastAsia="Arial" w:hAnsi="Arial"/>
          <w:sz w:val="15"/>
          <w:szCs w:val="15"/>
          <w:b w:val="1"/>
          <w:bCs w:val="1"/>
          <w:i w:val="1"/>
          <w:iCs w:val="1"/>
          <w:color w:val="auto"/>
        </w:rPr>
        <w:t xml:space="preserve">Results of operations. </w:t>
      </w:r>
      <w:r>
        <w:rPr>
          <w:rFonts w:ascii="Arial" w:cs="Arial" w:eastAsia="Arial" w:hAnsi="Arial"/>
          <w:sz w:val="15"/>
          <w:szCs w:val="15"/>
          <w:color w:val="auto"/>
        </w:rPr>
        <w:t>The following table sets forth selected data, in thousands of dollars and as a percentage of total revenues (unless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noted) for the periods indicated. All information is derived from the accompanying unaudited consolidated statements of comprehensive income (loss).</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Thirteen Weeks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left="213"/>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233"/>
              <w:spacing w:after="0"/>
              <w:rPr>
                <w:sz w:val="20"/>
                <w:szCs w:val="20"/>
                <w:color w:val="auto"/>
              </w:rPr>
            </w:pPr>
            <w:r>
              <w:rPr>
                <w:rFonts w:ascii="Arial" w:cs="Arial" w:eastAsia="Arial" w:hAnsi="Arial"/>
                <w:sz w:val="14"/>
                <w:szCs w:val="14"/>
                <w:b w:val="1"/>
                <w:bCs w:val="1"/>
                <w:color w:val="auto"/>
                <w:w w:val="95"/>
              </w:rPr>
              <w:t>May 2, 2021</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May 3, 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85,758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63,920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179,582</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95,886</w:t>
            </w:r>
          </w:p>
        </w:tc>
        <w:tc>
          <w:tcPr>
            <w:tcW w:w="3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265,340</w:t>
            </w:r>
          </w:p>
        </w:tc>
        <w:tc>
          <w:tcPr>
            <w:tcW w:w="4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159,806</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food and beverage (as a percentage of food and beverage revenues)</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23,157</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17,344</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4"/>
              </w:rPr>
              <w:t>Cost of amusement and other (as a percentage of amusement and other revenues)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16,614</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10,728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39,771</w:t>
            </w:r>
          </w:p>
        </w:tc>
        <w:tc>
          <w:tcPr>
            <w:tcW w:w="4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28,072</w:t>
            </w:r>
          </w:p>
        </w:tc>
        <w:tc>
          <w:tcPr>
            <w:tcW w:w="3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50,279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43,737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84,445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95,672</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17,091</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14,563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35,099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35,352</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228,344</w:t>
            </w:r>
          </w:p>
        </w:tc>
        <w:tc>
          <w:tcPr>
            <w:tcW w:w="4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221,219</w:t>
            </w:r>
          </w:p>
        </w:tc>
        <w:tc>
          <w:tcPr>
            <w:tcW w:w="3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138.4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36,996</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(61,413)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14,820</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6,115</w:t>
            </w:r>
          </w:p>
        </w:tc>
        <w:tc>
          <w:tcPr>
            <w:tcW w:w="3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22,176</w:t>
            </w:r>
          </w:p>
        </w:tc>
        <w:tc>
          <w:tcPr>
            <w:tcW w:w="4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(67,528)</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2,541</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(23,984)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w:t>
            </w:r>
          </w:p>
        </w:tc>
        <w:tc>
          <w:tcPr>
            <w:tcW w:w="4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(43,544)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at end of period (1)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Comparable stores at end of period (1)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120" w:hanging="424"/>
        <w:spacing w:after="0" w:line="227" w:lineRule="auto"/>
        <w:tabs>
          <w:tab w:leader="none" w:pos="5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Our total and comparable store counts as of the end of the first quarter of fiscal 2021 exclude a store in Chicago, Illinois and a store in Houston, Texas that have reached or are near the end of their respective lease terms which the Company has decided not to re-open.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320" w:top="486"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reconciles (in dollars and as a percent of total revenues) Net income (loss) to Adjusted EBITDA for the periods indicated:</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Thirteen Weeks</w:t>
            </w:r>
          </w:p>
        </w:tc>
        <w:tc>
          <w:tcPr>
            <w:tcW w:w="12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880" w:type="dxa"/>
            <w:vAlign w:val="bottom"/>
            <w:gridSpan w:val="2"/>
          </w:tcPr>
          <w:p>
            <w:pPr>
              <w:jc w:val="center"/>
              <w:ind w:left="274"/>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left="344"/>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May 2,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May 3,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$19,635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$(43,544)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14,820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6,115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(23,984)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35,099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35,352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72,095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(26,061)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Loss on asset disposal</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 and lease termination costs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11,549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2,971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(389)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3,823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costs (1)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76,705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540" w:hanging="424"/>
        <w:spacing w:after="0"/>
        <w:tabs>
          <w:tab w:leader="none" w:pos="5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5"/>
          <w:szCs w:val="25"/>
          <w:color w:val="auto"/>
          <w:vertAlign w:val="superscript"/>
        </w:rPr>
      </w:pPr>
    </w:p>
    <w:p>
      <w:pPr>
        <w:ind w:left="5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(loss) to Store Operating Income Before Depreciation and Amortization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Thirteen Weeks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37"/>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May 2,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5"/>
              </w:rPr>
              <w:t>May 3,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$36,996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(61,413)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gridSpan w:val="3"/>
          </w:tcPr>
          <w:p>
            <w:pPr>
              <w:jc w:val="right"/>
              <w:ind w:right="340"/>
              <w:spacing w:after="0"/>
              <w:rPr>
                <w:sz w:val="20"/>
                <w:szCs w:val="20"/>
                <w:color w:val="auto"/>
              </w:rPr>
            </w:pPr>
            <w:r>
              <w:rPr>
                <w:rFonts w:ascii="Arial" w:cs="Arial" w:eastAsia="Arial" w:hAnsi="Arial"/>
                <w:sz w:val="18"/>
                <w:szCs w:val="18"/>
                <w:color w:val="auto"/>
              </w:rPr>
              <w:t>17,091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14,563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35,099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35,352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Pre-opening costs</w:t>
            </w:r>
          </w:p>
        </w:tc>
        <w:tc>
          <w:tcPr>
            <w:tcW w:w="1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1,659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3,823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2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90,845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6"/>
              </w:rPr>
              <w:t>Thirteen Weeks</w:t>
            </w:r>
          </w:p>
        </w:tc>
      </w:tr>
      <w:tr>
        <w:trPr>
          <w:trHeight w:val="148"/>
        </w:trPr>
        <w:tc>
          <w:tcPr>
            <w:tcW w:w="3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3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May 2, 2021</w:t>
            </w: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May 3, 2020</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New store and operating initiatives</w:t>
            </w:r>
          </w:p>
        </w:tc>
        <w:tc>
          <w:tcPr>
            <w:tcW w:w="2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Games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7,908</w:t>
            </w: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2,497</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47,451</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23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365"/>
        </w:trPr>
        <w:tc>
          <w:tcPr>
            <w:tcW w:w="3480" w:type="dxa"/>
            <w:vAlign w:val="bottom"/>
          </w:tcPr>
          <w:p>
            <w:pPr>
              <w:spacing w:after="0"/>
              <w:rPr>
                <w:sz w:val="24"/>
                <w:szCs w:val="24"/>
                <w:color w:val="auto"/>
              </w:rPr>
            </w:pPr>
          </w:p>
        </w:tc>
        <w:tc>
          <w:tcPr>
            <w:tcW w:w="2200" w:type="dxa"/>
            <w:vAlign w:val="bottom"/>
          </w:tcPr>
          <w:p>
            <w:pPr>
              <w:jc w:val="right"/>
              <w:ind w:right="13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30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29" w:lineRule="exact"/>
        <w:rPr>
          <w:sz w:val="20"/>
          <w:szCs w:val="20"/>
          <w:color w:val="auto"/>
        </w:rPr>
      </w:pPr>
    </w:p>
    <w:p>
      <w:pPr>
        <w:jc w:val="center"/>
        <w:ind w:right="93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response to the COVID-19 outbreak, which was declared a global pandemic on March 11, 2020 and a National Public Health Emergency in the United States on March 13, 2020, the Company temporarily closed of all of our stores by March 20, 2020. On April 30, 2020, our first store re-opened to the public, as state and local guidelines began to allow dining rooms and arcades to open with capacity and other restrictions, with two additional stores offering limited food and beverage for off-premises dining by the end of our first quarter of fiscal 2020. By the end of fiscal 2020, 107 of our 140 stores were open and operating with a combination of limited menus, reduced dining room seating, reduced games in the midway, reduced operating hours and other restrictions referred to as “limited operations”. Of these 107 open stores, 84 were comparable stores. As of May 2, 2021, 138 of our 141 stores (including our one new store that opened on February 8, 2021), were operating in some capacity. Of these 138 open stores, 111 were comparable stores.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revenue and store data for the periods indicated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13 weeks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13 weeks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700" w:type="dxa"/>
            <w:vAlign w:val="bottom"/>
            <w:gridSpan w:val="4"/>
          </w:tcPr>
          <w:p>
            <w:pPr>
              <w:jc w:val="center"/>
              <w:ind w:left="1435"/>
              <w:spacing w:after="0"/>
              <w:rPr>
                <w:sz w:val="20"/>
                <w:szCs w:val="20"/>
                <w:color w:val="auto"/>
              </w:rPr>
            </w:pPr>
            <w:r>
              <w:rPr>
                <w:rFonts w:ascii="Arial" w:cs="Arial" w:eastAsia="Arial" w:hAnsi="Arial"/>
                <w:sz w:val="14"/>
                <w:szCs w:val="14"/>
                <w:b w:val="1"/>
                <w:bCs w:val="1"/>
                <w:color w:val="auto"/>
                <w:w w:val="95"/>
              </w:rPr>
              <w:t>May 2, 2021</w:t>
            </w:r>
          </w:p>
        </w:tc>
        <w:tc>
          <w:tcPr>
            <w:tcW w:w="1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May 3, 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265,340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159,806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105,534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store operating weeks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revenues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216,945</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138,636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Comparable store operating weeks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 revenues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Noncomparable store operating weeks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Total revenues increased $105,534, or 66.0%, to $265,340 in the first quarter of fiscal 2021 compared to total revenues of $159,806 in the first quarter of fiscal 2020. The increase in revenue is attributable primarily to more store operating weeks in the first quarter of fiscal 2021 compared to the prior year as a result of temporary store closures in the first quarter of fiscal 2020, as a result of the COVID-19 pandemic. For the thirteen weeks ended May 2, 2021, we derived 22.2% of our total revenue from food sales, 10.1% from beverage sales, 67.5% from amusement sales and 0.2% from other sources. For the thirteen weeks ended May 3, 2020, we derived 26.3% of our total revenue from food sales, 13.7% from beverage sales, 59.3% from amusement sales and 0.7% from other sources. The shift in mix from food and beverage sales to amusement sales of 820 basis points is due, in part, to significantly reduced special events, less discounting of amusements, reduced food and beverage menu offerings and greater capacity restrictions in our dining area due to the impacts of the COVID-19 pandemic.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Comparable store revenue increased $78,309 or 56.5%, in the first quarter of fiscal 2021 compared to the first quarter of fiscal 2020, due primarily to an 86.9% increase in comparable store operating weeks. During the first quarter of fiscal 2021, the number of comparable stores operating in some capacity increased by 32.1%, from 84 stores at the beginning of the current quarter to 111 stores at the end of the current quarter. Comparable store sales and comparable store weeks in the first quarter of fiscal 2021 were approximately 64.8% and 87.9%, respectively, of the levels achieved pre-pandemic during the thirteen week period ended May 5, 2019.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Food sales at comparable stores increased by $11,104, or 31.0%, to $46,956 in the first quarter of fiscal 2021 from $35,852 in the first quarter of fiscal 2020. Beverage sales at comparable stores increased by $2,832, or 15.0%, to $21,732 in the first quarter of fiscal 2021 from $18,900 in the 2020 comparison period. Comparable store amusement and other revenues in the first quarter of fiscal 2021 increased by $64,373, or 76.7%, to $148,257 from $83,884 in the comparable thirteen weeks of fiscal 2020.</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Non-comparable store revenue increased $32,725 in the first quarter of fiscal 2021 compared to the first quarter of fiscal 2020, for the same reasons noted above, including 194 more store operating weeks.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total cost of products was $39,771 for the first quarter of fiscal 2021 and $28,072 for the first quarter of fiscal 2020. The total cost of products as a percentage of total revenues decreased 260 basis points to 15.0% for the first quarter of fiscal 2021 compared to 17.6% for the first quarter of fiscal 2020.</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Cost of food and beverage products increased to $23,157 compared to $17,344 for the first quarter of fiscal 2020. Cost of food and beverage products, as a percentage of food and beverage revenues, decreased 10 basis points to 27.0% for the first quarter of fiscal 2021 from 27.1% for the first quarter of fiscal 2020. Cost of food and beverage products during the first quarter of 2021 was favorably impacted by lower closure-related spoilage costs in the current year partially offset by an increase in the cost of poultry.</w:t>
      </w:r>
    </w:p>
    <w:p>
      <w:pPr>
        <w:spacing w:after="0" w:line="18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Cost of amusement and other increased to $16,614 in the first quarter of fiscal 2021 compared to $10,728 in the first quarter of fiscal 2020. The costs of amusement and other, as a percentage of amusement and other revenues, decreased 190 basis points to 9.3% for the first quarter of fiscal 2021 from 11.2% in the first quarter of fiscal 2020. This decrease was driven primarily by lower ticket redemption activity in the first quarter of fiscal 2021.</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Total operating payroll and benefits increased by $6,542, or 15.0%, to $50,279 in the first quarter of fiscal 2021 compared to $43,737 in the first quarter of fiscal 2020. Nearly all of our store workforce, with the exception of a small team of essential personnel, were furloughed in mid-March 2020. Hourly team members returned only as stores re-opened and at reduced staffing levels. The total cost of operating payroll and benefits as a percentage of total revenues was 18.9% in the first quarter of fiscal 2021 compared to 27.4% in the first quarter of fiscal 2020. This decrease is primarily due to favorable leveraging on management labor in the first quarter of fiscal 2021 compared to the same period of fiscal 2020, and in part due to a leaner operating model while stores continued with limited operations and the geographic mix of our stores.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Other store operating expenses decreased by $11,227, or 11.7%, to $84,445 in the first quarter of fiscal 2021 compared to $95,672 in the first quarter of fiscal 2020. The decrease is primarily due to a $11,549 charge for impairment of long-lived assets and lease termination costs incurred during the first quarter of fiscal 2020. Slightly reduced spend on marketing was offset by increased spend of maintenance and other services as our stores continued to re-open in some capacity throughout the current quarter. Other store operating expense as a percentage of total revenues decreased to 31.9% in the first quarter of fiscal 2021 compared to 59.8% in the first quarter of fiscal 2020. This decrease was due primarily to favorable sales leveraging on occupancy costs and utilities, lower marketing spend and the $11,549 impairment charge in the first quarter of fiscal 2020.</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General and administrative expenses increased by $2,528, or 17.4%, to $17,091 in the first quarter of fiscal 2021 compared to $14,563 in the first quarter of fiscal 2020. The increase in general and administrative expenses was primarily driven by higher share-based compensation cost and incentive compensation. These increases were partially offset by slightly lower labor costs due to the reduction of a number of positions at our corporate office and lower professional services.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Depreciation and amortization expense decreased by $253 or 0.7%, to $35,099 in the first quarter of fiscal 2021 compared to $35,352 in the first quarter of fiscal 2020. Increased depreciation due to our 2021 and 2020 capital expenditures for new stores, operating initiatives, games and maintenance capital, was offset by other assets reaching the end of their depreciable lives.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Pre-opening costs decreased by $2,164 to $1,659 in the first quarter of fiscal 2021 compared to $3,823 in the first quarter of fiscal 2020 due to a decrease in the number of planned new store openings, after construction was reduced as a result of impacts of the COVID-19 pandemic which began during the first quarter of fiscal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Interest expense, net increased by $8,705 to $14,820 in the first quarter of fiscal 2021 compared to $6,115 in the first quarter of fiscal 2020 due primarily to an increase in the weighted average effective interest rate, offset slightly by a decrease in average outstanding debt.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effective tax rate for the thirteen weeks ended May 2, 2021, was 11.5%, compared to a benefit of 35.5% for the thirteen weeks ended May 3,</w:t>
      </w:r>
    </w:p>
    <w:p>
      <w:pPr>
        <w:spacing w:after="0" w:line="46" w:lineRule="exact"/>
        <w:rPr>
          <w:sz w:val="20"/>
          <w:szCs w:val="20"/>
          <w:color w:val="auto"/>
        </w:rPr>
      </w:pPr>
    </w:p>
    <w:p>
      <w:pPr>
        <w:ind w:left="120" w:right="360"/>
        <w:spacing w:after="0" w:line="290" w:lineRule="auto"/>
        <w:rPr>
          <w:sz w:val="20"/>
          <w:szCs w:val="20"/>
          <w:color w:val="auto"/>
        </w:rPr>
      </w:pPr>
      <w:r>
        <w:rPr>
          <w:rFonts w:ascii="Arial" w:cs="Arial" w:eastAsia="Arial" w:hAnsi="Arial"/>
          <w:sz w:val="17"/>
          <w:szCs w:val="17"/>
          <w:color w:val="auto"/>
        </w:rPr>
        <w:t>2020. The current quarter tax provision includes higher excess tax benefits associated with share-based compensation while the prior year was a tax benefit primarily due to the impact of the pre-tax loss before income tax and the impact of the tax provisions within the CARES Act.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response to the business disruption caused by the COVID-19 pandemic which began in the first quarter of fiscal 2020, the Company took the following actions to enable it to meet its obligations over the next twelve months:</w:t>
      </w:r>
    </w:p>
    <w:p>
      <w:pPr>
        <w:spacing w:after="0" w:line="76" w:lineRule="exact"/>
        <w:rPr>
          <w:sz w:val="20"/>
          <w:szCs w:val="20"/>
          <w:color w:val="auto"/>
        </w:rPr>
      </w:pPr>
    </w:p>
    <w:p>
      <w:pPr>
        <w:ind w:left="1540" w:right="280" w:hanging="331"/>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expenses broadly and canceled or delayed all non-essential planned capital spending and halted or delayed planned store openings, except stores that commenced construction prior to the COVID-19 pandemic;</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indefinitely suspended cash dividends and allowed our share repurchase program to expire;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shares of our common stock, generating gross proceeds of $185,600;</w:t>
      </w:r>
    </w:p>
    <w:p>
      <w:pPr>
        <w:spacing w:after="0" w:line="130" w:lineRule="exact"/>
        <w:rPr>
          <w:rFonts w:ascii="Arial" w:cs="Arial" w:eastAsia="Arial" w:hAnsi="Arial"/>
          <w:sz w:val="18"/>
          <w:szCs w:val="18"/>
          <w:color w:val="auto"/>
        </w:rPr>
      </w:pPr>
    </w:p>
    <w:p>
      <w:pPr>
        <w:ind w:left="1540" w:right="60" w:hanging="331"/>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negotiated two amendments with our lenders, resulting in an extension of the maturity date of our revolving credit facility to August 17, 2024 and relief from testing compliance with certain financial covenants until the last day of the fiscal quarter ending on May 1, 2022;</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$550,000 of senior secured notes, maturing November 1, 2025; and</w:t>
      </w:r>
    </w:p>
    <w:p>
      <w:pPr>
        <w:spacing w:after="0" w:line="130" w:lineRule="exact"/>
        <w:rPr>
          <w:rFonts w:ascii="Arial" w:cs="Arial" w:eastAsia="Arial" w:hAnsi="Arial"/>
          <w:sz w:val="18"/>
          <w:szCs w:val="18"/>
          <w:color w:val="auto"/>
        </w:rPr>
      </w:pPr>
    </w:p>
    <w:p>
      <w:pPr>
        <w:ind w:left="1540" w:hanging="331"/>
        <w:spacing w:after="0" w:line="271"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negotiated with our landlords, vendors, and other business partners to temporarily reduce our lease and contract payments and obtain other concessions. During fiscal 2020, a total of 126 initial rent relief agreements related to our operating locations and corporate headquarters were initially executed, which generally provide for full deferral for three months beginning April 2020, with partial deferral continuing for periods of up to six months, at approximately 50% of those locations. As the COVID-19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the first quarter of fiscal 2021, the Company had executed 86 of these additional rent relief agreements.</w:t>
      </w:r>
    </w:p>
    <w:p>
      <w:pPr>
        <w:spacing w:after="0" w:line="178"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Although uncertainty surrounds the timing of re-opening of our remaining stores and lifting of capacity restrictions and other requirements, as well as how quickly customers will return to our stores, due to continued concerns over safety and/or depressed consumer sentiment due to adverse economic conditions, including job losses, the Company has taken measures to provide sufficient liquidity to meet estimated cash flow needs and covenant compliance obligations for at least the next twelve months from the issuance of the financial statements.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spend between $65,000 and $70,000 net of payments from landlord in capital additions during fiscal 2021.</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and Derivatives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Effective April 14, 2020, we amended our existing credit facility, which provided relief from compliance with financial covenants through the third quarter of fiscal 2020. The interest rate spread increased to 2.00% plus a LIBOR floor of 1.00%.</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The Notes were issued by Dave &amp; Buster’s, Inc. and are unconditionally guaranteed by Dave &amp; Buster’s Holdings, Inc. and certain of Dave &amp; Buster’s, Inc. existing and future wholly owned material domestic subsidiaries, which is substantially the same as the guarantors of the Company’s existing credit facility.</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a minimum liquidity (primarily availability under the credit facility) of $150,000. The second amendment extended the maturity date of the $500,000 revolving portion of the facility from August 17, 2022 to August 17, 2024, increased the interest rate spread to 4.00% during the financial covenant suspension period, and instituted a 1.00% utilization fee during that same time period. The utilization fee is due at maturity. After the financial covenant suspension period, the interest rate spread ranges from 1.25% to 3.00%. The second amendment terminated the term loan portion of the credit facility, which triggered payment of $1,900 of lender debt costs associated with the first amendment.</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issuance costs of $18,300, which are being amortized over the terms of the respective Notes and revolving credit facility. The Company also recorded a loss of $904 related to the unamortized debt costs associated with the term portion of the credit facility.</w:t>
      </w:r>
    </w:p>
    <w:p>
      <w:pPr>
        <w:spacing w:after="0" w:line="18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For fiscal 2021 and fiscal 2020, the Company’s weighted average interest rate on outstanding borrowings was 10.15% and 3.59%, respectively. The rate has increased as a result of the issuance of the Notes and the second amendment to the credit facility. As of May 2, 2021, we had letters of credit outstanding of $10,486 and an unused commitment balance of $489,514 under the revolving credit facility.</w:t>
      </w:r>
    </w:p>
    <w:p>
      <w:pPr>
        <w:spacing w:after="0" w:line="16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During fiscal 2019, we entered into interest rate swap agreements to manage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Consolidated Financial Statements for further discussion of our swap agreements, which were de-designated as hedges effective April 14, 2020, the date of the first amendment to our credit facility.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a result of the impacts to our business arising from the COVID -19 pandemic, dividend payments have been indefinitely suspended, and the previously established share repurchase program was allowed to expire at the end of fiscal 2020.</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Flow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May 2, 2021, we had cash and cash equivalents of $20,154.</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b w:val="1"/>
          <w:bCs w:val="1"/>
          <w:i w:val="1"/>
          <w:iCs w:val="1"/>
          <w:color w:val="auto"/>
        </w:rPr>
        <w:t>Operating Activities</w:t>
      </w:r>
      <w:r>
        <w:rPr>
          <w:rFonts w:ascii="Arial" w:cs="Arial" w:eastAsia="Arial" w:hAnsi="Arial"/>
          <w:sz w:val="17"/>
          <w:szCs w:val="17"/>
          <w:color w:val="auto"/>
        </w:rPr>
        <w:t>— Cash flow from operations typically provides us with a significant source of liquidity. Our operating cash flows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7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Cash flow from operating activities increased $60,379 in the first quarter of fiscal 2021 compared to the first quarter of fiscal 2020 driven primarily by the impact of approximately 800 more store weeks.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flow from investing activities primarily reflects capital expenditures.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first quarter of fiscal 2021, the Company spent approximately $7,600 for new store construction and operating improvement initiatives, $2,100 for game refreshment and $700 for maintenance capital.</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During the first quarter of fiscal 2020, the Company spent approximately $41,400 for new store construction and operating improvement initiatives, $7,800 for game refreshment and $6,000 for maintenance capital.</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 During the first quarter of fiscal 2021, the Company had net repayments of $60,000 of its revolving credit facility.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quarter of fiscal year 2020, the Company drew down substantially all the available credit under our revolving credit facility, or approximately $100,000 and received net proceeds of approximately $72,000 from the issuance of shares of our common stock.</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since January 31, 2021, as reported on Form10-K filed with the SEC on March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March 31,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37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variable rate indebtedness under our $500,000 revolving credit facility is based on one-month LIBOR, with a LIBOR floor of 1.00%. Our interest rate swap agreements, with a combined notional amount of $350,000, convert one-month LIBOR to a fixed interest rate of approximately 2.47% through August 17, 2022. As of May 2, 2021, one-month LIBOR is below 1.00%.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 large portion of our hourly employees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31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ectPr>
          <w:pgSz w:w="11900" w:h="16838" w:orient="portrait"/>
          <w:cols w:equalWidth="0" w:num="1">
            <w:col w:w="11120"/>
          </w:cols>
          <w:pgMar w:left="320" w:top="486" w:right="45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86"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our first quarter ended May 2, 2021, that have materially affected, or are reasonably likely to materially affect, our internal control over financial reporting.</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5 to our Unaudited Consolidated Financial Statements set forth in Part I of this report.</w:t>
      </w:r>
    </w:p>
    <w:p>
      <w:pPr>
        <w:spacing w:after="0" w:line="31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center"/>
        <w:ind w:left="520" w:right="360"/>
        <w:spacing w:after="0" w:line="449" w:lineRule="auto"/>
        <w:rPr>
          <w:sz w:val="20"/>
          <w:szCs w:val="20"/>
          <w:color w:val="auto"/>
        </w:rPr>
      </w:pPr>
      <w:r>
        <w:rPr>
          <w:rFonts w:ascii="Arial" w:cs="Arial" w:eastAsia="Arial" w:hAnsi="Arial"/>
          <w:sz w:val="18"/>
          <w:szCs w:val="18"/>
          <w:color w:val="auto"/>
        </w:rPr>
        <w:t>There have been no material changes in the risk factors previously disclosed in our Annual Report as filed on Form 10-K on March 31, 2021. 25</w:t>
      </w:r>
    </w:p>
    <w:p>
      <w:pPr>
        <w:sectPr>
          <w:pgSz w:w="11900" w:h="16838" w:orient="portrait"/>
          <w:cols w:equalWidth="0" w:num="1">
            <w:col w:w="11080"/>
          </w:cols>
          <w:pgMar w:left="320" w:top="48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repurchases of our common stock under our share repurchase plan during the thirteen weeks ended May 2, 2021.</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139"/>
          </w:cols>
          <w:pgMar w:left="320" w:top="486"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920" w:type="dxa"/>
            <w:vAlign w:val="bottom"/>
            <w:gridSpan w:val="10"/>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40" w:type="dxa"/>
            <w:vAlign w:val="bottom"/>
            <w:gridSpan w:val="6"/>
          </w:tcPr>
          <w:p>
            <w:pPr>
              <w:ind w:left="11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1"/>
                <w:szCs w:val="21"/>
                <w:color w:val="auto"/>
              </w:rPr>
            </w:pPr>
          </w:p>
        </w:tc>
        <w:tc>
          <w:tcPr>
            <w:tcW w:w="9920" w:type="dxa"/>
            <w:vAlign w:val="bottom"/>
            <w:gridSpan w:val="10"/>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Amended and Restated Description of the Registrant’s Securities Registered Pursuant to Section 12 of the Securities Exchange Act of</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1934.</w:t>
              </w:r>
            </w:hyperlink>
          </w:p>
        </w:tc>
        <w:tc>
          <w:tcPr>
            <w:tcW w:w="3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31.1*</w:t>
            </w:r>
          </w:p>
        </w:tc>
        <w:tc>
          <w:tcPr>
            <w:tcW w:w="600" w:type="dxa"/>
            <w:vAlign w:val="bottom"/>
          </w:tcPr>
          <w:p>
            <w:pPr>
              <w:spacing w:after="0"/>
              <w:rPr>
                <w:sz w:val="24"/>
                <w:szCs w:val="24"/>
                <w:color w:val="auto"/>
              </w:rPr>
            </w:pPr>
          </w:p>
        </w:tc>
        <w:tc>
          <w:tcPr>
            <w:tcW w:w="9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Brian A. Jenkins, Chief Executive Officer of the Registrant, pursuant to 17 CFR 240.13a-14(a) or 17 CFR 240.15d-14(a).</w:t>
              </w:r>
            </w:hyperlink>
          </w:p>
        </w:tc>
        <w:tc>
          <w:tcPr>
            <w:tcW w:w="20" w:type="dxa"/>
            <w:vAlign w:val="bottom"/>
          </w:tcPr>
          <w:p>
            <w:pPr>
              <w:spacing w:after="0"/>
              <w:rPr>
                <w:sz w:val="24"/>
                <w:szCs w:val="24"/>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31.2*</w:t>
            </w:r>
          </w:p>
        </w:tc>
        <w:tc>
          <w:tcPr>
            <w:tcW w:w="600" w:type="dxa"/>
            <w:vAlign w:val="bottom"/>
          </w:tcPr>
          <w:p>
            <w:pPr>
              <w:spacing w:after="0"/>
              <w:rPr>
                <w:sz w:val="24"/>
                <w:szCs w:val="24"/>
                <w:color w:val="auto"/>
              </w:rPr>
            </w:pPr>
          </w:p>
        </w:tc>
        <w:tc>
          <w:tcPr>
            <w:tcW w:w="9920" w:type="dxa"/>
            <w:vAlign w:val="bottom"/>
            <w:gridSpan w:val="10"/>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Scott J. Bowman, Chief Financial Officer of the Registrant, pursuant to 17 CFR 240.13a-14(a) or 17 CFR 240.15d-14(a).</w:t>
              </w:r>
            </w:hyperlink>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32.1*</w:t>
            </w:r>
          </w:p>
        </w:tc>
        <w:tc>
          <w:tcPr>
            <w:tcW w:w="600" w:type="dxa"/>
            <w:vAlign w:val="bottom"/>
          </w:tcPr>
          <w:p>
            <w:pPr>
              <w:spacing w:after="0"/>
              <w:rPr>
                <w:sz w:val="24"/>
                <w:szCs w:val="24"/>
                <w:color w:val="auto"/>
              </w:rPr>
            </w:pPr>
          </w:p>
        </w:tc>
        <w:tc>
          <w:tcPr>
            <w:tcW w:w="9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Brian A. Jenkins, Chief Executive Officer of the Registrant, pursuant to 18 U.S.C. Section 1350, as adopted pursuant to</w:t>
              </w:r>
            </w:hyperlink>
          </w:p>
        </w:tc>
        <w:tc>
          <w:tcPr>
            <w:tcW w:w="100" w:type="dxa"/>
            <w:vAlign w:val="bottom"/>
            <w:tcBorders>
              <w:top w:val="single" w:sz="8" w:color="0000EE"/>
            </w:tcBorders>
          </w:tcPr>
          <w:p>
            <w:pPr>
              <w:spacing w:after="0"/>
              <w:rPr>
                <w:sz w:val="24"/>
                <w:szCs w:val="24"/>
                <w:color w:val="auto"/>
              </w:rPr>
            </w:pPr>
          </w:p>
        </w:tc>
        <w:tc>
          <w:tcPr>
            <w:tcW w:w="60" w:type="dxa"/>
            <w:vAlign w:val="bottom"/>
            <w:gridSpan w:val="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Section 906 of the Sarbanes-Oxley Act of 2002.</w:t>
              </w:r>
            </w:hyperlink>
          </w:p>
        </w:tc>
        <w:tc>
          <w:tcPr>
            <w:tcW w:w="6440" w:type="dxa"/>
            <w:vAlign w:val="bottom"/>
            <w:gridSpan w:val="6"/>
          </w:tcPr>
          <w:p>
            <w:pPr>
              <w:spacing w:after="0"/>
              <w:rPr>
                <w:sz w:val="17"/>
                <w:szCs w:val="17"/>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32.2*</w:t>
            </w:r>
          </w:p>
        </w:tc>
        <w:tc>
          <w:tcPr>
            <w:tcW w:w="600" w:type="dxa"/>
            <w:vAlign w:val="bottom"/>
          </w:tcPr>
          <w:p>
            <w:pPr>
              <w:spacing w:after="0"/>
              <w:rPr>
                <w:sz w:val="24"/>
                <w:szCs w:val="24"/>
                <w:color w:val="auto"/>
              </w:rPr>
            </w:pPr>
          </w:p>
        </w:tc>
        <w:tc>
          <w:tcPr>
            <w:tcW w:w="9920" w:type="dxa"/>
            <w:vAlign w:val="bottom"/>
            <w:gridSpan w:val="10"/>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Scott J. Bowman, Chief Financial Officer of the Registrant, pursuant to 18 U.S.C. Section 1350, as adopted pursuant to</w:t>
              </w:r>
            </w:hyperlink>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Section 906 of the Sarbanes-Oxley Act of 2002.</w:t>
              </w:r>
            </w:hyperlink>
          </w:p>
        </w:tc>
        <w:tc>
          <w:tcPr>
            <w:tcW w:w="200" w:type="dxa"/>
            <w:vAlign w:val="bottom"/>
            <w:gridSpan w:val="4"/>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r>
      <w:tr>
        <w:trPr>
          <w:trHeight w:val="330"/>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10"/>
          </w:tcPr>
          <w:p>
            <w:pPr>
              <w:spacing w:after="0"/>
              <w:rPr>
                <w:sz w:val="20"/>
                <w:szCs w:val="20"/>
                <w:color w:val="auto"/>
              </w:rPr>
            </w:pPr>
            <w:r>
              <w:rPr>
                <w:rFonts w:ascii="Arial" w:cs="Arial" w:eastAsia="Arial" w:hAnsi="Arial"/>
                <w:sz w:val="18"/>
                <w:szCs w:val="18"/>
                <w:color w:val="auto"/>
                <w:w w:val="96"/>
              </w:rPr>
              <w:t>XBRL Inline Instance Document—the instance document does not appear in the Interactive Data File because its XBRL tags are</w:t>
            </w: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0"/>
          </w:tcPr>
          <w:p>
            <w:pPr>
              <w:spacing w:after="0"/>
              <w:rPr>
                <w:sz w:val="20"/>
                <w:szCs w:val="20"/>
                <w:color w:val="auto"/>
              </w:rPr>
            </w:pPr>
            <w:r>
              <w:rPr>
                <w:rFonts w:ascii="Arial" w:cs="Arial" w:eastAsia="Arial" w:hAnsi="Arial"/>
                <w:sz w:val="18"/>
                <w:szCs w:val="18"/>
                <w:color w:val="auto"/>
              </w:rPr>
              <w:t>XBRL Inline Taxonomy Extension Schema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0"/>
          </w:tcPr>
          <w:p>
            <w:pPr>
              <w:spacing w:after="0"/>
              <w:rPr>
                <w:sz w:val="20"/>
                <w:szCs w:val="20"/>
                <w:color w:val="auto"/>
              </w:rPr>
            </w:pPr>
            <w:r>
              <w:rPr>
                <w:rFonts w:ascii="Arial" w:cs="Arial" w:eastAsia="Arial" w:hAnsi="Arial"/>
                <w:sz w:val="18"/>
                <w:szCs w:val="18"/>
                <w:color w:val="auto"/>
              </w:rPr>
              <w:t>XBRL Inline Taxonomy Extension Calculation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0"/>
          </w:tcPr>
          <w:p>
            <w:pPr>
              <w:spacing w:after="0"/>
              <w:rPr>
                <w:sz w:val="20"/>
                <w:szCs w:val="20"/>
                <w:color w:val="auto"/>
              </w:rPr>
            </w:pPr>
            <w:r>
              <w:rPr>
                <w:rFonts w:ascii="Arial" w:cs="Arial" w:eastAsia="Arial" w:hAnsi="Arial"/>
                <w:sz w:val="18"/>
                <w:szCs w:val="18"/>
                <w:color w:val="auto"/>
              </w:rPr>
              <w:t>XBRL Inline Taxonomy Extension Definition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0"/>
          </w:tcPr>
          <w:p>
            <w:pPr>
              <w:spacing w:after="0"/>
              <w:rPr>
                <w:sz w:val="20"/>
                <w:szCs w:val="20"/>
                <w:color w:val="auto"/>
              </w:rPr>
            </w:pPr>
            <w:r>
              <w:rPr>
                <w:rFonts w:ascii="Arial" w:cs="Arial" w:eastAsia="Arial" w:hAnsi="Arial"/>
                <w:sz w:val="18"/>
                <w:szCs w:val="18"/>
                <w:color w:val="auto"/>
              </w:rPr>
              <w:t>XBRL Inline Taxonomy Extension Label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10"/>
          </w:tcPr>
          <w:p>
            <w:pPr>
              <w:spacing w:after="0"/>
              <w:rPr>
                <w:sz w:val="20"/>
                <w:szCs w:val="20"/>
                <w:color w:val="auto"/>
              </w:rPr>
            </w:pPr>
            <w:r>
              <w:rPr>
                <w:rFonts w:ascii="Arial" w:cs="Arial" w:eastAsia="Arial" w:hAnsi="Arial"/>
                <w:sz w:val="18"/>
                <w:szCs w:val="18"/>
                <w:color w:val="auto"/>
              </w:rPr>
              <w:t>XBRL Inline Taxonomy Extension Presentation Linkbase Document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35"/>
        </w:trPr>
        <w:tc>
          <w:tcPr>
            <w:tcW w:w="110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w w:val="97"/>
              </w:rPr>
              <w:t>*  Filed herein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6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20" w:type="dxa"/>
            <w:vAlign w:val="bottom"/>
            <w:gridSpan w:val="5"/>
          </w:tcPr>
          <w:p>
            <w:pPr>
              <w:ind w:left="43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A. Jenkins</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Bowman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86" w:right="5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AMENDED AND RESTATED DESCRIPTION OF THE REGISTRANT’S SECURITIES REGISTERED PURSUANT TO SECTION 12 OF THE SECURITIES EXCHANGE ACT OF 1934</w:t>
      </w:r>
    </w:p>
    <w:p>
      <w:pPr>
        <w:spacing w:after="0" w:line="1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Dave &amp; Buster’s Entertainment, Inc. (“we,” “our,” “us” or the “Company”) has one class of securities registered under Section 12 of the Securities Exchange Act of 1934, as amended (the “Exchange Act”):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following description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our Annual Report on Form 10-K, of which this Exhibit 4.1 is a part, and are incorporated by reference herein. We encourage you to read our amended and restated certificate of incorporation, our amended and restated bylaws and the applicable provisions of the Delaware General Corporation Law (the “DGCL”) for more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Classes of Stock</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total number of shares of all classes of capital stock that we are authorized to issue is 450,000,000 shares, which is divided into two classes of stock designated “common stock” and “preferred stock.” The total number of shares of common stock that we are authorized to issue is 400,000,000 shares, par value $0.01 per share. The total number of shares of preferred stock that we are authorized to issue is 50,000,000 shares, par value $0.01 per share.</w:t>
      </w:r>
    </w:p>
    <w:p>
      <w:pPr>
        <w:spacing w:after="0" w:line="14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Subject to the rights of the holders of any series of preferred stock, the number of authorized shares of either the common stock or preferred stock may be increased or decreased (but not below the number of shares thereof then outstanding) by the affirmative vote of the holders of a majority in voting power of the stock of the Company entitled to vote thereon irrespective of the provisions of Section 242(b)(2) of the General Corporation Law of the State of Delaware, or DGCL, and no vote of the holders of either the common stock or preferred stock voting separately as a class shall be required therefor.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shares of our common stock are entitled to the following rights: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Except as otherwise provided by law or by the resolution or resolutions providing for the issue of any series of preferred stock, the holders of outstanding shares of common stock shall have the exclusive right to vote for the election of directors and for all other purposes. Notwithstanding any other provision to the contrary included in our restated certificate of incorporation, the holders of shares of our common stock shall not be entitled to vote on any amendment to the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the restated certificate of incorporation or the DGCL.</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each matter on which they are entitled to vote, the holders of the outstanding shares of common stock are entitled to one vote for each share of common stock held by such stockholder.</w:t>
      </w:r>
    </w:p>
    <w:p>
      <w:pPr>
        <w:sectPr>
          <w:pgSz w:w="11900" w:h="16838" w:orient="portrait"/>
          <w:cols w:equalWidth="0" w:num="1">
            <w:col w:w="11020"/>
          </w:cols>
          <w:pgMar w:left="440" w:top="121"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Rights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Subject to the rights of the holders of preferred stock, holders of shares of our common stock are entitled to receive such dividends and other distributions in cash, stock or property of the Company when, as and if declared thereon by the Board of Directors from time to time out of assets or funds of the Company legally available therefor.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Subject to the rights of the holders of preferred stock, holders of shares of common stock shall be entitled to receive the assets and funds of the Company available for distribution to stockholders in the event of any liquidation, dissolution or winding up of the affairs of the Company, whether voluntary or involuntary. A liquidation, dissolution or winding up of the affairs of the Company shall not be deemed to be occasioned by or to include any consolidation or merger of the Company with or into any other person or a sale, lease, exchange or conveyance of all or a part of its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stockholders have no subscription, redemption or conversion privileges. Our common stock does not entitle its holders to preemptive rights for additional shares and does not have any sinking fund provisions. All of the outstanding shares of our common stock are fully paid and nonassessable. The rights, preferences and privileges of the holders of our common stock are subject to the rights of the holders of shares of any series of preferred stock which we may issue.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Shares of preferred stock may be issued from time to time in one or more series. The Board of Directors is authorized to provide by resolution or resolutions from time to time for the issuance, out of the unissued shares of preferred stock, of one or more series of preferred stock by filing a certificate pursuant to the DGCL, or the Preferred Stock Designation, setting forth such resolution or resolutions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if any, of the shares of each such series and any qualifications, limitations or restrictions thereof. The powers, designation, preferences and relative, participating, optional and other special rights of each series of preferred stock, and the qualifications, limitations and restrictions thereof, if any, may differ from those of any and all other series at any time outstanding. The authority of the Board of Directors with respect to each series of preferred stock shall include, but not be limited to, the determination of the following:</w:t>
      </w:r>
    </w:p>
    <w:p>
      <w:pPr>
        <w:spacing w:after="0" w:line="86"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name, number, letter or title;</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75" w:lineRule="exact"/>
        <w:rPr>
          <w:rFonts w:ascii="Arial" w:cs="Arial" w:eastAsia="Arial" w:hAnsi="Arial"/>
          <w:sz w:val="18"/>
          <w:szCs w:val="18"/>
          <w:color w:val="auto"/>
        </w:rPr>
      </w:pPr>
    </w:p>
    <w:p>
      <w:pPr>
        <w:ind w:left="960" w:right="20" w:hanging="424"/>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rights in respect of any dividends (or methods of determining the dividends), if any, payable to the holders of the shares of such series, any conditions upon which such dividends shall be paid, the amounts or rates at which dividends, if any, will be payable on, and the preferences, if any, of shares of such series in respect of dividends, whether such dividends, if any, shall be cumulative or noncumulative and the date or dates upon which such dividends shall be payable;</w:t>
      </w:r>
    </w:p>
    <w:p>
      <w:pPr>
        <w:spacing w:after="0" w:line="92" w:lineRule="exact"/>
        <w:rPr>
          <w:rFonts w:ascii="Arial" w:cs="Arial" w:eastAsia="Arial" w:hAnsi="Arial"/>
          <w:sz w:val="18"/>
          <w:szCs w:val="18"/>
          <w:color w:val="auto"/>
        </w:rPr>
      </w:pPr>
    </w:p>
    <w:p>
      <w:pPr>
        <w:ind w:left="960" w:right="2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 the form of payment of such price or prices (which may be cash, property or rights, including securities of the Company or another corporation or entity) for which, the period or periods within which and the other</w:t>
      </w:r>
    </w:p>
    <w:p>
      <w:pPr>
        <w:sectPr>
          <w:pgSz w:w="11900" w:h="16838" w:orient="portrait"/>
          <w:cols w:equalWidth="0" w:num="1">
            <w:col w:w="10920"/>
          </w:cols>
          <w:pgMar w:left="440" w:top="274" w:right="539" w:bottom="1440" w:gutter="0" w:footer="0" w:header="0"/>
        </w:sectPr>
      </w:pPr>
    </w:p>
    <w:bookmarkStart w:id="30" w:name="page31"/>
    <w:bookmarkEnd w:id="30"/>
    <w:p>
      <w:pPr>
        <w:ind w:left="98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and conditions upon which the shares of such series may be redeemed, in whole or in part, at the option of the Company or at the option of the holder or holders thereof or upon the happening of a specified event or events, if any, including the obligation, if any, of the Company to purchase or redeem shares of such series pursuant to a sinking fund or otherwise;</w:t>
      </w:r>
    </w:p>
    <w:p>
      <w:pPr>
        <w:spacing w:after="0" w:line="71" w:lineRule="exact"/>
        <w:rPr>
          <w:sz w:val="20"/>
          <w:szCs w:val="20"/>
          <w:color w:val="auto"/>
        </w:rPr>
      </w:pPr>
    </w:p>
    <w:p>
      <w:pPr>
        <w:ind w:left="960" w:right="18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payable out of the assets of the Company on, and the preferences, if any, of shares of the series in the event of any voluntary or involuntary liquidation, dissolution or winding up of the affairs of the Company;</w:t>
      </w:r>
    </w:p>
    <w:p>
      <w:pPr>
        <w:spacing w:after="0" w:line="75" w:lineRule="exact"/>
        <w:rPr>
          <w:rFonts w:ascii="Arial" w:cs="Arial" w:eastAsia="Arial" w:hAnsi="Arial"/>
          <w:sz w:val="18"/>
          <w:szCs w:val="18"/>
          <w:color w:val="auto"/>
        </w:rPr>
      </w:pPr>
    </w:p>
    <w:p>
      <w:pPr>
        <w:ind w:left="960" w:right="240" w:hanging="424"/>
        <w:spacing w:after="0" w:line="279"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the shares of the series shall be convertible into or exchangeable for, shares of any other class or series, or any other security, of the Company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76" w:lineRule="exact"/>
        <w:rPr>
          <w:rFonts w:ascii="Arial" w:cs="Arial" w:eastAsia="Arial" w:hAnsi="Arial"/>
          <w:sz w:val="17"/>
          <w:szCs w:val="17"/>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restrictions on the issuance of shares of the same series or any other class or series;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generally or upon specified events; and</w:t>
      </w:r>
    </w:p>
    <w:p>
      <w:pPr>
        <w:spacing w:after="0" w:line="130"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or other special rights of each series of preferred stock, and any qualifications, limitations or restrictions thereof, all as may be determined from time to time by the Board of Directors and stated in the resolution or resolutions providing for the issuance of such series of preferred stock.</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Certain Provisions of Delaware Law</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spacing w:after="0" w:line="29" w:lineRule="exact"/>
        <w:rPr>
          <w:sz w:val="20"/>
          <w:szCs w:val="20"/>
          <w:color w:val="auto"/>
        </w:rPr>
      </w:pPr>
    </w:p>
    <w:p>
      <w:pPr>
        <w:ind w:left="960" w:right="44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960" w:right="480" w:hanging="424"/>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subject to exceptions; or</w:t>
      </w:r>
    </w:p>
    <w:p>
      <w:pPr>
        <w:spacing w:after="0" w:line="29" w:lineRule="exact"/>
        <w:rPr>
          <w:rFonts w:ascii="Arial" w:cs="Arial" w:eastAsia="Arial" w:hAnsi="Arial"/>
          <w:sz w:val="16"/>
          <w:szCs w:val="16"/>
          <w:color w:val="auto"/>
        </w:rPr>
      </w:pPr>
    </w:p>
    <w:p>
      <w:pPr>
        <w:ind w:left="960" w:right="20" w:hanging="424"/>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131" w:lineRule="exact"/>
        <w:rPr>
          <w:sz w:val="20"/>
          <w:szCs w:val="20"/>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merger or consolidation involving the Company and the interested stockholder;</w:t>
      </w:r>
    </w:p>
    <w:p>
      <w:pPr>
        <w:spacing w:after="0" w:line="130"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Company involving the interested stockholders;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Company of any stock of the Company to the interested stockholder, subject to limited exceptions;</w:t>
      </w:r>
    </w:p>
    <w:p>
      <w:pPr>
        <w:sectPr>
          <w:pgSz w:w="11900" w:h="16838" w:orient="portrait"/>
          <w:cols w:equalWidth="0" w:num="1">
            <w:col w:w="11000"/>
          </w:cols>
          <w:pgMar w:left="440" w:top="274" w:right="459" w:bottom="1440" w:gutter="0" w:footer="0" w:header="0"/>
        </w:sectPr>
      </w:pPr>
    </w:p>
    <w:bookmarkStart w:id="31" w:name="page32"/>
    <w:bookmarkEnd w:id="31"/>
    <w:p>
      <w:pPr>
        <w:ind w:left="960" w:right="30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transaction involving the Company that has the effect of increasing the proportionate share of the stock of any class or series of the Company beneficially owned by the interested stockholder; or</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of any loans, advances, guarantees, pledges or other financial benefits provided by or through the Company.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outstanding voting stock and any entity or person affiliated with or controlling or controlled by such entity or person.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our Constituent Documents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and bylaws include a number of provisions that may discourage, delay or prevent a merger, acquisition or other change in control of the Company, even if such a change in control would be beneficial to our stockholders, including, among other things:</w:t>
      </w:r>
    </w:p>
    <w:p>
      <w:pPr>
        <w:spacing w:after="0" w:line="89" w:lineRule="exact"/>
        <w:rPr>
          <w:sz w:val="20"/>
          <w:szCs w:val="20"/>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fill a vacancy on the Board of Directors;</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issue preferred stock with terms that the Board of Directors may determine, without stockholder approval, which could be used to significantly dilute the ownership of a hostile acquirer;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 of stockholders;</w:t>
      </w:r>
    </w:p>
    <w:p>
      <w:pPr>
        <w:spacing w:after="0" w:line="130"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restriction to the effect that special meetings of our stockholders can be called only upon the request of a majority of our Board of Directors or our Chief Executive Officer;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directors, which may limit the ability of minority stockholders to elect directors; and</w:t>
      </w:r>
    </w:p>
    <w:p>
      <w:pPr>
        <w:spacing w:after="0" w:line="142"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us.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that these provisions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in the State of Delaware will be the sole and exclusive forum for:</w:t>
      </w:r>
    </w:p>
    <w:p>
      <w:pPr>
        <w:spacing w:after="0" w:line="76" w:lineRule="exact"/>
        <w:rPr>
          <w:sz w:val="20"/>
          <w:szCs w:val="20"/>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the Company;</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employee of the Company to the Company or the Company’s stockholders,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ectPr>
          <w:pgSz w:w="11900" w:h="16838" w:orient="portrait"/>
          <w:cols w:equalWidth="0" w:num="1">
            <w:col w:w="11000"/>
          </w:cols>
          <w:pgMar w:left="440" w:top="274"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Agent and Registrar</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transfer agent and registrar for our common stock and our Preferred Stock Purchase Rights is Computershare Trust Company, N.A. Following the expiration of the Preferred Stock Purchase Rights, the Rights Plan appointing Computershare Trust Company, N.A., as the transfer agent and registrar for the Preferred Stock Purchase Rights has terminated.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“PLAY.”</w:t>
      </w:r>
    </w:p>
    <w:p>
      <w:pPr>
        <w:sectPr>
          <w:pgSz w:w="11900" w:h="16838" w:orient="portrait"/>
          <w:cols w:equalWidth="0" w:num="1">
            <w:col w:w="10820"/>
          </w:cols>
          <w:pgMar w:left="440" w:top="270" w:right="6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80" w:hanging="532"/>
        <w:spacing w:after="0" w:line="263" w:lineRule="auto"/>
        <w:tabs>
          <w:tab w:leader="none" w:pos="9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4"/>
          </w:cols>
          <w:pgMar w:left="436"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Scott J. Bowman,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8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May 2, 2021 as filed with the Securities and Exchange Commission on the date hereof (the “Report”), I, Brian A. Jenkins, Chief Executive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May 2, 2021 as filed with the Securities and Exchange Commission on the date hereof (the “Report”), I, Scott J. Bowman, Chief Financial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2021-06-10T16:07:09Z</dcterms:created>
  <dcterms:modified xsi:type="dcterms:W3CDTF">2021-06-10T16:07:09Z</dcterms:modified>
</cp:coreProperties>
</file>