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Dave &amp; Busters Entertainment, Inc.</w:t>
      </w:r>
    </w:p>
    <w:p>
      <w:pPr>
        <w:spacing w:after="0" w:line="200" w:lineRule="exact"/>
        <w:rPr>
          <w:sz w:val="24"/>
          <w:szCs w:val="24"/>
          <w:color w:val="auto"/>
        </w:rPr>
      </w:pPr>
    </w:p>
    <w:p>
      <w:pPr>
        <w:spacing w:after="0" w:line="204"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238337109</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2018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739" w:hanging="6"/>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238337109</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31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2,241,352</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1,992,102</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337,192</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2,374,008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6.14%</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38"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238337109</w:t>
      </w:r>
    </w:p>
    <w:p>
      <w:pPr>
        <w:spacing w:after="0" w:line="200" w:lineRule="exact"/>
        <w:rPr>
          <w:sz w:val="24"/>
          <w:szCs w:val="24"/>
          <w:color w:val="auto"/>
        </w:rPr>
      </w:pPr>
    </w:p>
    <w:p>
      <w:pPr>
        <w:sectPr>
          <w:pgSz w:w="11900" w:h="16838" w:orient="portrait"/>
          <w:cols w:equalWidth="0" w:num="2">
            <w:col w:w="1380" w:space="320"/>
            <w:col w:w="8519"/>
          </w:cols>
          <w:pgMar w:left="24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38" w:orient="portrait"/>
          <w:cols w:equalWidth="0" w:num="2">
            <w:col w:w="5180" w:space="720"/>
            <w:col w:w="4319"/>
          </w:cols>
          <w:pgMar w:left="24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New York</w:t>
      </w:r>
    </w:p>
    <w:p>
      <w:pPr>
        <w:spacing w:after="0" w:line="200" w:lineRule="exact"/>
        <w:rPr>
          <w:sz w:val="24"/>
          <w:szCs w:val="24"/>
          <w:color w:val="auto"/>
        </w:rPr>
      </w:pPr>
    </w:p>
    <w:p>
      <w:pPr>
        <w:sectPr>
          <w:pgSz w:w="11900" w:h="16838" w:orient="portrait"/>
          <w:cols w:equalWidth="0" w:num="2">
            <w:col w:w="6240" w:space="720"/>
            <w:col w:w="32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1,986,740</w:t>
      </w:r>
    </w:p>
    <w:p>
      <w:pPr>
        <w:spacing w:after="0" w:line="20" w:lineRule="exact"/>
        <w:rPr>
          <w:sz w:val="24"/>
          <w:szCs w:val="24"/>
          <w:color w:val="auto"/>
        </w:rPr>
      </w:pPr>
    </w:p>
    <w:p>
      <w:pPr>
        <w:sectPr>
          <w:pgSz w:w="11900" w:h="16838" w:orient="portrait"/>
          <w:cols w:equalWidth="0" w:num="3">
            <w:col w:w="2660" w:space="720"/>
            <w:col w:w="2760" w:space="720"/>
            <w:col w:w="335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800" w:type="dxa"/>
            <w:vAlign w:val="bottom"/>
          </w:tcPr>
          <w:p>
            <w:pPr>
              <w:ind w:left="100"/>
              <w:spacing w:after="0"/>
              <w:rPr>
                <w:sz w:val="20"/>
                <w:szCs w:val="20"/>
                <w:color w:val="auto"/>
              </w:rPr>
            </w:pPr>
            <w:r>
              <w:rPr>
                <w:rFonts w:ascii="Courier New" w:cs="Courier New" w:eastAsia="Courier New" w:hAnsi="Courier New"/>
                <w:sz w:val="18"/>
                <w:szCs w:val="18"/>
                <w:color w:val="auto"/>
              </w:rPr>
              <w:t>Shared</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1,737,490</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800" w:type="dxa"/>
            <w:vAlign w:val="bottom"/>
          </w:tcPr>
          <w:p>
            <w:pPr>
              <w:ind w:left="100"/>
              <w:spacing w:after="0"/>
              <w:rPr>
                <w:sz w:val="20"/>
                <w:szCs w:val="20"/>
                <w:color w:val="auto"/>
              </w:rPr>
            </w:pPr>
            <w:r>
              <w:rPr>
                <w:rFonts w:ascii="Courier New" w:cs="Courier New" w:eastAsia="Courier New" w:hAnsi="Courier New"/>
                <w:sz w:val="18"/>
                <w:szCs w:val="18"/>
                <w:color w:val="auto"/>
              </w:rPr>
              <w:t>Shared</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337,192</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2,119,396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5.48%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238337109</w:t>
      </w:r>
    </w:p>
    <w:p>
      <w:pPr>
        <w:spacing w:after="0" w:line="200" w:lineRule="exact"/>
        <w:rPr>
          <w:sz w:val="20"/>
          <w:szCs w:val="20"/>
          <w:color w:val="auto"/>
        </w:rPr>
      </w:pPr>
    </w:p>
    <w:p>
      <w:pPr>
        <w:sectPr>
          <w:pgSz w:w="11900" w:h="16838" w:orient="portrait"/>
          <w:cols w:equalWidth="0" w:num="2">
            <w:col w:w="1380" w:space="320"/>
            <w:col w:w="8519"/>
          </w:cols>
          <w:pgMar w:left="24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159"/>
          </w:cols>
          <w:pgMar w:left="240" w:top="136" w:right="1440" w:bottom="0" w:gutter="0" w:footer="0" w:header="0"/>
          <w:type w:val="continuous"/>
        </w:sectPr>
      </w:pPr>
    </w:p>
    <w:p>
      <w:pPr>
        <w:spacing w:after="0" w:line="1"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1,986,740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1,737,490</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337,192</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346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2,119,396</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3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5.48%</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r>
        <w:trPr>
          <w:trHeight w:val="810"/>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rPr>
              <w:t>SCHEDULE 13G</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4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Dave &amp; Busters Entertainment, Inc.</w:t>
            </w:r>
          </w:p>
        </w:tc>
        <w:tc>
          <w:tcPr>
            <w:tcW w:w="320" w:type="dxa"/>
            <w:vAlign w:val="bottom"/>
          </w:tcPr>
          <w:p>
            <w:pPr>
              <w:spacing w:after="0"/>
              <w:rPr>
                <w:sz w:val="24"/>
                <w:szCs w:val="24"/>
                <w:color w:val="auto"/>
              </w:rPr>
            </w:pPr>
          </w:p>
        </w:tc>
      </w:tr>
      <w:tr>
        <w:trPr>
          <w:trHeight w:val="608"/>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60" w:type="dxa"/>
            <w:vAlign w:val="bottom"/>
          </w:tcPr>
          <w:p>
            <w:pPr>
              <w:ind w:left="300"/>
              <w:spacing w:after="0"/>
              <w:rPr>
                <w:sz w:val="20"/>
                <w:szCs w:val="20"/>
                <w:color w:val="auto"/>
              </w:rPr>
            </w:pPr>
            <w:r>
              <w:rPr>
                <w:rFonts w:ascii="Courier New" w:cs="Courier New" w:eastAsia="Courier New" w:hAnsi="Courier New"/>
                <w:sz w:val="18"/>
                <w:szCs w:val="18"/>
                <w:color w:val="auto"/>
              </w:rPr>
              <w:t>2481 Manana Drive</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Dallas, Texas  75220</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United States</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2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20"/>
        <w:spacing w:after="0"/>
        <w:rPr>
          <w:sz w:val="20"/>
          <w:szCs w:val="20"/>
          <w:color w:val="auto"/>
        </w:rPr>
      </w:pPr>
      <w:r>
        <w:rPr>
          <w:rFonts w:ascii="Courier New" w:cs="Courier New" w:eastAsia="Courier New" w:hAnsi="Courier New"/>
          <w:sz w:val="18"/>
          <w:szCs w:val="18"/>
          <w:color w:val="auto"/>
        </w:rPr>
        <w:t>identified on the second part of the</w:t>
      </w:r>
    </w:p>
    <w:p>
      <w:pPr>
        <w:ind w:left="402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73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3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15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238337109</w:t>
      </w:r>
    </w:p>
    <w:p>
      <w:pPr>
        <w:spacing w:after="0" w:line="200" w:lineRule="exact"/>
        <w:rPr>
          <w:sz w:val="20"/>
          <w:szCs w:val="20"/>
          <w:color w:val="auto"/>
        </w:rPr>
      </w:pPr>
    </w:p>
    <w:p>
      <w:pPr>
        <w:sectPr>
          <w:pgSz w:w="11900" w:h="16838" w:orient="portrait"/>
          <w:cols w:equalWidth="0" w:num="2">
            <w:col w:w="1280" w:space="420"/>
            <w:col w:w="8519"/>
          </w:cols>
          <w:pgMar w:left="240" w:top="136" w:right="1440" w:bottom="0" w:gutter="0" w:footer="0" w:header="0"/>
          <w:type w:val="continuous"/>
        </w:sectPr>
      </w:pPr>
    </w:p>
    <w:p>
      <w:pPr>
        <w:spacing w:after="0" w:line="18" w:lineRule="exact"/>
        <w:rPr>
          <w:sz w:val="20"/>
          <w:szCs w:val="20"/>
          <w:color w:val="auto"/>
        </w:rPr>
      </w:pPr>
    </w:p>
    <w:p>
      <w:pPr>
        <w:jc w:val="center"/>
        <w:ind w:right="399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ind w:right="26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44" w:right="1440" w:bottom="0" w:gutter="0" w:footer="0" w:header="0"/>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44"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344"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344"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99"/>
          </w:cols>
          <w:pgMar w:left="240" w:top="344"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344"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following information applies if checked: ( ) The Bank of New York Mellon and/or ( ) The Bank of New York Mellon Trust Company, National</w:t>
      </w:r>
    </w:p>
    <w:p>
      <w:pPr>
        <w:spacing w:after="0" w:line="6"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Association is/are the trustee of the issuer's employee benefit plan (the 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1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Classification of the Subsidiary 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4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44" w:right="1440" w:bottom="0" w:gutter="0" w:footer="0" w:header="0"/>
          <w:type w:val="continuous"/>
        </w:sectPr>
      </w:pPr>
    </w:p>
    <w:bookmarkStart w:id="3" w:name="page4"/>
    <w:bookmarkEnd w:id="3"/>
    <w:p>
      <w:pPr>
        <w:ind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4, 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IVAN R. ARIAS</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Ivan R. Arias</w:t>
      </w:r>
    </w:p>
    <w:p>
      <w:pPr>
        <w:ind w:left="22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540" w:right="199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sz w:val="20"/>
          <w:szCs w:val="20"/>
          <w:color w:val="auto"/>
        </w:rPr>
      </w:pPr>
    </w:p>
    <w:p>
      <w:pPr>
        <w:ind w:left="1060" w:right="1779" w:hanging="525"/>
        <w:spacing w:after="0" w:line="268"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5"/>
        <w:spacing w:after="0" w:line="237"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5"/>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60" w:right="2419" w:hanging="525"/>
        <w:spacing w:after="0" w:line="235" w:lineRule="auto"/>
        <w:tabs>
          <w:tab w:leader="none" w:pos="74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31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 Rule 240.13d-1(b)(1)(ii)(J)"</w:t>
      </w:r>
    </w:p>
    <w:p>
      <w:pPr>
        <w:spacing w:after="0" w:line="207" w:lineRule="exact"/>
        <w:rPr>
          <w:rFonts w:ascii="Courier New" w:cs="Courier New" w:eastAsia="Courier New" w:hAnsi="Courier New"/>
          <w:sz w:val="18"/>
          <w:szCs w:val="18"/>
          <w:color w:val="auto"/>
        </w:rPr>
      </w:pPr>
    </w:p>
    <w:p>
      <w:pPr>
        <w:ind w:left="1060" w:right="2839" w:hanging="525"/>
        <w:spacing w:after="0" w:line="235" w:lineRule="auto"/>
        <w:tabs>
          <w:tab w:leader="none" w:pos="74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ind w:left="740" w:hanging="205"/>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w:t>
      </w:r>
    </w:p>
    <w:p>
      <w:pPr>
        <w:spacing w:after="0" w:line="4" w:lineRule="exact"/>
        <w:rPr>
          <w:rFonts w:ascii="Courier New" w:cs="Courier New" w:eastAsia="Courier New" w:hAnsi="Courier New"/>
          <w:sz w:val="18"/>
          <w:szCs w:val="18"/>
          <w:color w:val="auto"/>
        </w:rPr>
      </w:pPr>
    </w:p>
    <w:p>
      <w:pPr>
        <w:ind w:left="106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Titulos e Valores Mobiliarios S.A.(parent holding company of BNY Mellon Administracao de Ativos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Administracao de Ativos Ltda.</w:t>
      </w:r>
    </w:p>
    <w:p>
      <w:pPr>
        <w:spacing w:after="0" w:line="5" w:lineRule="exact"/>
        <w:rPr>
          <w:sz w:val="20"/>
          <w:szCs w:val="20"/>
          <w:color w:val="auto"/>
        </w:rPr>
      </w:pPr>
    </w:p>
    <w:p>
      <w:pPr>
        <w:ind w:left="1060" w:right="2199" w:hanging="525"/>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Dreyfus Corporation (parent holding company of MBSC Securities Corporation)</w:t>
      </w: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5"/>
        <w:spacing w:after="0" w:line="238"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740" w:hanging="205"/>
        <w:spacing w:after="0" w:line="238"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Lockwood Advisors, Inc.</w:t>
      </w:r>
    </w:p>
    <w:p>
      <w:pPr>
        <w:spacing w:after="0" w:line="5" w:lineRule="exact"/>
        <w:rPr>
          <w:sz w:val="20"/>
          <w:szCs w:val="20"/>
          <w:color w:val="auto"/>
        </w:rPr>
      </w:pPr>
    </w:p>
    <w:p>
      <w:pPr>
        <w:ind w:left="540" w:right="3579" w:hanging="5"/>
        <w:spacing w:after="0" w:line="268" w:lineRule="auto"/>
        <w:tabs>
          <w:tab w:leader="none" w:pos="106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BNY Mellon Asset Management North America Corporation ( ) Newton Investment Management (North America) Limited ( ) Newton Investment Management Limited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Walter Scott &amp; Partners Limited</w:t>
      </w:r>
    </w:p>
    <w:p>
      <w:pPr>
        <w:spacing w:after="0" w:line="4" w:lineRule="exact"/>
        <w:rPr>
          <w:rFonts w:ascii="Courier New" w:cs="Courier New" w:eastAsia="Courier New" w:hAnsi="Courier New"/>
          <w:sz w:val="16"/>
          <w:szCs w:val="16"/>
          <w:color w:val="auto"/>
        </w:rPr>
      </w:pPr>
    </w:p>
    <w:p>
      <w:pPr>
        <w:ind w:left="540"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BNY Mellon Wealth Management, Advisory Services, Inc. ( ) BNY Mellon Trust Company(Cayman) Limited</w:t>
      </w:r>
    </w:p>
    <w:p>
      <w:pPr>
        <w:spacing w:after="0" w:line="5" w:lineRule="exact"/>
        <w:rPr>
          <w:rFonts w:ascii="Courier New" w:cs="Courier New" w:eastAsia="Courier New" w:hAnsi="Courier New"/>
          <w:sz w:val="16"/>
          <w:szCs w:val="16"/>
          <w:color w:val="auto"/>
        </w:rPr>
      </w:pPr>
    </w:p>
    <w:p>
      <w:pPr>
        <w:ind w:left="540" w:right="41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BNY Mellon Investment Management Cayman Limited ( ) Insight Investment International Limited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BNY Mellon Asset Management Japan Limited</w:t>
      </w:r>
    </w:p>
    <w:p>
      <w:pPr>
        <w:spacing w:after="0" w:line="207" w:lineRule="exact"/>
        <w:rPr>
          <w:rFonts w:ascii="Courier New" w:cs="Courier New" w:eastAsia="Courier New" w:hAnsi="Courier New"/>
          <w:sz w:val="16"/>
          <w:szCs w:val="16"/>
          <w:color w:val="auto"/>
        </w:rPr>
      </w:pPr>
    </w:p>
    <w:p>
      <w:pPr>
        <w:ind w:left="540" w:right="2419" w:hanging="532"/>
        <w:spacing w:after="0" w:line="268"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8" w:lineRule="exact"/>
        <w:rPr>
          <w:rFonts w:ascii="Courier New" w:cs="Courier New" w:eastAsia="Courier New" w:hAnsi="Courier New"/>
          <w:sz w:val="16"/>
          <w:szCs w:val="16"/>
          <w:color w:val="auto"/>
        </w:rPr>
      </w:pPr>
    </w:p>
    <w:p>
      <w:pPr>
        <w:ind w:left="540" w:right="5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BNY Mellon Capital Markets, LLC ( ) MBSC Securities Corporation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Pershing LLC</w:t>
      </w:r>
    </w:p>
    <w:p>
      <w:pPr>
        <w:spacing w:after="0" w:line="207" w:lineRule="exact"/>
        <w:rPr>
          <w:rFonts w:ascii="Courier New" w:cs="Courier New" w:eastAsia="Courier New" w:hAnsi="Courier New"/>
          <w:sz w:val="16"/>
          <w:szCs w:val="16"/>
          <w:color w:val="auto"/>
        </w:rPr>
      </w:pPr>
    </w:p>
    <w:p>
      <w:pPr>
        <w:ind w:left="540" w:right="2099" w:hanging="532"/>
        <w:spacing w:after="0" w:line="236"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3"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319" w:hanging="525"/>
        <w:spacing w:after="0" w:line="235"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ectPr>
          <w:pgSz w:w="11900" w:h="16838" w:orient="portrait"/>
          <w:cols w:equalWidth="0" w:num="1">
            <w:col w:w="10219"/>
          </w:cols>
          <w:pgMar w:left="240" w:top="344" w:right="1440" w:bottom="0" w:gutter="0" w:footer="0" w:header="0"/>
        </w:sectPr>
      </w:pPr>
    </w:p>
    <w:bookmarkStart w:id="4" w:name="page5"/>
    <w:bookmarkEnd w:id="4"/>
    <w:p>
      <w:pPr>
        <w:ind w:left="1060" w:right="231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(as parent holding company of MBC Investments Corporation)</w:t>
      </w:r>
    </w:p>
    <w:p>
      <w:pPr>
        <w:spacing w:after="0" w:line="6" w:lineRule="exact"/>
        <w:rPr>
          <w:sz w:val="20"/>
          <w:szCs w:val="20"/>
          <w:color w:val="auto"/>
        </w:rPr>
      </w:pPr>
    </w:p>
    <w:p>
      <w:pPr>
        <w:ind w:left="1060" w:right="2199" w:hanging="525"/>
        <w:spacing w:after="0" w:line="268" w:lineRule="auto"/>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MBC Investments Corporation (parent holding company of BNY Mellon Asset Management North America Corporation; BNY Mellon Investment;</w:t>
      </w:r>
    </w:p>
    <w:p>
      <w:pPr>
        <w:ind w:left="1060" w:right="2199"/>
        <w:spacing w:after="0" w:line="236" w:lineRule="auto"/>
        <w:rPr>
          <w:sz w:val="20"/>
          <w:szCs w:val="20"/>
          <w:color w:val="auto"/>
        </w:rPr>
      </w:pPr>
      <w:r>
        <w:rPr>
          <w:rFonts w:ascii="Courier New" w:cs="Courier New" w:eastAsia="Courier New" w:hAnsi="Courier New"/>
          <w:sz w:val="18"/>
          <w:szCs w:val="18"/>
          <w:color w:val="auto"/>
        </w:rPr>
        <w:t>Management(Jersey) Ltd.; BNY Mellon Investment Management APAC LP; The Dreyfus Corporation; ARX Investimentos Ltda. ; Mellon Global Investing Corporation)</w:t>
      </w:r>
    </w:p>
    <w:p>
      <w:pPr>
        <w:spacing w:after="0" w:line="6" w:lineRule="exact"/>
        <w:rPr>
          <w:sz w:val="20"/>
          <w:szCs w:val="20"/>
          <w:color w:val="auto"/>
        </w:rPr>
      </w:pPr>
    </w:p>
    <w:p>
      <w:pPr>
        <w:ind w:left="1060" w:right="1779" w:hanging="525"/>
        <w:spacing w:after="0" w:line="235" w:lineRule="auto"/>
        <w:tabs>
          <w:tab w:leader="none" w:pos="74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(Jersey) Ltd. (parent holding company of BNY Mellon Investment Management (Europe) Ltd.)</w:t>
      </w:r>
    </w:p>
    <w:p>
      <w:pPr>
        <w:spacing w:after="0" w:line="6" w:lineRule="exact"/>
        <w:rPr>
          <w:sz w:val="20"/>
          <w:szCs w:val="20"/>
          <w:color w:val="auto"/>
        </w:rPr>
      </w:pPr>
    </w:p>
    <w:p>
      <w:pPr>
        <w:ind w:left="1060" w:right="1779" w:hanging="525"/>
        <w:spacing w:after="0" w:line="235" w:lineRule="auto"/>
        <w:tabs>
          <w:tab w:leader="none" w:pos="74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(Europe)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60" w:right="1879" w:hanging="525"/>
        <w:spacing w:after="0" w:line="268" w:lineRule="auto"/>
        <w:tabs>
          <w:tab w:leader="none" w:pos="74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60" w:right="1779" w:hanging="525"/>
        <w:spacing w:after="0" w:line="237" w:lineRule="auto"/>
        <w:tabs>
          <w:tab w:leader="none" w:pos="7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Group Limited (parent holding company of Newton Management Limited; BNY Mellon International Asset Management (Holdings) Limited; Insight Investment Management Limited)</w:t>
      </w:r>
    </w:p>
    <w:p>
      <w:pPr>
        <w:spacing w:after="0" w:line="5" w:lineRule="exact"/>
        <w:rPr>
          <w:sz w:val="20"/>
          <w:szCs w:val="20"/>
          <w:color w:val="auto"/>
        </w:rPr>
      </w:pPr>
    </w:p>
    <w:p>
      <w:pPr>
        <w:ind w:left="1060" w:right="177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Newton Management Limited (parent holding company of Newton Investment Management (North America) Limited; Newton Investment Management Limited)</w:t>
      </w:r>
    </w:p>
    <w:p>
      <w:pPr>
        <w:spacing w:after="0" w:line="6" w:lineRule="exact"/>
        <w:rPr>
          <w:sz w:val="20"/>
          <w:szCs w:val="20"/>
          <w:color w:val="auto"/>
        </w:rPr>
      </w:pPr>
    </w:p>
    <w:p>
      <w:pPr>
        <w:ind w:left="1060" w:right="1999" w:hanging="525"/>
        <w:spacing w:after="0" w:line="236" w:lineRule="auto"/>
        <w:tabs>
          <w:tab w:leader="none" w:pos="74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Limited (parent holding company of BNY Mellon International Asset Management (Holdings) No. 1 Limited)</w:t>
      </w:r>
    </w:p>
    <w:p>
      <w:pPr>
        <w:spacing w:after="0" w:line="6" w:lineRule="exact"/>
        <w:rPr>
          <w:sz w:val="20"/>
          <w:szCs w:val="20"/>
          <w:color w:val="auto"/>
        </w:rPr>
      </w:pPr>
    </w:p>
    <w:p>
      <w:pPr>
        <w:ind w:left="1060" w:right="2199" w:hanging="525"/>
        <w:spacing w:after="0" w:line="268" w:lineRule="auto"/>
        <w:tabs>
          <w:tab w:leader="none" w:pos="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419" w:hanging="525"/>
        <w:spacing w:after="0" w:line="236" w:lineRule="auto"/>
        <w:tabs>
          <w:tab w:leader="none" w:pos="7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 Investment International Limited )</w:t>
      </w:r>
    </w:p>
    <w:p>
      <w:pPr>
        <w:spacing w:after="0" w:line="6" w:lineRule="exact"/>
        <w:rPr>
          <w:sz w:val="20"/>
          <w:szCs w:val="20"/>
          <w:color w:val="auto"/>
        </w:rPr>
      </w:pPr>
    </w:p>
    <w:p>
      <w:pPr>
        <w:ind w:left="1060" w:right="2099" w:hanging="525"/>
        <w:spacing w:after="0" w:line="235" w:lineRule="auto"/>
        <w:tabs>
          <w:tab w:leader="none" w:pos="74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319" w:hanging="526"/>
        <w:spacing w:after="0" w:line="268" w:lineRule="auto"/>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BNY Mellon Investment Management (APAC) Holdings Limited (parent holding company of BNY Mellon Asset Management Japan Limited)</w:t>
      </w:r>
    </w:p>
    <w:p>
      <w:pPr>
        <w:ind w:left="1060" w:right="1879" w:hanging="525"/>
        <w:spacing w:after="0" w:line="235"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Pershing Group LLC (parent holding company of Lockwood Advisors, Inc; Pershing LLC)</w:t>
      </w: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Canada Holding Company; BNY Mellon Participacoes Ltda.)</w:t>
      </w:r>
    </w:p>
    <w:p>
      <w:pPr>
        <w:spacing w:after="0" w:line="5" w:lineRule="exact"/>
        <w:rPr>
          <w:sz w:val="20"/>
          <w:szCs w:val="20"/>
          <w:color w:val="auto"/>
        </w:rPr>
      </w:pPr>
    </w:p>
    <w:p>
      <w:pPr>
        <w:ind w:left="1060" w:right="2099" w:hanging="525"/>
        <w:spacing w:after="0" w:line="235" w:lineRule="auto"/>
        <w:tabs>
          <w:tab w:leader="none" w:pos="7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jc w:val="both"/>
        <w:ind w:left="1060" w:right="20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99" w:hanging="525"/>
        <w:spacing w:after="0" w:line="235" w:lineRule="auto"/>
        <w:tabs>
          <w:tab w:leader="none" w:pos="74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spacing w:after="0" w:line="6" w:lineRule="exact"/>
        <w:rPr>
          <w:sz w:val="20"/>
          <w:szCs w:val="20"/>
          <w:color w:val="auto"/>
        </w:rPr>
      </w:pPr>
    </w:p>
    <w:p>
      <w:pPr>
        <w:ind w:left="1060" w:right="273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Capital Markets Holdings, Inc. (parent holding company of BNY Mellon Capital Markets, LLC)</w:t>
      </w:r>
    </w:p>
    <w:p>
      <w:pPr>
        <w:spacing w:after="0" w:line="6" w:lineRule="exact"/>
        <w:rPr>
          <w:sz w:val="20"/>
          <w:szCs w:val="20"/>
          <w:color w:val="auto"/>
        </w:rPr>
      </w:pPr>
    </w:p>
    <w:p>
      <w:pPr>
        <w:ind w:left="1060" w:right="2619" w:hanging="525"/>
        <w:spacing w:after="0" w:line="235"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Nicholas R. Darrow,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Securities Exchange Act of 1934, as amended (the "Exchange</w:t>
      </w:r>
    </w:p>
    <w:p>
      <w:pPr>
        <w:sectPr>
          <w:pgSz w:w="11900" w:h="16838" w:orient="portrait"/>
          <w:cols w:equalWidth="0" w:num="1">
            <w:col w:w="10219"/>
          </w:cols>
          <w:pgMar w:left="240" w:top="142" w:right="1440" w:bottom="0" w:gutter="0" w:footer="0" w:header="0"/>
        </w:sectPr>
      </w:pPr>
    </w:p>
    <w:bookmarkStart w:id="5" w:name="page6"/>
    <w:bookmarkEnd w:id="5"/>
    <w:p>
      <w:pPr>
        <w:ind w:left="540" w:right="3039"/>
        <w:spacing w:after="0" w:line="290" w:lineRule="auto"/>
        <w:rPr>
          <w:sz w:val="20"/>
          <w:szCs w:val="20"/>
          <w:color w:val="auto"/>
        </w:rPr>
      </w:pPr>
      <w:r>
        <w:rPr>
          <w:rFonts w:ascii="Courier New" w:cs="Courier New" w:eastAsia="Courier New" w:hAnsi="Courier New"/>
          <w:sz w:val="16"/>
          <w:szCs w:val="16"/>
          <w:color w:val="auto"/>
        </w:rPr>
        <w:t>Act"), including those filings required to be submitted on Form 13F, Schedule 13G, Schedule 13D and Forms 3, 4 and 5, and</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303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9"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w:t>
      </w:r>
    </w:p>
    <w:p>
      <w:pPr>
        <w:spacing w:after="0" w:line="186"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9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32"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jc w:val="right"/>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18,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Antonio Portuondo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Curtis Arledge</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2015</w:t>
      </w:r>
    </w:p>
    <w:p>
      <w:pPr>
        <w:spacing w:after="0" w:line="200" w:lineRule="exact"/>
        <w:rPr>
          <w:sz w:val="20"/>
          <w:szCs w:val="20"/>
          <w:color w:val="auto"/>
        </w:rPr>
      </w:pP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Kurtis R. Kurimsky</w:t>
      </w:r>
    </w:p>
    <w:p>
      <w:pPr>
        <w:ind w:left="5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Lee James Woolley</w:t>
      </w:r>
    </w:p>
    <w:p>
      <w:pPr>
        <w:ind w:left="640"/>
        <w:spacing w:after="0" w:line="237" w:lineRule="auto"/>
        <w:rPr>
          <w:sz w:val="20"/>
          <w:szCs w:val="20"/>
          <w:color w:val="auto"/>
        </w:rPr>
      </w:pPr>
      <w:r>
        <w:rPr>
          <w:rFonts w:ascii="Courier New" w:cs="Courier New" w:eastAsia="Courier New" w:hAnsi="Courier New"/>
          <w:sz w:val="18"/>
          <w:szCs w:val="18"/>
          <w:color w:val="auto"/>
        </w:rPr>
        <w:t>Chairman and</w:t>
      </w:r>
    </w:p>
    <w:p>
      <w:pPr>
        <w:ind w:left="6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ectPr>
          <w:pgSz w:w="11900" w:h="16838" w:orient="portrait"/>
          <w:cols w:equalWidth="0" w:num="2">
            <w:col w:w="3700" w:space="620"/>
            <w:col w:w="5899"/>
          </w:cols>
          <w:pgMar w:left="240" w:top="142" w:right="1440" w:bottom="132"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Claire Santaniello</w:t>
      </w:r>
    </w:p>
    <w:p>
      <w:pPr>
        <w:ind w:left="420"/>
        <w:spacing w:after="0" w:line="237" w:lineRule="auto"/>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J. Brett</w:t>
      </w:r>
    </w:p>
    <w:p>
      <w:pPr>
        <w:ind w:left="420"/>
        <w:spacing w:after="0" w:line="237"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9" w:lineRule="exact"/>
        <w:rPr>
          <w:sz w:val="20"/>
          <w:szCs w:val="20"/>
          <w:color w:val="auto"/>
        </w:rPr>
      </w:pPr>
    </w:p>
    <w:p>
      <w:pPr>
        <w:ind w:right="740"/>
        <w:spacing w:after="0" w:line="290" w:lineRule="auto"/>
        <w:rPr>
          <w:sz w:val="20"/>
          <w:szCs w:val="20"/>
          <w:color w:val="auto"/>
        </w:rPr>
      </w:pPr>
      <w:r>
        <w:rPr>
          <w:rFonts w:ascii="Courier New" w:cs="Courier New" w:eastAsia="Courier New" w:hAnsi="Courier New"/>
          <w:sz w:val="16"/>
          <w:szCs w:val="16"/>
          <w:color w:val="auto"/>
        </w:rPr>
        <w:t>BNY MELLON ASSET MANAGEMENT NORTH AMERICA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Jennifer Cassedy</w:t>
      </w:r>
    </w:p>
    <w:p>
      <w:pPr>
        <w:ind w:left="420"/>
        <w:spacing w:after="0" w:line="237" w:lineRule="auto"/>
        <w:rPr>
          <w:sz w:val="20"/>
          <w:szCs w:val="20"/>
          <w:color w:val="auto"/>
        </w:rPr>
      </w:pPr>
      <w:r>
        <w:rPr>
          <w:rFonts w:ascii="Courier New" w:cs="Courier New" w:eastAsia="Courier New" w:hAnsi="Courier New"/>
          <w:sz w:val="18"/>
          <w:szCs w:val="18"/>
          <w:color w:val="auto"/>
        </w:rPr>
        <w:t>Chief Compliance Officer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Jeff Gearhart</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Guilherme Abry</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ind w:left="420"/>
        <w:spacing w:after="0" w:line="237" w:lineRule="auto"/>
        <w:rPr>
          <w:sz w:val="20"/>
          <w:szCs w:val="20"/>
          <w:color w:val="auto"/>
        </w:rPr>
      </w:pPr>
      <w:r>
        <w:rPr>
          <w:rFonts w:ascii="Courier New" w:cs="Courier New" w:eastAsia="Courier New" w:hAnsi="Courier New"/>
          <w:sz w:val="18"/>
          <w:szCs w:val="18"/>
          <w:color w:val="auto"/>
        </w:rPr>
        <w:t>Chief Risk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2016</w:t>
      </w:r>
    </w:p>
    <w:p>
      <w:pPr>
        <w:spacing w:after="0" w:line="200" w:lineRule="exact"/>
        <w:rPr>
          <w:sz w:val="20"/>
          <w:szCs w:val="20"/>
          <w:color w:val="auto"/>
        </w:rPr>
      </w:pP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rPr>
          <w:sz w:val="20"/>
          <w:szCs w:val="20"/>
          <w:color w:val="auto"/>
        </w:rPr>
      </w:pPr>
      <w:r>
        <w:rPr>
          <w:rFonts w:ascii="Courier New" w:cs="Courier New" w:eastAsia="Courier New" w:hAnsi="Courier New"/>
          <w:sz w:val="18"/>
          <w:szCs w:val="18"/>
          <w:color w:val="auto"/>
        </w:rPr>
        <w:t>By: /S/ SHIZU KISHIMOTO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Shizu Kishimoto</w:t>
      </w:r>
    </w:p>
    <w:p>
      <w:pPr>
        <w:spacing w:after="0" w:line="237" w:lineRule="auto"/>
        <w:rPr>
          <w:sz w:val="20"/>
          <w:szCs w:val="20"/>
          <w:color w:val="auto"/>
        </w:rPr>
      </w:pPr>
      <w:r>
        <w:rPr>
          <w:rFonts w:ascii="Courier New" w:cs="Courier New" w:eastAsia="Courier New" w:hAnsi="Courier New"/>
          <w:sz w:val="18"/>
          <w:szCs w:val="18"/>
          <w:color w:val="auto"/>
        </w:rPr>
        <w:t>Representative Director</w:t>
      </w:r>
    </w:p>
    <w:p>
      <w:pPr>
        <w:spacing w:after="0" w:line="238" w:lineRule="auto"/>
        <w:rPr>
          <w:sz w:val="20"/>
          <w:szCs w:val="20"/>
          <w:color w:val="auto"/>
        </w:rPr>
      </w:pPr>
      <w:r>
        <w:rPr>
          <w:rFonts w:ascii="Courier New" w:cs="Courier New" w:eastAsia="Courier New" w:hAnsi="Courier New"/>
          <w:sz w:val="18"/>
          <w:szCs w:val="18"/>
          <w:color w:val="auto"/>
        </w:rPr>
        <w:t>and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MBSC SECURITIES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Kenneth J. Bradle</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2">
            <w:col w:w="3600" w:space="720"/>
            <w:col w:w="5899"/>
          </w:cols>
          <w:pgMar w:left="240" w:top="142"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February 14, 2018</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Date:</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April 29, 2016</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NEWTON</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INVESTMENT MANAGEMENT LIMITED</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NEWTON</w:t>
            </w:r>
          </w:p>
        </w:tc>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INVESTMENT MANAGEMENT</w:t>
            </w:r>
          </w:p>
        </w:tc>
      </w:tr>
      <w:tr>
        <w:trPr>
          <w:trHeight w:val="203"/>
        </w:trPr>
        <w:tc>
          <w:tcPr>
            <w:tcW w:w="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(NORTH</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 LIMITED</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32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By: /S/</w:t>
            </w:r>
          </w:p>
        </w:tc>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James Helby</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June 30,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INSIGHT NORTH AMERICA LLC</w:t>
            </w:r>
          </w:p>
        </w:tc>
        <w:tc>
          <w:tcPr>
            <w:tcW w:w="3900" w:type="dxa"/>
            <w:vAlign w:val="bottom"/>
          </w:tcPr>
          <w:p>
            <w:pPr>
              <w:spacing w:after="0"/>
              <w:rPr>
                <w:sz w:val="24"/>
                <w:szCs w:val="24"/>
                <w:color w:val="auto"/>
              </w:rPr>
            </w:pP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JOHN ARIOLA</w:t>
            </w:r>
          </w:p>
        </w:tc>
        <w:tc>
          <w:tcPr>
            <w:tcW w:w="3900" w:type="dxa"/>
            <w:vAlign w:val="bottom"/>
          </w:tcPr>
          <w:p>
            <w:pPr>
              <w:spacing w:after="0"/>
              <w:rPr>
                <w:sz w:val="24"/>
                <w:szCs w:val="24"/>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Ariola</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Financial Analysis</w:t>
            </w:r>
          </w:p>
        </w:tc>
        <w:tc>
          <w:tcPr>
            <w:tcW w:w="390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December 7, 2016</w:t>
            </w:r>
          </w:p>
        </w:tc>
        <w:tc>
          <w:tcPr>
            <w:tcW w:w="3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By: /S/</w:t>
            </w:r>
          </w:p>
        </w:tc>
        <w:tc>
          <w:tcPr>
            <w:tcW w:w="2780" w:type="dxa"/>
            <w:vAlign w:val="bottom"/>
          </w:tcPr>
          <w:p>
            <w:pPr>
              <w:ind w:left="140"/>
              <w:spacing w:after="0"/>
              <w:rPr>
                <w:sz w:val="20"/>
                <w:szCs w:val="20"/>
                <w:color w:val="auto"/>
              </w:rPr>
            </w:pPr>
            <w:r>
              <w:rPr>
                <w:rFonts w:ascii="Courier New" w:cs="Courier New" w:eastAsia="Courier New" w:hAnsi="Courier New"/>
                <w:sz w:val="18"/>
                <w:szCs w:val="18"/>
                <w:color w:val="auto"/>
              </w:rPr>
              <w:t>HELENA MORRISSEY</w:t>
            </w:r>
          </w:p>
        </w:tc>
      </w:tr>
    </w:tbl>
    <w:p>
      <w:pPr>
        <w:sectPr>
          <w:pgSz w:w="11900" w:h="16838" w:orient="portrait"/>
          <w:cols w:equalWidth="0" w:num="1">
            <w:col w:w="10219"/>
          </w:cols>
          <w:pgMar w:left="240" w:top="136"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1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Date:</w:t>
            </w:r>
          </w:p>
        </w:tc>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100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100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May 12, 2016</w:t>
            </w:r>
          </w:p>
        </w:tc>
        <w:tc>
          <w:tcPr>
            <w:tcW w:w="1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Date:</w:t>
            </w:r>
          </w:p>
        </w:tc>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(EUROPE)LIMITED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October 21, 2015</w:t>
            </w:r>
          </w:p>
        </w:tc>
        <w:tc>
          <w:tcPr>
            <w:tcW w:w="44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CAPITAL MARKETS HOLDINGS, INC.</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Chairman and Chief</w:t>
            </w:r>
          </w:p>
        </w:tc>
      </w:tr>
      <w:tr>
        <w:trPr>
          <w:trHeight w:val="203"/>
        </w:trPr>
        <w:tc>
          <w:tcPr>
            <w:tcW w:w="5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24,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INTERNATIONAL ASSET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(HOLDINGS) LIMITED</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MANAGEMENT (HOLDINGS) No. 1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CANADA HOLDING COMPANY</w:t>
            </w:r>
          </w:p>
        </w:tc>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KELLY SCHWARTZ</w:t>
            </w:r>
          </w:p>
        </w:tc>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Kelly Schwartz</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Director</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May 3, 2016</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PARTICIPACOES LTDA</w:t>
            </w:r>
          </w:p>
        </w:tc>
        <w:tc>
          <w:tcPr>
            <w:tcW w:w="44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BNY MELLON PARTICIPACOES LTDA</w:t>
            </w:r>
          </w:p>
        </w:tc>
      </w:tr>
      <w:tr>
        <w:trPr>
          <w:trHeight w:val="405"/>
        </w:trPr>
        <w:tc>
          <w:tcPr>
            <w:tcW w:w="3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By: /S/ CARLOS ALBERTO SARAIVA</w:t>
            </w:r>
          </w:p>
        </w:tc>
        <w:tc>
          <w:tcPr>
            <w:tcW w:w="448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By: /S/ MARCUS VINICIUS MATHIAS PEREIRA</w:t>
            </w:r>
          </w:p>
        </w:tc>
      </w:tr>
      <w:tr>
        <w:trPr>
          <w:trHeight w:val="203"/>
        </w:trPr>
        <w:tc>
          <w:tcPr>
            <w:tcW w:w="54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Carlos Alberto Saraiva</w:t>
            </w:r>
          </w:p>
        </w:tc>
        <w:tc>
          <w:tcPr>
            <w:tcW w:w="44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Marcus Vinicius Mathias Pereira</w:t>
            </w:r>
          </w:p>
        </w:tc>
      </w:tr>
    </w:tbl>
    <w:p>
      <w:pPr>
        <w:sectPr>
          <w:pgSz w:w="11900" w:h="16838" w:orient="portrait"/>
          <w:cols w:equalWidth="0" w:num="1">
            <w:col w:w="10219"/>
          </w:cols>
          <w:pgMar w:left="240" w:top="136" w:right="1440" w:bottom="0" w:gutter="0" w:footer="0" w:header="0"/>
        </w:sectPr>
      </w:pPr>
    </w:p>
    <w:bookmarkStart w:id="9" w:name="page10"/>
    <w:bookmarkEnd w:id="9"/>
    <w:p>
      <w:pPr>
        <w:ind w:left="540"/>
        <w:spacing w:after="0"/>
        <w:rPr>
          <w:sz w:val="20"/>
          <w:szCs w:val="20"/>
          <w:color w:val="auto"/>
        </w:rPr>
      </w:pPr>
      <w:r>
        <w:rPr>
          <w:rFonts w:ascii="Courier New" w:cs="Courier New" w:eastAsia="Courier New" w:hAnsi="Courier New"/>
          <w:sz w:val="18"/>
          <w:szCs w:val="18"/>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5,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36"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p>
      <w:pPr>
        <w:sectPr>
          <w:pgSz w:w="11900" w:h="16838" w:orient="portrait"/>
          <w:cols w:equalWidth="0" w:num="2">
            <w:col w:w="3600" w:space="720"/>
            <w:col w:w="5899"/>
          </w:cols>
          <w:pgMar w:left="240" w:top="136" w:right="1440" w:bottom="1440" w:gutter="0" w:footer="0" w:header="0"/>
          <w:type w:val="continuous"/>
        </w:sectPr>
      </w:pPr>
    </w:p>
    <w:bookmarkStart w:id="10" w:name="page11"/>
    <w:bookmarkEnd w:id="10"/>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jc w:val="right"/>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Antonio Portuondo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Curtis Arledge</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2015</w:t>
      </w:r>
    </w:p>
    <w:p>
      <w:pPr>
        <w:spacing w:after="0" w:line="200" w:lineRule="exact"/>
        <w:rPr>
          <w:sz w:val="20"/>
          <w:szCs w:val="20"/>
          <w:color w:val="auto"/>
        </w:rPr>
      </w:pP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Kurtis R. Kurimsky</w:t>
      </w:r>
    </w:p>
    <w:p>
      <w:pPr>
        <w:ind w:left="5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Lee James Woolley</w:t>
      </w:r>
    </w:p>
    <w:p>
      <w:pPr>
        <w:ind w:left="640"/>
        <w:spacing w:after="0" w:line="237" w:lineRule="auto"/>
        <w:rPr>
          <w:sz w:val="20"/>
          <w:szCs w:val="20"/>
          <w:color w:val="auto"/>
        </w:rPr>
      </w:pPr>
      <w:r>
        <w:rPr>
          <w:rFonts w:ascii="Courier New" w:cs="Courier New" w:eastAsia="Courier New" w:hAnsi="Courier New"/>
          <w:sz w:val="18"/>
          <w:szCs w:val="18"/>
          <w:color w:val="auto"/>
        </w:rPr>
        <w:t>Chairman and</w:t>
      </w:r>
    </w:p>
    <w:p>
      <w:pPr>
        <w:ind w:left="6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ectPr>
          <w:pgSz w:w="11900" w:h="16838" w:orient="portrait"/>
          <w:cols w:equalWidth="0" w:num="2">
            <w:col w:w="3700" w:space="620"/>
            <w:col w:w="5899"/>
          </w:cols>
          <w:pgMar w:left="24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sectPr>
          <w:pgSz w:w="11900" w:h="16838" w:orient="portrait"/>
          <w:cols w:equalWidth="0" w:num="1">
            <w:col w:w="10219"/>
          </w:cols>
          <w:pgMar w:left="240" w:top="919" w:right="1440" w:bottom="0" w:gutter="0" w:footer="0" w:header="0"/>
          <w:type w:val="continuous"/>
        </w:sectPr>
      </w:pPr>
    </w:p>
    <w:bookmarkStart w:id="11" w:name="page12"/>
    <w:bookmarkEnd w:id="11"/>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J. Brett</w:t>
      </w:r>
    </w:p>
    <w:p>
      <w:pPr>
        <w:ind w:left="420"/>
        <w:spacing w:after="0" w:line="237"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9" w:lineRule="exact"/>
        <w:rPr>
          <w:sz w:val="20"/>
          <w:szCs w:val="20"/>
          <w:color w:val="auto"/>
        </w:rPr>
      </w:pPr>
    </w:p>
    <w:p>
      <w:pPr>
        <w:ind w:right="940"/>
        <w:spacing w:after="0" w:line="290" w:lineRule="auto"/>
        <w:rPr>
          <w:sz w:val="20"/>
          <w:szCs w:val="20"/>
          <w:color w:val="auto"/>
        </w:rPr>
      </w:pPr>
      <w:r>
        <w:rPr>
          <w:rFonts w:ascii="Courier New" w:cs="Courier New" w:eastAsia="Courier New" w:hAnsi="Courier New"/>
          <w:sz w:val="16"/>
          <w:szCs w:val="16"/>
          <w:color w:val="auto"/>
        </w:rPr>
        <w:t>BNY MELLON ASSET MANAGEMENT NORTH AMERICA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Jennifer Cassedy</w:t>
      </w:r>
    </w:p>
    <w:p>
      <w:pPr>
        <w:ind w:left="420"/>
        <w:spacing w:after="0" w:line="237" w:lineRule="auto"/>
        <w:rPr>
          <w:sz w:val="20"/>
          <w:szCs w:val="20"/>
          <w:color w:val="auto"/>
        </w:rPr>
      </w:pPr>
      <w:r>
        <w:rPr>
          <w:rFonts w:ascii="Courier New" w:cs="Courier New" w:eastAsia="Courier New" w:hAnsi="Courier New"/>
          <w:sz w:val="18"/>
          <w:szCs w:val="18"/>
          <w:color w:val="auto"/>
        </w:rPr>
        <w:t>Chief Compliance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Helby</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Guilherme Abry</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ind w:left="420"/>
        <w:spacing w:after="0" w:line="237" w:lineRule="auto"/>
        <w:rPr>
          <w:sz w:val="20"/>
          <w:szCs w:val="20"/>
          <w:color w:val="auto"/>
        </w:rPr>
      </w:pPr>
      <w:r>
        <w:rPr>
          <w:rFonts w:ascii="Courier New" w:cs="Courier New" w:eastAsia="Courier New" w:hAnsi="Courier New"/>
          <w:sz w:val="18"/>
          <w:szCs w:val="18"/>
          <w:color w:val="auto"/>
        </w:rPr>
        <w:t>Chief Risk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2016</w:t>
      </w:r>
    </w:p>
    <w:p>
      <w:pPr>
        <w:spacing w:after="0" w:line="200" w:lineRule="exact"/>
        <w:rPr>
          <w:sz w:val="20"/>
          <w:szCs w:val="20"/>
          <w:color w:val="auto"/>
        </w:rPr>
      </w:pP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rPr>
          <w:sz w:val="20"/>
          <w:szCs w:val="20"/>
          <w:color w:val="auto"/>
        </w:rPr>
      </w:pPr>
      <w:r>
        <w:rPr>
          <w:rFonts w:ascii="Courier New" w:cs="Courier New" w:eastAsia="Courier New" w:hAnsi="Courier New"/>
          <w:sz w:val="18"/>
          <w:szCs w:val="18"/>
          <w:color w:val="auto"/>
        </w:rPr>
        <w:t>By: /S/ SHIZU KISHIMOTO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Shizu Kishimoto</w:t>
      </w:r>
    </w:p>
    <w:p>
      <w:pPr>
        <w:spacing w:after="0" w:line="237" w:lineRule="auto"/>
        <w:rPr>
          <w:sz w:val="20"/>
          <w:szCs w:val="20"/>
          <w:color w:val="auto"/>
        </w:rPr>
      </w:pPr>
      <w:r>
        <w:rPr>
          <w:rFonts w:ascii="Courier New" w:cs="Courier New" w:eastAsia="Courier New" w:hAnsi="Courier New"/>
          <w:sz w:val="18"/>
          <w:szCs w:val="18"/>
          <w:color w:val="auto"/>
        </w:rPr>
        <w:t>Representative Director</w:t>
      </w:r>
    </w:p>
    <w:p>
      <w:pPr>
        <w:spacing w:after="0" w:line="238" w:lineRule="auto"/>
        <w:rPr>
          <w:sz w:val="20"/>
          <w:szCs w:val="20"/>
          <w:color w:val="auto"/>
        </w:rPr>
      </w:pPr>
      <w:r>
        <w:rPr>
          <w:rFonts w:ascii="Courier New" w:cs="Courier New" w:eastAsia="Courier New" w:hAnsi="Courier New"/>
          <w:sz w:val="18"/>
          <w:szCs w:val="18"/>
          <w:color w:val="auto"/>
        </w:rPr>
        <w:t>and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MBSC SECURITIES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Kenneth J. Bradle</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NEWTON INVESTMENT MANAGEMENT</w:t>
      </w:r>
    </w:p>
    <w:p>
      <w:pPr>
        <w:spacing w:after="0" w:line="238" w:lineRule="auto"/>
        <w:rPr>
          <w:sz w:val="20"/>
          <w:szCs w:val="20"/>
          <w:color w:val="auto"/>
        </w:rPr>
      </w:pPr>
      <w:r>
        <w:rPr>
          <w:rFonts w:ascii="Courier New" w:cs="Courier New" w:eastAsia="Courier New" w:hAnsi="Courier New"/>
          <w:sz w:val="18"/>
          <w:szCs w:val="18"/>
          <w:color w:val="auto"/>
        </w:rPr>
        <w:t>(NORTH AMERICA) LIMITED</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Helby</w:t>
      </w:r>
    </w:p>
    <w:p>
      <w:pPr>
        <w:sectPr>
          <w:pgSz w:w="11900" w:h="16838" w:orient="portrait"/>
          <w:cols w:equalWidth="0" w:num="2">
            <w:col w:w="3800" w:space="520"/>
            <w:col w:w="5899"/>
          </w:cols>
          <w:pgMar w:left="240" w:top="136"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Director</w:t>
            </w:r>
          </w:p>
        </w:tc>
        <w:tc>
          <w:tcPr>
            <w:tcW w:w="3900" w:type="dxa"/>
            <w:vAlign w:val="bottom"/>
          </w:tcPr>
          <w:p>
            <w:pPr>
              <w:ind w:left="940"/>
              <w:spacing w:after="0"/>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June 30,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INSIGHT NORTH AMERICA LLC</w:t>
            </w:r>
          </w:p>
        </w:tc>
        <w:tc>
          <w:tcPr>
            <w:tcW w:w="3900" w:type="dxa"/>
            <w:vAlign w:val="bottom"/>
          </w:tcPr>
          <w:p>
            <w:pPr>
              <w:spacing w:after="0"/>
              <w:rPr>
                <w:sz w:val="24"/>
                <w:szCs w:val="24"/>
                <w:color w:val="auto"/>
              </w:rPr>
            </w:pP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JOHN ARIOLA</w:t>
            </w:r>
          </w:p>
        </w:tc>
        <w:tc>
          <w:tcPr>
            <w:tcW w:w="3900" w:type="dxa"/>
            <w:vAlign w:val="bottom"/>
          </w:tcPr>
          <w:p>
            <w:pPr>
              <w:spacing w:after="0"/>
              <w:rPr>
                <w:sz w:val="24"/>
                <w:szCs w:val="24"/>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Ariola</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Financial Analysis</w:t>
            </w:r>
          </w:p>
        </w:tc>
        <w:tc>
          <w:tcPr>
            <w:tcW w:w="390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December 7, 2016</w:t>
            </w:r>
          </w:p>
        </w:tc>
        <w:tc>
          <w:tcPr>
            <w:tcW w:w="3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bl>
    <w:p>
      <w:pPr>
        <w:sectPr>
          <w:pgSz w:w="11900" w:h="16838" w:orient="portrait"/>
          <w:cols w:equalWidth="0" w:num="1">
            <w:col w:w="10219"/>
          </w:cols>
          <w:pgMar w:left="240" w:top="136" w:right="1440" w:bottom="0" w:gutter="0" w:footer="0" w:header="0"/>
        </w:sectPr>
      </w:pPr>
    </w:p>
    <w:bookmarkStart w:id="13" w:name="page14"/>
    <w:bookmarkEnd w:id="1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Kurtis R. Kurimsky</w:t>
      </w:r>
    </w:p>
    <w:p>
      <w:pPr>
        <w:ind w:left="120"/>
        <w:spacing w:after="0" w:line="238" w:lineRule="auto"/>
        <w:rPr>
          <w:sz w:val="20"/>
          <w:szCs w:val="20"/>
          <w:color w:val="auto"/>
        </w:rPr>
      </w:pPr>
      <w:r>
        <w:rPr>
          <w:rFonts w:ascii="Courier New" w:cs="Courier New" w:eastAsia="Courier New" w:hAnsi="Courier New"/>
          <w:sz w:val="18"/>
          <w:szCs w:val="18"/>
          <w:color w:val="auto"/>
        </w:rPr>
        <w:t>Vice President and</w:t>
      </w:r>
    </w:p>
    <w:p>
      <w:pPr>
        <w:ind w:left="120"/>
        <w:spacing w:after="0"/>
        <w:rPr>
          <w:sz w:val="20"/>
          <w:szCs w:val="20"/>
          <w:color w:val="auto"/>
        </w:rPr>
      </w:pPr>
      <w:r>
        <w:rPr>
          <w:rFonts w:ascii="Courier New" w:cs="Courier New" w:eastAsia="Courier New" w:hAnsi="Courier New"/>
          <w:sz w:val="18"/>
          <w:szCs w:val="18"/>
          <w:color w:val="auto"/>
        </w:rPr>
        <w:t>Controller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Date: March 29, 2017</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Chairman, President and</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29,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sectPr>
      </w:pPr>
    </w:p>
    <w:p>
      <w:pPr>
        <w:spacing w:after="0" w:line="209" w:lineRule="exact"/>
        <w:rPr>
          <w:sz w:val="20"/>
          <w:szCs w:val="20"/>
          <w:color w:val="auto"/>
        </w:rPr>
      </w:pPr>
    </w:p>
    <w:p>
      <w:pPr>
        <w:ind w:right="860"/>
        <w:spacing w:after="0" w:line="235" w:lineRule="auto"/>
        <w:rPr>
          <w:sz w:val="20"/>
          <w:szCs w:val="20"/>
          <w:color w:val="auto"/>
        </w:rPr>
      </w:pPr>
      <w:r>
        <w:rPr>
          <w:rFonts w:ascii="Courier New" w:cs="Courier New" w:eastAsia="Courier New" w:hAnsi="Courier New"/>
          <w:sz w:val="18"/>
          <w:szCs w:val="18"/>
          <w:color w:val="auto"/>
        </w:rPr>
        <w:t>MELLON OVERSEAS INVESTMENT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INSIGHT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rPr>
          <w:sz w:val="20"/>
          <w:szCs w:val="20"/>
          <w:color w:val="auto"/>
        </w:rPr>
      </w:pPr>
      <w:r>
        <w:rPr>
          <w:rFonts w:ascii="Courier New" w:cs="Courier New" w:eastAsia="Courier New" w:hAnsi="Courier New"/>
          <w:sz w:val="18"/>
          <w:szCs w:val="18"/>
          <w:color w:val="auto"/>
        </w:rPr>
        <w:t>Chief Risk Officer</w:t>
      </w:r>
    </w:p>
    <w:p>
      <w:pPr>
        <w:spacing w:after="0" w:line="237" w:lineRule="auto"/>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15,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(EUROPE)LIMITED</w:t>
      </w:r>
    </w:p>
    <w:p>
      <w:pPr>
        <w:spacing w:after="0" w:line="201"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237" w:lineRule="auto"/>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Kelly Schwartz</w:t>
      </w:r>
    </w:p>
    <w:p>
      <w:pPr>
        <w:ind w:left="42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PAUL A. GRIFFITHS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LEO P. GROHOWSKI</w:t>
      </w:r>
    </w:p>
    <w:p>
      <w:pPr>
        <w:sectPr>
          <w:pgSz w:w="11900" w:h="16838" w:orient="portrait"/>
          <w:cols w:equalWidth="0" w:num="2">
            <w:col w:w="3500" w:space="720"/>
            <w:col w:w="5999"/>
          </w:cols>
          <w:pgMar w:left="240" w:top="136" w:right="1440" w:bottom="0" w:gutter="0" w:footer="0" w:header="0"/>
          <w:type w:val="continuous"/>
        </w:sectPr>
      </w:pPr>
    </w:p>
    <w:bookmarkStart w:id="14" w:name="page15"/>
    <w:bookmarkEnd w:id="14"/>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sectPr>
      <w:pgSz w:w="11900" w:h="16838" w:orient="portrait"/>
      <w:cols w:equalWidth="0" w:num="2">
        <w:col w:w="3600" w:space="720"/>
        <w:col w:w="58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2"/>
    </w:lvl>
    <w:lvl w:ilvl="1">
      <w:lvlJc w:val="left"/>
      <w:lvlText w:val="(%2)"/>
      <w:numFmt w:val="lowerLetter"/>
      <w:start w:val="1"/>
    </w:lvl>
  </w:abstractNum>
  <w:abstractNum w:abstractNumId="3">
    <w:nsid w:val="7C83E458"/>
    <w:multiLevelType w:val="hybridMultilevel"/>
    <w:lvl w:ilvl="0">
      <w:lvlJc w:val="left"/>
      <w:lvlText w:val="(%1)"/>
      <w:numFmt w:val="decimal"/>
      <w:start w:val="9"/>
    </w:lvl>
  </w:abstractNum>
  <w:abstractNum w:abstractNumId="4">
    <w:nsid w:val="257130A3"/>
    <w:multiLevelType w:val="hybridMultilevel"/>
    <w:lvl w:ilvl="0">
      <w:lvlJc w:val="left"/>
      <w:lvlText w:val="(%1)"/>
      <w:numFmt w:val="decimal"/>
      <w:start w:val="2"/>
    </w:lvl>
    <w:lvl w:ilvl="1">
      <w:lvlJc w:val="left"/>
      <w:lvlText w:val="(%2)"/>
      <w:numFmt w:val="lowerLetter"/>
      <w:start w:val="1"/>
    </w:lvl>
  </w:abstractNum>
  <w:abstractNum w:abstractNumId="5">
    <w:nsid w:val="62BBD95A"/>
    <w:multiLevelType w:val="hybridMultilevel"/>
    <w:lvl w:ilvl="0">
      <w:lvlJc w:val="left"/>
      <w:lvlText w:val="(%1)"/>
      <w:numFmt w:val="decimal"/>
      <w:start w:val="9"/>
    </w:lvl>
  </w:abstractNum>
  <w:abstractNum w:abstractNumId="6">
    <w:nsid w:val="436C6125"/>
    <w:multiLevelType w:val="hybridMultilevel"/>
    <w:lvl w:ilvl="0">
      <w:lvlJc w:val="left"/>
      <w:lvlText w:val="(%1)"/>
      <w:numFmt w:val="decimal"/>
      <w:start w:val="2"/>
    </w:lvl>
    <w:lvl w:ilvl="1">
      <w:lvlJc w:val="left"/>
      <w:lvlText w:val="(%2)"/>
      <w:numFmt w:val="lowerLetter"/>
      <w:start w:val="1"/>
    </w:lvl>
  </w:abstractNum>
  <w:abstractNum w:abstractNumId="7">
    <w:nsid w:val="628C895D"/>
    <w:multiLevelType w:val="hybridMultilevel"/>
    <w:lvl w:ilvl="0">
      <w:lvlJc w:val="left"/>
      <w:lvlText w:val="(%1)"/>
      <w:numFmt w:val="decimal"/>
      <w:start w:val="9"/>
    </w:lvl>
  </w:abstractNum>
  <w:abstractNum w:abstractNumId="8">
    <w:nsid w:val="333AB105"/>
    <w:multiLevelType w:val="hybridMultilevel"/>
    <w:lvl w:ilvl="0">
      <w:lvlJc w:val="left"/>
      <w:lvlText w:val="(%1)"/>
      <w:numFmt w:val="upperLetter"/>
      <w:start w:val="1"/>
    </w:lvl>
  </w:abstractNum>
  <w:abstractNum w:abstractNumId="9">
    <w:nsid w:val="721DA317"/>
    <w:multiLevelType w:val="hybridMultilevel"/>
    <w:lvl w:ilvl="0">
      <w:lvlJc w:val="left"/>
      <w:lvlText w:val="(%1)"/>
      <w:numFmt w:val="upperLetter"/>
      <w:start w:val="24"/>
    </w:lvl>
  </w:abstractNum>
  <w:abstractNum w:abstractNumId="10">
    <w:nsid w:val="2443A858"/>
    <w:multiLevelType w:val="hybridMultilevel"/>
    <w:lvl w:ilvl="0">
      <w:lvlJc w:val="left"/>
      <w:lvlText w:val="(%1)"/>
      <w:numFmt w:val="upperLetter"/>
      <w:start w:val="24"/>
    </w:lvl>
  </w:abstractNum>
  <w:abstractNum w:abstractNumId="11">
    <w:nsid w:val="2D1D5AE9"/>
    <w:multiLevelType w:val="hybridMultilevel"/>
    <w:lvl w:ilvl="0">
      <w:lvlJc w:val="left"/>
      <w:lvlText w:val="(%1)"/>
      <w:numFmt w:val="upperLetter"/>
      <w:start w:val="24"/>
    </w:lvl>
  </w:abstractNum>
  <w:abstractNum w:abstractNumId="12">
    <w:nsid w:val="6763845E"/>
    <w:multiLevelType w:val="hybridMultilevel"/>
    <w:lvl w:ilvl="0">
      <w:lvlJc w:val="left"/>
      <w:lvlText w:val="(%1)"/>
      <w:numFmt w:val="upperLetter"/>
      <w:start w:val="1"/>
    </w:lvl>
    <w:lvl w:ilvl="1">
      <w:lvlJc w:val="left"/>
      <w:lvlText w:val="("/>
      <w:numFmt w:val="bullet"/>
      <w:start w:val="1"/>
    </w:lvl>
  </w:abstractNum>
  <w:abstractNum w:abstractNumId="13">
    <w:nsid w:val="75A2A8D4"/>
    <w:multiLevelType w:val="hybridMultilevel"/>
    <w:lvl w:ilvl="0">
      <w:lvlJc w:val="left"/>
      <w:lvlText w:val="(%1)"/>
      <w:numFmt w:val="upperLetter"/>
      <w:start w:val="24"/>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upperLetter"/>
      <w:start w:val="1"/>
    </w:lvl>
    <w:lvl w:ilvl="1">
      <w:lvlJc w:val="left"/>
      <w:lvlText w:val="(%2)"/>
      <w:numFmt w:val="lowerRoman"/>
      <w:start w:val="10"/>
    </w:lvl>
  </w:abstractNum>
  <w:abstractNum w:abstractNumId="16">
    <w:nsid w:val="4353D0CD"/>
    <w:multiLevelType w:val="hybridMultilevel"/>
    <w:lvl w:ilvl="0">
      <w:lvlJc w:val="left"/>
      <w:lvlText w:val="(%1)"/>
      <w:numFmt w:val="upperLetter"/>
      <w:start w:val="3"/>
    </w:lvl>
    <w:lvl w:ilvl="1">
      <w:lvlJc w:val="left"/>
      <w:lvlText w:val="%2"/>
      <w:numFmt w:val="lowerRoman"/>
      <w:start w:val="1"/>
    </w:lvl>
  </w:abstractNum>
  <w:abstractNum w:abstractNumId="17">
    <w:nsid w:val="B03E0C6"/>
    <w:multiLevelType w:val="hybridMultilevel"/>
    <w:lvl w:ilvl="0">
      <w:lvlJc w:val="left"/>
      <w:lvlText w:val="(%1)"/>
      <w:numFmt w:val="upperLetter"/>
      <w:start w:val="24"/>
    </w:lvl>
  </w:abstractNum>
  <w:abstractNum w:abstractNumId="18">
    <w:nsid w:val="189A769B"/>
    <w:multiLevelType w:val="hybridMultilevel"/>
    <w:lvl w:ilvl="0">
      <w:lvlJc w:val="left"/>
      <w:lvlText w:val="(%1)"/>
      <w:numFmt w:val="upperLetter"/>
      <w:start w:val="24"/>
    </w:lvl>
  </w:abstractNum>
  <w:abstractNum w:abstractNumId="19">
    <w:nsid w:val="54E49EB4"/>
    <w:multiLevelType w:val="hybridMultilevel"/>
    <w:lvl w:ilvl="0">
      <w:lvlJc w:val="left"/>
      <w:lvlText w:val="(%1)"/>
      <w:numFmt w:val="upperLetter"/>
      <w:start w:val="24"/>
    </w:lvl>
  </w:abstractNum>
  <w:abstractNum w:abstractNumId="20">
    <w:nsid w:val="71F32454"/>
    <w:multiLevelType w:val="hybridMultilevel"/>
    <w:lvl w:ilvl="0">
      <w:lvlJc w:val="left"/>
      <w:lvlText w:val="(%1)"/>
      <w:numFmt w:val="upperLetter"/>
      <w:start w:val="24"/>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2019-12-05T00:47:37Z</dcterms:created>
  <dcterms:modified xsi:type="dcterms:W3CDTF">2019-12-05T00:47:37Z</dcterms:modified>
</cp:coreProperties>
</file>