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216535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259715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147955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40" w:right="4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SECTION 13 OR 15(d) OF THE SECURITIES EXCHANGE ACT OF 1934</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5, 2019</w:t>
      </w:r>
    </w:p>
    <w:p>
      <w:pPr>
        <w:spacing w:after="0" w:line="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00" w:hanging="436"/>
        <w:spacing w:after="0" w:line="262"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140335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9" w:lineRule="exact"/>
        <w:rPr>
          <w:sz w:val="24"/>
          <w:szCs w:val="24"/>
          <w:color w:val="auto"/>
        </w:rPr>
      </w:pPr>
    </w:p>
    <w:tbl>
      <w:tblPr>
        <w:tblLayout w:type="fixed"/>
        <w:tblInd w:w="220" w:type="dxa"/>
        <w:tblCellMar>
          <w:top w:w="0" w:type="dxa"/>
          <w:left w:w="0" w:type="dxa"/>
          <w:bottom w:w="0" w:type="dxa"/>
          <w:right w:w="0" w:type="dxa"/>
        </w:tblCellMar>
      </w:tblPr>
      <w:tr>
        <w:trPr>
          <w:trHeight w:val="214"/>
        </w:trPr>
        <w:tc>
          <w:tcPr>
            <w:tcW w:w="3860" w:type="dxa"/>
            <w:vAlign w:val="bottom"/>
            <w:gridSpan w:val="2"/>
          </w:tcPr>
          <w:p>
            <w:pPr>
              <w:jc w:val="center"/>
              <w:ind w:left="15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ind w:right="1762"/>
              <w:spacing w:after="0"/>
              <w:rPr>
                <w:sz w:val="20"/>
                <w:szCs w:val="20"/>
                <w:color w:val="auto"/>
              </w:rPr>
            </w:pPr>
            <w:r>
              <w:rPr>
                <w:rFonts w:ascii="Times New Roman" w:cs="Times New Roman" w:eastAsia="Times New Roman" w:hAnsi="Times New Roman"/>
                <w:sz w:val="18"/>
                <w:szCs w:val="18"/>
                <w:b w:val="1"/>
                <w:bCs w:val="1"/>
                <w:color w:val="auto"/>
                <w:w w:val="98"/>
              </w:rPr>
              <w:t>35-2382255</w:t>
            </w:r>
          </w:p>
        </w:tc>
        <w:tc>
          <w:tcPr>
            <w:tcW w:w="0" w:type="dxa"/>
            <w:vAlign w:val="bottom"/>
          </w:tcPr>
          <w:p>
            <w:pPr>
              <w:spacing w:after="0"/>
              <w:rPr>
                <w:sz w:val="1"/>
                <w:szCs w:val="1"/>
                <w:color w:val="auto"/>
              </w:rPr>
            </w:pPr>
          </w:p>
        </w:tc>
      </w:tr>
      <w:tr>
        <w:trPr>
          <w:trHeight w:val="149"/>
        </w:trPr>
        <w:tc>
          <w:tcPr>
            <w:tcW w:w="3860" w:type="dxa"/>
            <w:vAlign w:val="bottom"/>
            <w:gridSpan w:val="2"/>
          </w:tcPr>
          <w:p>
            <w:pPr>
              <w:jc w:val="center"/>
              <w:ind w:left="15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7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gridSpan w:val="2"/>
          </w:tcPr>
          <w:p>
            <w:pPr>
              <w:jc w:val="center"/>
              <w:ind w:left="15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6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2481 Mañana Drive</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Dallas, Texas 75220</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2"/>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9"/>
              </w:rPr>
              <w:t>(214) 357-9588</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748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7"/>
                <w:szCs w:val="17"/>
                <w:color w:val="auto"/>
              </w:rPr>
            </w:pPr>
          </w:p>
        </w:tc>
        <w:tc>
          <w:tcPr>
            <w:tcW w:w="31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3"/>
              </w:rPr>
              <w:t>PLAY</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200" w:right="30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left="200" w:right="20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43" w:lineRule="exact"/>
        <w:rPr>
          <w:sz w:val="24"/>
          <w:szCs w:val="24"/>
          <w:color w:val="auto"/>
        </w:rPr>
      </w:pPr>
    </w:p>
    <w:p>
      <w:pPr>
        <w:ind w:left="200" w:right="18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40" w:right="112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June 5, 2019, the registrant had 36,367,334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60960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May 5, 2019</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20" w:type="dxa"/>
            <w:vAlign w:val="bottom"/>
            <w:gridSpan w:val="11"/>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8920" w:type="dxa"/>
            <w:vAlign w:val="bottom"/>
            <w:gridSpan w:val="11"/>
            <w:vMerge w:val="continue"/>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540" w:type="dxa"/>
            <w:vAlign w:val="bottom"/>
            <w:gridSpan w:val="4"/>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QUANTITATIVE AND QUALITATIVE DISCLOSURES ABOUT MARKET RISK</w:t>
              </w:r>
            </w:hyperlink>
          </w:p>
        </w:tc>
        <w:tc>
          <w:tcPr>
            <w:tcW w:w="27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CONTROLS AND PROCEDURES</w:t>
              </w:r>
            </w:hyperlink>
          </w:p>
        </w:tc>
        <w:tc>
          <w:tcPr>
            <w:tcW w:w="6320" w:type="dxa"/>
            <w:vAlign w:val="bottom"/>
            <w:gridSpan w:val="3"/>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8"/>
              </w:rPr>
            </w:pPr>
            <w:hyperlink w:anchor="page24">
              <w:r>
                <w:rPr>
                  <w:rFonts w:ascii="Times New Roman" w:cs="Times New Roman" w:eastAsia="Times New Roman" w:hAnsi="Times New Roman"/>
                  <w:sz w:val="18"/>
                  <w:szCs w:val="18"/>
                  <w:b w:val="1"/>
                  <w:bCs w:val="1"/>
                  <w:color w:val="0000EE"/>
                  <w:w w:val="98"/>
                </w:rPr>
                <w:t>OTHER INFORMATION</w:t>
              </w:r>
            </w:hyperlink>
          </w:p>
        </w:tc>
        <w:tc>
          <w:tcPr>
            <w:tcW w:w="69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LEGAL PROCEEDINGS</w:t>
              </w:r>
            </w:hyperlink>
          </w:p>
        </w:tc>
        <w:tc>
          <w:tcPr>
            <w:tcW w:w="7040" w:type="dxa"/>
            <w:vAlign w:val="bottom"/>
            <w:gridSpan w:val="7"/>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UNREGISTERED SALES OF EQUITY SECURITIES AND USE OF PROCEEDS</w:t>
              </w:r>
            </w:hyperlink>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EXHIBITS</w:t>
              </w:r>
            </w:hyperlink>
          </w:p>
        </w:tc>
        <w:tc>
          <w:tcPr>
            <w:tcW w:w="5240" w:type="dxa"/>
            <w:vAlign w:val="bottom"/>
            <w:tcBorders>
              <w:top w:val="single" w:sz="8" w:color="0000EE"/>
            </w:tcBorders>
            <w:gridSpan w:val="8"/>
          </w:tcPr>
          <w:p>
            <w:pPr>
              <w:spacing w:after="0"/>
              <w:rPr>
                <w:sz w:val="17"/>
                <w:szCs w:val="17"/>
                <w:color w:val="auto"/>
              </w:rPr>
            </w:pPr>
          </w:p>
        </w:tc>
        <w:tc>
          <w:tcPr>
            <w:tcW w:w="2860" w:type="dxa"/>
            <w:vAlign w:val="bottom"/>
            <w:gridSpan w:val="2"/>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SIGNATURES</w:t>
              </w:r>
            </w:hyperlink>
          </w:p>
        </w:tc>
        <w:tc>
          <w:tcPr>
            <w:tcW w:w="7820" w:type="dxa"/>
            <w:vAlign w:val="bottom"/>
            <w:gridSpan w:val="9"/>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85"/>
        </w:trPr>
        <w:tc>
          <w:tcPr>
            <w:tcW w:w="980" w:type="dxa"/>
            <w:vAlign w:val="bottom"/>
          </w:tcPr>
          <w:p>
            <w:pPr>
              <w:spacing w:after="0"/>
              <w:rPr>
                <w:sz w:val="24"/>
                <w:szCs w:val="24"/>
                <w:color w:val="auto"/>
              </w:rPr>
            </w:pPr>
          </w:p>
        </w:tc>
        <w:tc>
          <w:tcPr>
            <w:tcW w:w="6060" w:type="dxa"/>
            <w:vAlign w:val="bottom"/>
            <w:gridSpan w:val="9"/>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8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6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May 5,</w:t>
            </w:r>
          </w:p>
        </w:tc>
        <w:tc>
          <w:tcPr>
            <w:tcW w:w="140" w:type="dxa"/>
            <w:vAlign w:val="bottom"/>
          </w:tcPr>
          <w:p>
            <w:pPr>
              <w:spacing w:after="0"/>
              <w:rPr>
                <w:sz w:val="24"/>
                <w:szCs w:val="24"/>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20" w:type="dxa"/>
            <w:vAlign w:val="bottom"/>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87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$599,719 and $578,178 accumulated depreciation as of May 5, 2019 and February 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 respectively)</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834,522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805,337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Goodwill</w:t>
            </w:r>
          </w:p>
        </w:tc>
        <w:tc>
          <w:tcPr>
            <w:tcW w:w="4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2,164,891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1,273,187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20" w:type="dxa"/>
            <w:vAlign w:val="bottom"/>
            <w:vMerge w:val="restart"/>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occupancy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1,074,140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876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43,323,049 shares at May 5, 2019 and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43,177,476 shares at February 3, 2019; outstanding: 36,364,758 shares at May 5, 2019 and 37,522,085 shares at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7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February 3, 2019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6,958,291 and 5,655,391 shares as of May 5, 2019 and February 3, 2019, respectively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(297,129)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2,164,891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1,273,187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46" w:right="4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480" w:type="dxa"/>
            <w:vAlign w:val="bottom"/>
            <w:gridSpan w:val="4"/>
          </w:tcPr>
          <w:p>
            <w:pPr>
              <w:jc w:val="center"/>
              <w:ind w:left="1774"/>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380" w:type="dxa"/>
            <w:vAlign w:val="bottom"/>
            <w:gridSpan w:val="4"/>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May 6,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148,221</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products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costs</w:t>
            </w:r>
          </w:p>
        </w:tc>
        <w:tc>
          <w:tcPr>
            <w:tcW w:w="2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derivatives, net of tax</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36,827,665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37,591,944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40,612,388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55" w:right="4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May 6, 2018</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4, 2018 (audited)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42,660,806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2,558,721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$(147,331)</w:t>
            </w: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(249)</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$ 248,311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622,559</w:t>
            </w:r>
          </w:p>
        </w:tc>
        <w:tc>
          <w:tcPr>
            <w:tcW w:w="220" w:type="dxa"/>
            <w:vAlign w:val="bottom"/>
            <w:gridSpan w:val="2"/>
          </w:tcPr>
          <w:p>
            <w:pPr>
              <w:spacing w:after="0"/>
              <w:rPr>
                <w:sz w:val="18"/>
                <w:szCs w:val="18"/>
                <w:color w:val="auto"/>
              </w:rPr>
            </w:pPr>
          </w:p>
        </w:tc>
        <w:tc>
          <w:tcPr>
            <w:tcW w:w="88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rPr>
              <w:t>(28,041)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May 6, 2018 (unaudited)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42,801,006</w:t>
            </w:r>
          </w:p>
        </w:tc>
        <w:tc>
          <w:tcPr>
            <w:tcW w:w="60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323,211</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3,181,280</w:t>
            </w:r>
          </w:p>
        </w:tc>
        <w:tc>
          <w:tcPr>
            <w:tcW w:w="110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(175,372)</w:t>
            </w:r>
          </w:p>
        </w:tc>
        <w:tc>
          <w:tcPr>
            <w:tcW w:w="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290,461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438,210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1"/>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Thirteen Weeks Ended May 5, 2019</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vMerge w:val="continue"/>
          </w:tcPr>
          <w:p>
            <w:pPr>
              <w:spacing w:after="0"/>
              <w:rPr>
                <w:sz w:val="12"/>
                <w:szCs w:val="12"/>
                <w:color w:val="auto"/>
              </w:rPr>
            </w:pPr>
          </w:p>
        </w:tc>
        <w:tc>
          <w:tcPr>
            <w:tcW w:w="12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3, 2019 (audited)</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43,177,476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5,655,391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$(297,129)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$353,962</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 change in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principle, net of tax</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derivatives, net of</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145,573</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1,302,900</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($0.15 per share)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(5,489)</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May 5, 2019 (unaudited)</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43,323,049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333,515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6,958,291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(361,186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390,771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360,125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38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3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6,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320" w:type="dxa"/>
            <w:vAlign w:val="bottom"/>
          </w:tcPr>
          <w:p>
            <w:pPr>
              <w:spacing w:after="0"/>
              <w:rPr>
                <w:sz w:val="20"/>
                <w:szCs w:val="20"/>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taxes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occupancy costs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(67,247)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 under share repurchase program</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1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fixed asset accounts payable</w:t>
            </w:r>
          </w:p>
        </w:tc>
        <w:tc>
          <w:tcPr>
            <w:tcW w:w="11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(5,838)</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1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1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 (note 4)</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240" w:top="455" w:right="4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color w:val="auto"/>
        </w:rPr>
        <w:t>— Dave &amp; Buster’s Entertainment, Inc. (“D&amp;B Entertainment”) is a Delaware corporation formed in June 2010. References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first quarter of fiscal 2019, we opened seven stores and permanently closed one store in Duluth (Atlanta), Georgia on March 3, 2019. As of May 5, 2019, we owned and operated 127 stores located in 39 states, Puerto Rico and one Canadian province.</w:t>
      </w:r>
    </w:p>
    <w:p>
      <w:pPr>
        <w:spacing w:after="0" w:line="187"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thirteen weeks ended May 5, 2019 are not necessarily indicative of results that may be expected for any other interim period or for the fiscal year ending February 2, 2020. Our quarterly financial data should be read in conjunction with the audited financial statements and notes thereto for the year ended February 3, 2019, included in our Annual Report on Form 10-K as filed with the SEC.</w:t>
      </w:r>
    </w:p>
    <w:p>
      <w:pPr>
        <w:spacing w:after="0" w:line="193"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reported has 13 weeks. Fiscal 2019 and 2018, which end on February 2, 2020 and February 3, 2019, contain 52 weeks.</w:t>
      </w:r>
    </w:p>
    <w:p>
      <w:pPr>
        <w:spacing w:after="0" w:line="158" w:lineRule="exact"/>
        <w:rPr>
          <w:sz w:val="20"/>
          <w:szCs w:val="20"/>
          <w:color w:val="auto"/>
        </w:rPr>
      </w:pPr>
    </w:p>
    <w:p>
      <w:pPr>
        <w:ind w:left="200" w:right="6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$7,613 and $12,782 are presented in “Accounts payable” in the Consolidated Balance Sheets as of May 5, 2019 and February 3, 2019, respectively. Changes in the book overdraft position are presented within “Net cash provided by operating activities” within the Consolidated Statements of Cash Flows.</w:t>
      </w:r>
    </w:p>
    <w:p>
      <w:pPr>
        <w:spacing w:after="0" w:line="183" w:lineRule="exact"/>
        <w:rPr>
          <w:sz w:val="20"/>
          <w:szCs w:val="20"/>
          <w:color w:val="auto"/>
        </w:rPr>
      </w:pPr>
    </w:p>
    <w:p>
      <w:pPr>
        <w:ind w:left="200" w:right="1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84"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when they were evaluated for impairment. During the thirteen weeks ended May 5, 2019, there were no impairments recognized.</w:t>
      </w:r>
    </w:p>
    <w:p>
      <w:pPr>
        <w:spacing w:after="0" w:line="172" w:lineRule="exact"/>
        <w:rPr>
          <w:sz w:val="20"/>
          <w:szCs w:val="20"/>
          <w:color w:val="auto"/>
        </w:rPr>
      </w:pPr>
    </w:p>
    <w:p>
      <w:pPr>
        <w:ind w:left="200" w:right="1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rate swaps</w:t>
      </w:r>
      <w:r>
        <w:rPr>
          <w:rFonts w:ascii="Times New Roman" w:cs="Times New Roman" w:eastAsia="Times New Roman" w:hAnsi="Times New Roman"/>
          <w:sz w:val="18"/>
          <w:szCs w:val="18"/>
          <w:color w:val="auto"/>
        </w:rPr>
        <w:t>— The Company entered into three interest rate swap agreements to manage our exposure to interest rate movements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rate credit facility. The agreements entitle the Company to receive at specified intervals, a variable rate of interest based on one-month LIBOR in exchange for the payment of a fixed rate of interest throughout the life of the agreements. The</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4" w:lineRule="auto"/>
        <w:rPr>
          <w:sz w:val="20"/>
          <w:szCs w:val="20"/>
          <w:color w:val="auto"/>
        </w:rPr>
      </w:pPr>
      <w:r>
        <w:rPr>
          <w:rFonts w:ascii="Times New Roman" w:cs="Times New Roman" w:eastAsia="Times New Roman" w:hAnsi="Times New Roman"/>
          <w:sz w:val="18"/>
          <w:szCs w:val="18"/>
          <w:color w:val="auto"/>
        </w:rPr>
        <w:t>notional amount of the swap agreements total $350,000 and the fixed rate of interest for all agreements is 2.47% plus the applicable spread. The agreements became effective on February 28, 2019 and mature on August 17, 2022, which is the maturity date of our credit facility. The Company has designated its interest rate swap agreements as a cash flow hedge and accounts for the underlying activity in accordance with hedge accounting. To the extent that the swaps are effective in offsetting the variability of the hedged cash flows, changes in the fair value of the derivatives are not included in earnings but are included in other comprehensive loss. These changes in fair value are subsequently reclassified into net earnings as a component of interest expense as the hedged interest payments are made on our variable rate debt. At May 5, 2019, the fair value of our interest rate swaps was a liability of $3,487 and is included in “Other liabilities” within the Consolidated Balance Sheets. The offset to the interest rate swap liability is recorded as a component of equity, net of deferred taxes of $953, in accumulated other comprehensive loss. Cash flows related to the interest rate swaps are included as component of interest expense and in operating activities. Any portion of the fair value of the swaps determined to be ineffective will be recognized currently in earnings.</w:t>
      </w:r>
    </w:p>
    <w:p>
      <w:pPr>
        <w:spacing w:after="0" w:line="182" w:lineRule="exact"/>
        <w:rPr>
          <w:sz w:val="20"/>
          <w:szCs w:val="20"/>
          <w:color w:val="auto"/>
        </w:rPr>
      </w:pPr>
    </w:p>
    <w:p>
      <w:pPr>
        <w:ind w:left="200" w:right="4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—Amusement revenues are primarily recognized upon utilization of game play credits on power cards purchased and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customers to activate most of the video and redemption games. We have deferred a portion of revenues for the estimated unfulfilled performance obligations related to unused game play credits which we believe our customers will utilize in the future. During the thirteen weeks ended May 5, 2019, we recognized revenue of approximately $12,000 related to the amount in deferred amusement revenue as of the end of fiscal 2018.</w:t>
      </w:r>
    </w:p>
    <w:p>
      <w:pPr>
        <w:spacing w:after="0" w:line="18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weeks ended May 5, 2019, we recognized revenue of approximately $1,100 related to the amount in deferred gift card revenue as of the end of fiscal 2018, of which approximately $290 was gift card breakage revenue.</w:t>
      </w:r>
    </w:p>
    <w:p>
      <w:pPr>
        <w:spacing w:after="0" w:line="176"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color w:val="auto"/>
        </w:rPr>
        <w:t>— Our Board of Directors has approved a share repurchase program, under which the Company may repurchase shares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open market, through privately negotiated transactions, and through trading plans designed to comply with Rule 10b5-1 of the Securities Exchange Act of 1934, as amended. The share repurchase program may be modified, suspended or discontinued at any time. The Company has a total share repurchase authorization of $600,000 which expires at the end of fiscal 2020. During the thirteen weeks ended May 5, 2019, the Company purchased 1,291,564 shares of common stock at an average cost of $49.14 per share. Since the inception of the repurchase program, the Company has purchased 7,575,355 shares of common stock at an average cost of $51.92 per share. As of May 5, 2019, we have approximately $206,666 of share repurchase authorization remaining under the current plan.</w:t>
      </w:r>
    </w:p>
    <w:p>
      <w:pPr>
        <w:spacing w:after="0" w:line="187"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In our consolidated financial statements, 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thirteen weeks ended May 5, 2019, we withheld 11,336 shares of common stock to satisfy $586 of employees’ tax obligations.</w:t>
      </w:r>
    </w:p>
    <w:p>
      <w:pPr>
        <w:spacing w:after="0" w:line="176" w:lineRule="exact"/>
        <w:rPr>
          <w:sz w:val="20"/>
          <w:szCs w:val="20"/>
          <w:color w:val="auto"/>
        </w:rPr>
      </w:pPr>
    </w:p>
    <w:p>
      <w:pPr>
        <w:ind w:left="200" w:right="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r>
        <w:rPr>
          <w:rFonts w:ascii="Times New Roman" w:cs="Times New Roman" w:eastAsia="Times New Roman" w:hAnsi="Times New Roman"/>
          <w:sz w:val="18"/>
          <w:szCs w:val="18"/>
          <w:color w:val="auto"/>
        </w:rPr>
        <w:t>—On February 4, 2019, we adopted Accounting Standard Update (“ASU”) 2016-02, Leases (Topic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new guidance requires the recognition of lease liabilities, representing future minimum lease payments on a discounted basis, and corresponding right-of-use (“ROU”) assets on the balance sheet for most leases. We adopted this standard using a modified retrospective approach, and we elected the transition method that allows us to initially apply the new standard at the adoption date and recognize a cumulative-effect adjustment to the opening balance of retained earnings in the period of adoption. The comparative period information had not been restated.</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Upon adoption of ASU 2016-02, we applied the package of practical expedients, which eliminated the requirements to reassess prior conclusions about lease identification, lease classification and initial direct costs. We also elected a short-term lease exception policy and an accounting policy to not separate non-lease components from lease components for our facility leases. The adoption of this guidance resulted in the recognition of ROU assets related to our operating leases of $877,714 and operating lease liabilities of $1,116,252. At the date of adoption, all lease-related balances consisting of $239,416 of deferred occupancy costs (including unfavorable lease liabilities) and $878 of favorable lease assets have been eliminated as an adjustment to ROU assets. We also recorded a cumulative effect reduction to the opening balance of retained earnings of $145, net of tax, from adoption of this guidance. There was no significant impact to our results of operations or cash flows.</w:t>
      </w:r>
    </w:p>
    <w:p>
      <w:pPr>
        <w:spacing w:after="0" w:line="185" w:lineRule="exact"/>
        <w:rPr>
          <w:sz w:val="20"/>
          <w:szCs w:val="20"/>
          <w:color w:val="auto"/>
        </w:rPr>
      </w:pPr>
    </w:p>
    <w:p>
      <w:pPr>
        <w:ind w:left="200" w:right="4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r>
        <w:rPr>
          <w:rFonts w:ascii="Times New Roman" w:cs="Times New Roman" w:eastAsia="Times New Roman" w:hAnsi="Times New Roman"/>
          <w:sz w:val="18"/>
          <w:szCs w:val="18"/>
          <w:color w:val="auto"/>
        </w:rPr>
        <w:t>—In January 2017, the Financial Accounting Standards Board (“FASB”) issued ASU 2017-04, Intangibles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24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after December 15, 2019 and should be applied on a prospective basis. The Company does not expect the adoption will have a material impact on our consolidated financial statements when we perform future annual impairment tests.</w:t>
      </w:r>
    </w:p>
    <w:p>
      <w:pPr>
        <w:spacing w:after="0" w:line="162"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which eliminates, modifies and adds disclosure requirements for fair value measurements. The update is effective for fiscal years beginning after December 15, 2019 and for interim periods within those fiscal years, with early adoption permitted. The Company is currently assessing the impact of this new standard on our consolidated financial statements.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liabilities consist of the following as of:</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520" w:type="dxa"/>
            <w:vAlign w:val="bottom"/>
          </w:tcPr>
          <w:p>
            <w:pPr>
              <w:spacing w:after="0"/>
              <w:rPr>
                <w:sz w:val="15"/>
                <w:szCs w:val="15"/>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(refer to Note 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31,252</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47,428</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Amusement redemption liability</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Inventory liabilities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rent liabilities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(refer to Note 5)</w:t>
            </w:r>
          </w:p>
        </w:tc>
        <w:tc>
          <w:tcPr>
            <w:tcW w:w="680" w:type="dxa"/>
            <w:vAlign w:val="bottom"/>
            <w:gridSpan w:val="2"/>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$ 175,525</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Debt</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 as of: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1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 term</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$ 277,500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 revolver</w:t>
            </w:r>
          </w:p>
        </w:tc>
        <w:tc>
          <w:tcPr>
            <w:tcW w:w="58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debt outstanding</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installments - term</w:t>
            </w:r>
          </w:p>
        </w:tc>
        <w:tc>
          <w:tcPr>
            <w:tcW w:w="1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5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 - term</w:t>
            </w:r>
          </w:p>
        </w:tc>
        <w:tc>
          <w:tcPr>
            <w:tcW w:w="5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$ 427,774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May 5, 2019, we had letters of credit outstanding of $6,647 and $327,353 of borrowing available under our credit facility.</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240" w:top="455"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one-month LIBOR plus a spread ranging from 1.25% to 2.00% for the term loans and the revolving loans. The interest rate at May 5, 2019 was based on one-month LIBOR plus 1.25%. As of May 5, 2019, the Company’s weighted average interest rate on outstanding borrowings was 4.17%, including the impact of the interest rate swap agreements. The weighted average effective rate includes amortization of debt issuance costs, commitment and other fees.</w:t>
      </w:r>
    </w:p>
    <w:p>
      <w:pPr>
        <w:spacing w:after="0" w:line="18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May 5, 2019, we were in compliance with our restrictive and financial ratio covenants of our credit facility.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 The following tables set forth our recorded interest expense, net for the periods indicated:</w:t>
      </w:r>
    </w:p>
    <w:p>
      <w:pPr>
        <w:spacing w:after="0" w:line="23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740" w:type="dxa"/>
            <w:vAlign w:val="bottom"/>
            <w:gridSpan w:val="4"/>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4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May 6, 2018</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w:t>
            </w:r>
          </w:p>
        </w:tc>
        <w:tc>
          <w:tcPr>
            <w:tcW w:w="1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interest rate swap</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issuance cost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interest rate cap</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 Contingent rent and other variable rent are included as variable lease costs in the table below.</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Lease expense consisted of the following:</w:t>
      </w:r>
    </w:p>
    <w:p>
      <w:pPr>
        <w:spacing w:after="0" w:line="23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5, 2019</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Store lease expense is included in “Other store operating expenses” or “Pre-opening costs,” accordingly, and corporate lease expense is included in “General and administrative expenses” in the Consolidated Statements of Comprehensive Income.</w:t>
      </w:r>
    </w:p>
    <w:p>
      <w:pPr>
        <w:spacing w:after="0" w:line="162"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Operating leases are included within the “Operating lease right of use assets”, “Accrued liabilities” and “Operating lease liabilities” in the Consolidated Balance Sheets. Operating lease ROU assets and lease liabilities are recognized at commencement date based on the present value of lease payments over the lease term and include both facility and equipment leases. The operating lease ROU asset is reduced by leasehold improvement incentives as the incentives are earned. As of May 5, 2019, the balance of leasehold improvement incentive receivables was $18,107 and is reflected as a reduction of the current portion of operating lease liabilities. The Company uses its incremental borrowing rate at commencement date in determining the present value of lease payments. The Company uses judgment in determining its incremental borrowing rate, which includes selecting a yield curve based on a hypothetical credit rating.</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5"/>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our operating lease liabilities are as follows as of May 5, 2019:</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68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0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1,812,724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689,225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discounted operating lease liabilities</w:t>
            </w:r>
          </w:p>
        </w:tc>
        <w:tc>
          <w:tcPr>
            <w:tcW w:w="10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1,123,499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Operating lease payments in the table above includes minimum lease payments for seven future sites for which the lease has commenced, and the stores are expected to open in fiscal 2019. Operating lease payments exclude minimum lease payments for eleven executed facility leases that we have not yet taken possession.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February 3, 2019, aggregate minimum annual lease payments under facility and equipment operating leases were as follows:</w:t>
      </w:r>
    </w:p>
    <w:p>
      <w:pPr>
        <w:spacing w:after="0" w:line="2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122,501</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117,908</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111,642</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104,195</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100,779</w:t>
            </w:r>
          </w:p>
        </w:tc>
        <w:tc>
          <w:tcPr>
            <w:tcW w:w="6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1,229,803</w:t>
            </w:r>
          </w:p>
        </w:tc>
        <w:tc>
          <w:tcPr>
            <w:tcW w:w="60" w:type="dxa"/>
            <w:vAlign w:val="bottom"/>
          </w:tcPr>
          <w:p>
            <w:pPr>
              <w:spacing w:after="0"/>
              <w:rPr>
                <w:sz w:val="19"/>
                <w:szCs w:val="19"/>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1,786,828</w:t>
            </w:r>
          </w:p>
        </w:tc>
        <w:tc>
          <w:tcPr>
            <w:tcW w:w="6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On June 30, 2017, we agreed to settle litigation related to alleged violations of the Employee Retirement Income Security Act. The settlement agreement was preliminarily approved by the court on December 7, 2018, and the court had set a hearing concerning final approval for May 9, 2019, which has been delayed by the court for administrative reasons. To cover the estimated net costs of settlement, including estimated payment to any opt-in members and class attorneys, as well as related settlement administration costs, we recorded a net charge of $2,550 (representing $7,500 of gross settlement costs less $4,950 of insurance recoveries) during fiscal 2017. The charge was recorded in general and administrative expenses in our Consolidated Statements of Comprehensive Income. No additional settlement liabilities or recoveries related to this litigation were recorded during fiscal 2018 or fiscal 2019. The actual amount of any settlement payment could vary from our estimate and will be subject to many factors including approval by the court, the claims process and other matters typically associated with the settlement of litigation.</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24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51,772 and 113,798 in the thirteen weeks ended May 5, 2019 and May 6, 2018, respectively.</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EPS, basic and diluted for the periods indicated:</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7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6, 2018</w:t>
            </w: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8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36,827,665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39,695,421</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dilutive impact of equity-based awards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764,279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916,967</w:t>
            </w:r>
          </w:p>
        </w:tc>
        <w:tc>
          <w:tcPr>
            <w:tcW w:w="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 equivalent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outstanding (diluted)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37,591,944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40,612,388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r>
      <w:tr>
        <w:trPr>
          <w:trHeight w:val="365"/>
        </w:trPr>
        <w:tc>
          <w:tcPr>
            <w:tcW w:w="5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options, time-based and performance-based RSU’s and restricted stock are included in general and administrative expenses and were as follows:</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5, 2019</w:t>
            </w:r>
          </w:p>
        </w:tc>
        <w:tc>
          <w:tcPr>
            <w:tcW w:w="13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6, 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RSU’s and restricted stock</w:t>
            </w: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Transactions related to stock option awards during the thirteen weeks ended May 5, 2019 were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860" w:type="dxa"/>
            <w:vAlign w:val="bottom"/>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420" w:type="dxa"/>
            <w:vAlign w:val="bottom"/>
          </w:tcPr>
          <w:p>
            <w:pPr>
              <w:spacing w:after="0"/>
              <w:rPr>
                <w:sz w:val="15"/>
                <w:szCs w:val="15"/>
                <w:color w:val="auto"/>
              </w:rPr>
            </w:pPr>
          </w:p>
        </w:tc>
        <w:tc>
          <w:tcPr>
            <w:tcW w:w="19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3,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1,134,218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4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4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May 5,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1,337,496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May 5, 2019</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921,792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319,349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thirteen weeks ended May 5, 2019 was $2,069. The unrecognized expense related to our stock option plan totaled approximately $4,514 as of May 5, 2019 and will be expensed over a weighted average period of 2.7 years.</w:t>
      </w:r>
    </w:p>
    <w:p>
      <w:pPr>
        <w:spacing w:after="0" w:line="162"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Transactions related to time-based and performance-based RSU’s and restricted stock during the thirteen weeks ended May 5, 2019 were as follows: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3, 2019</w:t>
            </w:r>
          </w:p>
        </w:tc>
        <w:tc>
          <w:tcPr>
            <w:tcW w:w="3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units based on performance</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(99,124)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May 5, 2019</w:t>
            </w:r>
          </w:p>
        </w:tc>
        <w:tc>
          <w:tcPr>
            <w:tcW w:w="30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5" w:right="6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$7,787 as of May 5, 2019 and will be expensed over a weighted average period of 2.4 years.</w:t>
      </w:r>
    </w:p>
    <w:p>
      <w:pPr>
        <w:spacing w:after="0" w:line="176"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5, 2019, and May 6, 2018, excess tax benefits of $788 and $380, respectively, were recognized as a benefit in the “Provision for income taxes” in the Consolidated Statement of Comprehensive Income and classified as a source in operating activities in the Consolidated Statement of Cash Flows.</w:t>
      </w:r>
    </w:p>
    <w:p>
      <w:pPr>
        <w:spacing w:after="0" w:line="176"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240" w:top="455"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2, 2019.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3"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2019.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Our stores average 41,000 square feet, range in size between 16,000 and 66,000 square feet and are open seven days a week, with hours of operation typically from 11:30 a.m. to midnight on Sunday through Thursday and 11:30 a.m. to 2:00 a.m. on Friday and Saturday.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Strategies and Outlook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growth is based primarily on the following strategies:</w:t>
      </w:r>
    </w:p>
    <w:p>
      <w:pPr>
        <w:spacing w:after="0" w:line="131" w:lineRule="exact"/>
        <w:rPr>
          <w:sz w:val="20"/>
          <w:szCs w:val="20"/>
          <w:color w:val="auto"/>
        </w:rPr>
      </w:pPr>
    </w:p>
    <w:p>
      <w:pPr>
        <w:ind w:left="2060" w:hanging="317"/>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Dave &amp; Buster’s brand geographically;</w:t>
      </w:r>
    </w:p>
    <w:p>
      <w:pPr>
        <w:spacing w:after="0" w:line="130" w:lineRule="exact"/>
        <w:rPr>
          <w:rFonts w:ascii="Times New Roman" w:cs="Times New Roman" w:eastAsia="Times New Roman" w:hAnsi="Times New Roman"/>
          <w:sz w:val="18"/>
          <w:szCs w:val="18"/>
          <w:color w:val="auto"/>
        </w:rPr>
      </w:pPr>
    </w:p>
    <w:p>
      <w:pPr>
        <w:ind w:left="2060" w:hanging="317"/>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great new stores; and</w:t>
      </w:r>
    </w:p>
    <w:p>
      <w:pPr>
        <w:spacing w:after="0" w:line="130" w:lineRule="exact"/>
        <w:rPr>
          <w:rFonts w:ascii="Times New Roman" w:cs="Times New Roman" w:eastAsia="Times New Roman" w:hAnsi="Times New Roman"/>
          <w:sz w:val="18"/>
          <w:szCs w:val="18"/>
          <w:color w:val="auto"/>
        </w:rPr>
      </w:pPr>
    </w:p>
    <w:p>
      <w:pPr>
        <w:ind w:left="2060" w:hanging="317"/>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our comparable stores sales.</w:t>
      </w:r>
    </w:p>
    <w:p>
      <w:pPr>
        <w:spacing w:after="0" w:line="22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We intend for new store expansion to be a key growth driver. Our long-term plan is to open new stores at an annual rate of at least 10% of our existing stores. During the first thirteen weeks of fiscal 2019, the Company opened seven new stores, compared to six new store openings in the comparable 2018 period. As of May 5, 2019, there were 127 stores in the United States, Puerto Rico and Canada. We strive to increase comparable store sales by delivering compelling game content in our amusement products, enhancing food and beverage items and improving service to our customers. We utilize national cable advertising and digital media to build customer awareness and drive frequency across each of the “Eat, Drink, Play and Watch” components of our business. We currently anticipate opening fifteen to sixteen new stores in fiscal 2019.</w:t>
      </w:r>
    </w:p>
    <w:p>
      <w:pPr>
        <w:spacing w:after="0" w:line="18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believe that we are positioned for growth with a corporate infrastructure and national marketing platform that can substantially support a larger store base than we currently have. Whether we are able to leverage our infrastructure and marketing platform in future years by growing these costs at a slower rate than our revenue will depend, in part, on our new store openings, our comparable store sales growth rate going forward and the level of investment we continue to make in these areas.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growth strategies and outlook, see the section entitled “Business – Our Growth Strategies” in our Annual Report on Form 10-K filed with the SEC.</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monitor and analyze a number of key performance measures to manage our business and evaluate financial and operating performance. These measures include:</w:t>
      </w:r>
    </w:p>
    <w:p>
      <w:pPr>
        <w:spacing w:after="0" w:line="158" w:lineRule="exact"/>
        <w:rPr>
          <w:sz w:val="20"/>
          <w:szCs w:val="20"/>
          <w:color w:val="auto"/>
        </w:rPr>
      </w:pPr>
    </w:p>
    <w:p>
      <w:pPr>
        <w:jc w:val="both"/>
        <w:ind w:left="200" w:right="10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year-over-year comparison of sales at stores open at the end of the period which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99 stores as of May 5, 2019.</w:t>
      </w:r>
    </w:p>
    <w:p>
      <w:pPr>
        <w:spacing w:after="0" w:line="171" w:lineRule="exact"/>
        <w:rPr>
          <w:sz w:val="20"/>
          <w:szCs w:val="20"/>
          <w:color w:val="auto"/>
        </w:rPr>
      </w:pPr>
    </w:p>
    <w:p>
      <w:pPr>
        <w:ind w:left="200" w:right="2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Between May 6, 2018 and May 5, 2019, we opened sixteen new stores, eight of which were in new markets.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200" w:right="40" w:firstLine="441"/>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3" w:lineRule="exact"/>
        <w:rPr>
          <w:sz w:val="20"/>
          <w:szCs w:val="20"/>
          <w:color w:val="auto"/>
        </w:rPr>
      </w:pPr>
    </w:p>
    <w:p>
      <w:pPr>
        <w:ind w:left="200" w:right="2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75"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200" w:right="1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4"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6" w:lineRule="auto"/>
        <w:rPr>
          <w:sz w:val="20"/>
          <w:szCs w:val="20"/>
          <w:color w:val="auto"/>
        </w:rPr>
      </w:pPr>
      <w:r>
        <w:rPr>
          <w:rFonts w:ascii="Times New Roman" w:cs="Times New Roman" w:eastAsia="Times New Roman" w:hAnsi="Times New Roman"/>
          <w:sz w:val="18"/>
          <w:szCs w:val="18"/>
          <w:color w:val="auto"/>
        </w:rPr>
        <w:t>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 except in a 53-week year when the fourth quarter has 14 weeks. All references to the first quarter of 2019 relate to the 13-week period ended May 5, 2019. All references to the first quarter of 2018 relate to the 13-week period ended May 6, 2018. Fiscal 2019 and fiscal 2018 consist of 52 weeks. All dollar amounts are presented in thousands, unless otherwise noted, except share and per share amounts.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80"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Thirteen Weeks Ended May 5, 2019 Compared to Thirteen Weeks Ended May 6, 2018</w:t>
      </w:r>
    </w:p>
    <w:p>
      <w:pPr>
        <w:spacing w:after="0" w:line="117" w:lineRule="exact"/>
        <w:rPr>
          <w:sz w:val="20"/>
          <w:szCs w:val="20"/>
          <w:color w:val="auto"/>
        </w:rPr>
      </w:pPr>
    </w:p>
    <w:p>
      <w:pPr>
        <w:ind w:left="2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in thousands of dollars and as a percentage of total revenues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noted) for the periods indicated. All information is derived from the accompanying unaudited consolidated statements of comprehensive income.</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6, 2018</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148,221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139,755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215,361</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192,435</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363,582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332,190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products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61,725</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57,139</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106,245</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costs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305,832</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273,586</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open at end of period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open at end of period (1)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40" w:right="220" w:hanging="436"/>
        <w:spacing w:after="0" w:line="282" w:lineRule="auto"/>
        <w:tabs>
          <w:tab w:leader="none" w:pos="6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store in Duluth (Atlanta), Georgia permanently closed on March 3, 2019 as we did not exercise the renewal option, and has been excluded from fiscal 2019 store counts and comparable store sales.</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240" w:top="455" w:right="5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6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6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May 6, 2018</w:t>
            </w:r>
          </w:p>
        </w:tc>
        <w:tc>
          <w:tcPr>
            <w:tcW w:w="2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$42,443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$42,150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98,184</w:t>
            </w: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95,908</w:t>
            </w:r>
          </w:p>
        </w:tc>
        <w:tc>
          <w:tcPr>
            <w:tcW w:w="3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represents costs related to currency transaction (gains) or losses.</w:t>
      </w:r>
    </w:p>
    <w:p>
      <w:pPr>
        <w:spacing w:after="0" w:line="329" w:lineRule="exact"/>
        <w:rPr>
          <w:rFonts w:ascii="Times New Roman" w:cs="Times New Roman" w:eastAsia="Times New Roman" w:hAnsi="Times New Roman"/>
          <w:sz w:val="15"/>
          <w:szCs w:val="15"/>
          <w:color w:val="auto"/>
        </w:rPr>
      </w:pPr>
    </w:p>
    <w:p>
      <w:pPr>
        <w:ind w:left="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left="1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left="1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May 6, 2018</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17.6%</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112,739</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31.0%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108,817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32.8%</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form landlords”).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100" w:type="dxa"/>
            <w:vAlign w:val="bottom"/>
            <w:gridSpan w:val="3"/>
          </w:tcPr>
          <w:p>
            <w:pPr>
              <w:jc w:val="center"/>
              <w:ind w:left="2036"/>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7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May 5, 2019</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6, 2018</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Games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w:t>
            </w:r>
          </w:p>
        </w:tc>
        <w:tc>
          <w:tcPr>
            <w:tcW w:w="2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40" w:type="dxa"/>
            <w:vAlign w:val="bottom"/>
            <w:shd w:val="clear" w:color="auto" w:fill="CCEEFF"/>
          </w:tcPr>
          <w:p>
            <w:pPr>
              <w:spacing w:after="0"/>
              <w:rPr>
                <w:sz w:val="18"/>
                <w:szCs w:val="18"/>
                <w:color w:val="auto"/>
              </w:rPr>
            </w:pP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61,409</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8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4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Total revenues increased $31,392, or 9.5%, to $363,582 in the first quarter of fiscal 2019 compared to total revenues of $332,190 in the first quarter of fiscal 2018. For the thirteen weeks ended May 5, 2019, we derived 27.7% of our total revenue from food sales, 13.1% from beverage sales, 58.5% from amusement sales and 0.7% from other sources. For the thirteen weeks ended May 6, 2018, we derived 28.5% of our total revenue from food sales, 13.6% from beverage sales, 57.3% from amusement sales and 0.6% from other sources.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increase in revenues for the first quarter of fiscal 2019 compared to the reported first quarter of 2018 were from the following sources:</w:t>
      </w:r>
    </w:p>
    <w:p>
      <w:pPr>
        <w:spacing w:after="0" w:line="2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32,588</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31,392</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Comparable store revenue decreased $925, or 0.3%, in the first quarter of fiscal 2019 compared to the first quarter of fiscal 2018. Comparable store revenue compared to prior year was negatively impacted by an unfavorable shift in the current year holiday/school break calendar, increased competitive pressure, and sales transfers to new stores that we opened in markets where we operate. Comparable walk-in revenues, which accounted for 92.1% of comparable store revenue for the first quarter of fiscal 2019, decreased $1,603, or 0.6% compared to the similar period in fiscal 2018. Comparable store special events revenues, which accounted for 7.9% of comparable store revenue for the first quarter of fiscal 2019, increased $678, or 3.0% compared to the first quarter of fiscal 2018.</w:t>
      </w:r>
    </w:p>
    <w:p>
      <w:pPr>
        <w:spacing w:after="0" w:line="188"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Food sales at comparable stores decreased by $2,291, or 2.8%, to $80,709 in the first quarter of fiscal 2019 from $83,000 in the in the first quarter of fiscal 2018. Beverage sales at comparable stores decreased by $1,756, or 4.4%, to $38,005 in the first quarter of fiscal 2019 from $39,761 in the 2018 comparison period. Comparable store amusement and other revenues in the first quarter of fiscal 2019 increased by $3,122, or 1.8%, to $172,577 from $169,455 in the comparable thirteen weeks of fiscal 2018. The increase in amusement sales was positively impacted by various pricing initiatives in the current quarter, including an increase in new card fees with the launch of our RFID power card and incremental sales associated with our virtual reality platform which launched during the second quarter of fiscal 2018.</w:t>
      </w:r>
    </w:p>
    <w:p>
      <w:pPr>
        <w:spacing w:after="0" w:line="188"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Non-comparable store revenue increased $32,588, for the first quarter of fiscal 2019 compared to the first quarter of fiscal 2018. The increase in non-comparable store revenue was primarily driven by 196 additional operating store weeks contributed by our twenty-eight non-comparable stores, sixteen of which opened subsequent to the first quarter of fiscal 2018, partially offset by a decrease in revenue due to the closure of our store in Duluth (Atlanta), Georgia on March 3, 2019.</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total cost of products was $61,725 for the first quarter of fiscal 2019 and $57,139 for the first quarter of fiscal 2018. The total cost of products as a percentage of total revenues was 17.0% and 17.2% for the first quarter of fiscal 2019 and fiscal 2018, respectively.</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increased to $38,754 in the first quarter of fiscal 2019 compared to $36,020 for the first quarter of fiscal 2018 due primarily to the increased sales volume related to new store openings. Cost of food and beverage products, as a percentage of food and beverage revenues, increased 30 basis points to 26.1% for the first quarter of fiscal 2019 from 25.8% for the first quarter of fiscal 2018. Higher meat costs resulting from our upgraded steak products and higher poultry costs due to our “All You Can Eat” wings promotion as well as the impact of our larger non-comparable store group, were partially offset by increases in food and beverage prices.</w:t>
      </w:r>
    </w:p>
    <w:p>
      <w:pPr>
        <w:spacing w:after="0" w:line="184"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Cost of amusement and other increased to $22,971 in the first quarter of fiscal 2019 compared to $21,119 in the first quarter of fiscal 2018. The costs of amusement and other, as a percentage of amusement and other revenues, decreased 30 basis points to 10.7% for the first quarter of fiscal 2019 from 11.0% for the first quarter of fiscal 2018. The decrease in cost of amusement and other as a percentage of revenue was due, in part, to lower expense associated with our estimated amusement redemption liabilities, an increase in the price of power cards and a slight shift in game play to non-redemption games including our virtual reality platform.</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increased by $9,979, or 13.7%, to $82,873 in the first quarter of fiscal 2019 compared to $72,894 in the first quarter of fiscal 2018. This increase was primarily due to labor associated with the additional operating store weeks of our non-comparable stores. The total cost of operating payroll and benefits, as a percentage of total revenues, increased 90 basis points to 22.8% in the first quarter of fiscal 2019 compared to 21.9% for the first quarter of fiscal 2018. This increase was due to a hourly wage rate increase of approximately 5%, incremental amusements labor related to our virtual reality platform, normal labor inefficiencies associated with our non-comparable store base and unfavorable leverage on decreased comparable store sales.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Other store operating expenses increased by $12,905, or 13.8%, to $106,245 in the first quarter of fiscal 2019 compared to $93,340 in the first quarter of fiscal 2018, primarily due to new store openings. Other store operating expenses as a percentage of total revenues increased 100 basis points to 29.2% in the first quarter of fiscal 2019 compared to 28.2% in the first quarter of fiscal 2018. This increase was due primarily to higher occupancy costs associated with our non-comparable stores, deleveraging of our occupancy costs on lower comparable store sales, incremental sports viewing costs and the absence of hurricane-related business interruption proceeds recorded in the first quarter of the prior year.</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$1,192, or 7.6%, to $16,846 in the first quarter of fiscal 2019 compared to $15,654 in the first quarter of fiscal 2018. The increase in general and administrative expenses was primarily driven by increased compensation and professional services costs at our corporate headquarters. General and administrative expenses, as a percentage of total revenues remained relatively unchanged at 4.6% in the first quarter of fiscal 2019 compared to 4.7% in the first quarter of fiscal 2018.</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$3,635 or 13.2%, to $31,141 in the first quarter of fiscal 2019 compared to $27,506 in the first quarter of fiscal 2018. Increased depreciation due to our 2018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Pre-opening costs decreased by $51 to $7,002 in the first quarter of fiscal 2019 compared to $7,053 in the first quarter of fiscal 2018</w:t>
      </w:r>
      <w:r>
        <w:rPr>
          <w:rFonts w:ascii="Times New Roman" w:cs="Times New Roman" w:eastAsia="Times New Roman" w:hAnsi="Times New Roman"/>
          <w:sz w:val="18"/>
          <w:szCs w:val="18"/>
          <w:b w:val="1"/>
          <w:bCs w:val="1"/>
          <w:i w:val="1"/>
          <w:iCs w:val="1"/>
          <w:color w:val="auto"/>
        </w:rPr>
        <w:t>.</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$1,199 to $4,056 in the first quarter of fiscal 2019 compared to $2,857 in the first quarter of fiscal 2018 due primarily to higher interest rates and an increase in average outstanding debt.</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The effective income tax rate decreased to 21.0% in the first quarter of fiscal 2019 compared to 24.4% in the first quarter of fiscal 2018. The decrease reflects a higher excess tax benefit associated with share-based compensation, higher tax credits and a change in the mix of jurisdictional earnings.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At May 5, 2019, we had cash and cash equivalents of $20,353 and a net working capital deficit of $186,097. We are able to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w:t>
      </w:r>
    </w:p>
    <w:p>
      <w:pPr>
        <w:spacing w:after="0" w:line="180"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cash and cash equivalents combined with expected cash flows from operations, available borrowings under the revolving portion of our credit facility and expected payments from landlords should be</w:t>
      </w:r>
    </w:p>
    <w:p>
      <w:pPr>
        <w:sectPr>
          <w:pgSz w:w="11900" w:h="16838" w:orient="portrait"/>
          <w:cols w:equalWidth="0" w:num="1">
            <w:col w:w="11220"/>
          </w:cols>
          <w:pgMar w:left="240" w:top="455" w:right="439" w:bottom="1440" w:gutter="0" w:footer="0" w:header="0"/>
        </w:sectPr>
      </w:pP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240" w:top="455" w:right="4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82" w:lineRule="auto"/>
        <w:rPr>
          <w:sz w:val="20"/>
          <w:szCs w:val="20"/>
          <w:color w:val="auto"/>
        </w:rPr>
      </w:pPr>
      <w:r>
        <w:rPr>
          <w:rFonts w:ascii="Times New Roman" w:cs="Times New Roman" w:eastAsia="Times New Roman" w:hAnsi="Times New Roman"/>
          <w:sz w:val="18"/>
          <w:szCs w:val="18"/>
          <w:color w:val="auto"/>
        </w:rPr>
        <w:t>sufficient not only for our operating requirements but also to enable us, in the aggregate, to finance our capital allocation strategy, including capital expenditures, share repurchases, cash dividends and any required debt payments through at least the next twelve months and the foreseeable future.</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expect to spend between $231,000 and $241,000 ($190,000 to $200,000 net of payments from landlord) in capital additions during fiscal 2019. The fiscal 2019 additions are expected to include approximately $184,000 to $194,000 ($143,000 to $153,000 net of payments from landlords) for new store construction and operating improvement initiatives, $20,000 for game refreshment and $27,000 in maintenance capital. A portion of the 2019 new store spend is related to stores that will be under construction in 2019 but will not be open until 2020.</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Debt and Derivatives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We maintain a $500,000 unsecured revolving credit facility. Availability under the revolving credit facility is reduced by outstanding letters of credit, which are used to support our self-insurance programs. At May 5, 2019, we had net availability for borrowings of $327,353 based on an outstanding revolver balance of $166,000 and $6,647 in standby letters of credit. We had total outstanding debt obligation of $443,500 under the existing term loan and revolving credit facility, which matures in August 2022. At May 5, 2019, the Company was in compliance with all our covenants contained in our existing credit facility, and none are expected to impact our liquidity or capital resources.</w:t>
      </w:r>
    </w:p>
    <w:p>
      <w:pPr>
        <w:spacing w:after="0" w:line="184"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We use interest rate swaps in the management of our exposure to fluctuations in interest rates on our variable rate credit facility. Refer to Notes 1 of the Unaudited Consolidated Financial Statements for further discussion.</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21" w:lineRule="exact"/>
        <w:rPr>
          <w:sz w:val="20"/>
          <w:szCs w:val="20"/>
          <w:color w:val="auto"/>
        </w:rPr>
      </w:pPr>
    </w:p>
    <w:p>
      <w:pPr>
        <w:ind w:left="200" w:right="180" w:firstLine="441"/>
        <w:spacing w:after="0" w:line="256" w:lineRule="auto"/>
        <w:rPr>
          <w:sz w:val="20"/>
          <w:szCs w:val="20"/>
          <w:color w:val="auto"/>
        </w:rPr>
      </w:pPr>
      <w:r>
        <w:rPr>
          <w:rFonts w:ascii="Times New Roman" w:cs="Times New Roman" w:eastAsia="Times New Roman" w:hAnsi="Times New Roman"/>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May 5, 2019, we had approximately $206,666 remaining of a total $600,000 share repurchase authorization. The existing share repurchase program expires at the end of fiscal 2020. During the first quarter of fiscal 2019, we declared and paid cash dividends of $5,489. Our Board of Directors may authorize additional share repurchases or other capital allocation initiatives, including additional dividends, to return value to shareholders as allowable under our existing credit facility.</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17" w:lineRule="exact"/>
        <w:rPr>
          <w:sz w:val="20"/>
          <w:szCs w:val="20"/>
          <w:color w:val="auto"/>
        </w:rPr>
      </w:pPr>
    </w:p>
    <w:p>
      <w:pPr>
        <w:ind w:left="200" w:right="34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color w:val="auto"/>
        </w:rPr>
        <w:t>— Net cash provided by operating activities decreased $13,206 in the thirteen weeks ended May 5, 2019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May 6, 2018 driven primarily by net cash flows associated with changes in working capital.</w:t>
      </w:r>
    </w:p>
    <w:p>
      <w:pPr>
        <w:spacing w:after="0" w:line="159"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Cash flow generated from operations provides us with a significant source of liquidity. Our operating cash flows result primarily from cash received from our customers, offset by cash payments we make for products and services, employee compensation, operations and occupancy costs.</w:t>
      </w:r>
    </w:p>
    <w:p>
      <w:pPr>
        <w:spacing w:after="0" w:line="162"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color w:val="auto"/>
        </w:rPr>
        <w:t>— Cash used in investing activities primarily reflects capital expenditures.</w:t>
      </w:r>
    </w:p>
    <w:p>
      <w:pPr>
        <w:spacing w:after="0" w:line="22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May 5, 2019, the Company spent $57,739 ($43,497 net of payments from landlords) for new store construction and operating improvement initiatives, $3,846 for game refreshment and $5,662 for maintenance capital.</w:t>
      </w:r>
    </w:p>
    <w:p>
      <w:pPr>
        <w:spacing w:after="0" w:line="162"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May 6, 2018, we spent $49,370 ($34,583 net of payments from landlords) for new store construction and operating improvement initiatives, $7,702 for game refreshment and $4,317 for maintenance capital.</w:t>
      </w:r>
    </w:p>
    <w:p>
      <w:pPr>
        <w:spacing w:after="0" w:line="158" w:lineRule="exact"/>
        <w:rPr>
          <w:sz w:val="20"/>
          <w:szCs w:val="20"/>
          <w:color w:val="auto"/>
        </w:rPr>
      </w:pPr>
    </w:p>
    <w:p>
      <w:pPr>
        <w:ind w:left="200" w:right="2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color w:val="auto"/>
        </w:rPr>
        <w:t>— Cash used in financing activities primarily reflected approximately $63,500 of share repurchases and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$5,500 of cash dividends paid, partially offset by $49,250 of net proceeds from borrowings of debt in the first quarter of fiscal 2019. Cash used in financing activities primarily reflected approximately $27,500 of share repurchases and $11,750 of net repayments of debt in the first quarter of fiscal 2018.</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since February 3, 2019, as reported on Form 10-K filed with SEC on April 2, 2019.</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2, 2019.</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200" w:right="368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ind w:left="200" w:right="40" w:firstLine="441"/>
        <w:spacing w:after="0" w:line="274" w:lineRule="auto"/>
        <w:rPr>
          <w:sz w:val="20"/>
          <w:szCs w:val="20"/>
          <w:color w:val="auto"/>
        </w:rPr>
      </w:pPr>
      <w:r>
        <w:rPr>
          <w:rFonts w:ascii="Times New Roman" w:cs="Times New Roman" w:eastAsia="Times New Roman" w:hAnsi="Times New Roman"/>
          <w:sz w:val="17"/>
          <w:szCs w:val="17"/>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arising from changes in interest rates due to the variable rate indebtedness under our credit facility. Borrowings pursuant to our credit facility bear interest at a floating rate based on one-month LIBOR, plus an applicable margin. Effective February 28, 2019, the Company entered into an interest rate swap agreement with a notional amount of $350,000 to manage our exposure to interest rate movements on our variable rate credit facility. The agreement converts the floating interest rate to a fixed interest rate of approximately 2.5% plus a spread from the effective date through the term of our existing credit facility.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7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06"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ectPr>
          <w:pgSz w:w="11900" w:h="16838" w:orient="portrait"/>
          <w:cols w:equalWidth="0" w:num="1">
            <w:col w:w="11220"/>
          </w:cols>
          <w:pgMar w:left="240" w:top="455" w:right="439" w:bottom="1440"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Effective February 4, 2019 we adopted the new guidance for lease accounting (Topic 842). During our first quarter, we established implementation controls to ensure our contracts were properly evaluated and that the impact of the new lease accounting standard was properly assessed and disclosed in our consolidated financial statements for the thirteen weeks ended May 5, 2019.</w:t>
      </w:r>
    </w:p>
    <w:p>
      <w:pPr>
        <w:spacing w:after="0" w:line="176" w:lineRule="exact"/>
        <w:rPr>
          <w:sz w:val="20"/>
          <w:szCs w:val="20"/>
          <w:color w:val="auto"/>
        </w:rPr>
      </w:pPr>
    </w:p>
    <w:p>
      <w:pPr>
        <w:jc w:val="both"/>
        <w:ind w:left="200" w:right="560" w:firstLine="441"/>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other changes in our internal control over financial reporting (as defined in the Exchange Act Rules 13a-15(f) and 15d-15(f)) that occurred during our first quarter ended May 5, 2019, that have materially affected, or are reasonably likely to materially affect, our internal control over financial reporting.</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ind w:left="2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our Annual Report as filed on Form 10-K on April 2, 2019.</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Information regarding repurchase of our common stock, in thousands, except share and per share amounts, during the thirteen weeks ended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5, 2019:</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8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700" w:type="dxa"/>
            <w:vAlign w:val="bottom"/>
          </w:tcPr>
          <w:p>
            <w:pPr>
              <w:spacing w:after="0"/>
              <w:rPr>
                <w:sz w:val="13"/>
                <w:szCs w:val="13"/>
                <w:color w:val="auto"/>
              </w:rPr>
            </w:pP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460" w:type="dxa"/>
            <w:vAlign w:val="bottom"/>
          </w:tcPr>
          <w:p>
            <w:pPr>
              <w:spacing w:after="0"/>
              <w:rPr>
                <w:sz w:val="12"/>
                <w:szCs w:val="12"/>
                <w:color w:val="auto"/>
              </w:rPr>
            </w:pPr>
          </w:p>
        </w:tc>
        <w:tc>
          <w:tcPr>
            <w:tcW w:w="86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as Part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29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600" w:type="dxa"/>
            <w:vAlign w:val="bottom"/>
            <w:gridSpan w:val="3"/>
          </w:tcPr>
          <w:p>
            <w:pPr>
              <w:ind w:left="680"/>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4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 (2)</w:t>
            </w:r>
          </w:p>
        </w:tc>
        <w:tc>
          <w:tcPr>
            <w:tcW w:w="2760" w:type="dxa"/>
            <w:vAlign w:val="bottom"/>
            <w:gridSpan w:val="4"/>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 Under the Plan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4, 2019 – March 3, 2019</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354,856</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49.60</w:t>
            </w:r>
          </w:p>
        </w:tc>
        <w:tc>
          <w:tcPr>
            <w:tcW w:w="7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354,856</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4, 2019 – April 7, 2019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721,673</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721,673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8, 2019 – May 5, 2019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215,035</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0" w:hanging="436"/>
        <w:spacing w:after="0"/>
        <w:tabs>
          <w:tab w:leader="none" w:pos="6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Monthly information is presented by reference to our fiscal periods during the thirteen weeks ended May 5, 2019.</w:t>
      </w:r>
    </w:p>
    <w:p>
      <w:pPr>
        <w:spacing w:after="0" w:line="27" w:lineRule="exact"/>
        <w:rPr>
          <w:rFonts w:ascii="Times New Roman" w:cs="Times New Roman" w:eastAsia="Times New Roman" w:hAnsi="Times New Roman"/>
          <w:sz w:val="15"/>
          <w:szCs w:val="15"/>
          <w:color w:val="auto"/>
        </w:rPr>
      </w:pPr>
    </w:p>
    <w:p>
      <w:pPr>
        <w:jc w:val="both"/>
        <w:ind w:left="640" w:right="440" w:hanging="436"/>
        <w:spacing w:after="0" w:line="250" w:lineRule="auto"/>
        <w:tabs>
          <w:tab w:leader="none" w:pos="6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1" w:lineRule="exact"/>
        <w:rPr>
          <w:rFonts w:ascii="Times New Roman" w:cs="Times New Roman" w:eastAsia="Times New Roman" w:hAnsi="Times New Roman"/>
          <w:sz w:val="15"/>
          <w:szCs w:val="15"/>
          <w:color w:val="auto"/>
        </w:rPr>
      </w:pPr>
    </w:p>
    <w:p>
      <w:pPr>
        <w:ind w:left="640" w:hanging="436"/>
        <w:spacing w:after="0"/>
        <w:tabs>
          <w:tab w:leader="none" w:pos="6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total share repurchase authorization in effect on May 5, 2019.</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240" w:top="45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2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7"/>
        </w:trPr>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3"/>
                <w:szCs w:val="23"/>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Form of Nonqualified Stock Option Award Agreement, by and between Dave &amp; Buster’s Entertainment, Inc. and various employees of</w:t>
              </w:r>
            </w:hyperlink>
          </w:p>
        </w:tc>
      </w:tr>
      <w:tr>
        <w:trPr>
          <w:trHeight w:val="19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the Company.</w:t>
              </w:r>
            </w:hyperlink>
          </w:p>
        </w:tc>
        <w:tc>
          <w:tcPr>
            <w:tcW w:w="2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Form of Restricted Stock Unit Award Agreement, by and between Dave &amp; Buster’s Entertainment, Inc. and various Directors of the</w:t>
              </w:r>
            </w:hyperlink>
          </w:p>
        </w:tc>
      </w:tr>
      <w:tr>
        <w:trPr>
          <w:trHeight w:val="19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Company.</w:t>
              </w:r>
            </w:hyperlink>
          </w:p>
        </w:tc>
        <w:tc>
          <w:tcPr>
            <w:tcW w:w="6220" w:type="dxa"/>
            <w:vAlign w:val="bottom"/>
            <w:tcBorders>
              <w:top w:val="single" w:sz="8" w:color="0000EE"/>
            </w:tcBorders>
            <w:gridSpan w:val="4"/>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Form of Restricted Stock Unit and Cash Award Agreement, by and between Dave &amp; Buster’s Entertainment, Inc. and various employees</w:t>
              </w:r>
            </w:hyperlink>
          </w:p>
        </w:tc>
      </w:tr>
      <w:tr>
        <w:trPr>
          <w:trHeight w:val="19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of the Company.</w:t>
              </w:r>
            </w:hyperlink>
          </w:p>
        </w:tc>
        <w:tc>
          <w:tcPr>
            <w:tcW w:w="5760" w:type="dxa"/>
            <w:vAlign w:val="bottom"/>
            <w:tcBorders>
              <w:top w:val="single" w:sz="8" w:color="0000EE"/>
            </w:tcBorders>
            <w:gridSpan w:val="2"/>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Form of Restricted Stock Unit Agreement, by and between Dave &amp; Buster’s Entertainment, Inc. and various employees of the Company.</w:t>
              </w:r>
            </w:hyperlink>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of Brian A. Jenkins, Chief Executive Officer of the Registrant, pursuant to 17 CFR</w:t>
              </w:r>
            </w:hyperlink>
          </w:p>
        </w:tc>
        <w:tc>
          <w:tcPr>
            <w:tcW w:w="2980" w:type="dxa"/>
            <w:vAlign w:val="bottom"/>
            <w:tcBorders>
              <w:bottom w:val="single" w:sz="8" w:color="0000EE"/>
            </w:tcBorders>
            <w:gridSpan w:val="6"/>
          </w:tcPr>
          <w:p>
            <w:pPr>
              <w:ind w:left="60"/>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240.13a-14(a) or 17 CFR 240.15d-14(a).</w:t>
              </w:r>
            </w:hyperlink>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Certification of Scott J. Bowman, Chief Financial Officer of the Registrant, pursuant to 17 CFR</w:t>
              </w:r>
            </w:hyperlink>
          </w:p>
        </w:tc>
        <w:tc>
          <w:tcPr>
            <w:tcW w:w="2960" w:type="dxa"/>
            <w:vAlign w:val="bottom"/>
            <w:tcBorders>
              <w:bottom w:val="single" w:sz="8" w:color="0000EE"/>
            </w:tcBorders>
            <w:gridSpan w:val="5"/>
          </w:tcPr>
          <w:p>
            <w:pPr>
              <w:ind w:left="20"/>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240.13a-14(a) or 17 CFR 240.15d-14(a).</w:t>
              </w:r>
            </w:hyperlink>
          </w:p>
        </w:tc>
        <w:tc>
          <w:tcPr>
            <w:tcW w:w="2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of Brian A. Jenkins, Chief Executive Officer of the Registrant, pursuant to 18 U.S.C. Section 1350, as adopted pursuant to</w:t>
              </w:r>
            </w:hyperlink>
          </w:p>
        </w:tc>
      </w:tr>
      <w:tr>
        <w:trPr>
          <w:trHeight w:val="19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Section 906 of the Sarbanes-Oxley Act of 2002.</w:t>
              </w:r>
            </w:hyperlink>
          </w:p>
        </w:tc>
        <w:tc>
          <w:tcPr>
            <w:tcW w:w="2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9940" w:type="dxa"/>
            <w:vAlign w:val="bottom"/>
            <w:gridSpan w:val="11"/>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Certification of Scott J. Bowman, Chief Financial Officer of the Registrant, pursuant to 18 U.S.C. Section 1350, as adopted pursuant to</w:t>
              </w:r>
            </w:hyperlink>
          </w:p>
        </w:tc>
      </w:tr>
      <w:tr>
        <w:trPr>
          <w:trHeight w:val="19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Section 906 of the Sarbanes-Oxley Act of 2002.</w:t>
              </w:r>
            </w:hyperlink>
          </w:p>
        </w:tc>
        <w:tc>
          <w:tcPr>
            <w:tcW w:w="2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right="7900" w:firstLine="4"/>
        <w:spacing w:after="0" w:line="446" w:lineRule="auto"/>
        <w:tabs>
          <w:tab w:leader="none" w:pos="1240" w:val="left"/>
        </w:tabs>
        <w:numPr>
          <w:ilvl w:val="0"/>
          <w:numId w:val="7"/>
        </w:numPr>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XBRL Interactive Data files</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-253365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200"/>
        <w:spacing w:after="0"/>
        <w:tabs>
          <w:tab w:leader="none" w:pos="5860" w:val="left"/>
        </w:tabs>
        <w:rPr>
          <w:sz w:val="20"/>
          <w:szCs w:val="20"/>
          <w:color w:val="auto"/>
        </w:rPr>
      </w:pPr>
      <w:r>
        <w:rPr>
          <w:rFonts w:ascii="Times New Roman" w:cs="Times New Roman" w:eastAsia="Times New Roman" w:hAnsi="Times New Roman"/>
          <w:sz w:val="18"/>
          <w:szCs w:val="18"/>
          <w:color w:val="auto"/>
        </w:rPr>
        <w:t>Date: June 11, 2019</w:t>
      </w:r>
      <w:r>
        <w:rPr>
          <w:sz w:val="20"/>
          <w:szCs w:val="20"/>
          <w:color w:val="auto"/>
        </w:rPr>
        <w:tab/>
      </w:r>
      <w:r>
        <w:rPr>
          <w:rFonts w:ascii="Times New Roman" w:cs="Times New Roman" w:eastAsia="Times New Roman" w:hAnsi="Times New Roman"/>
          <w:sz w:val="18"/>
          <w:szCs w:val="18"/>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17145</wp:posOffset>
            </wp:positionV>
            <wp:extent cx="31470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0"/>
        <w:spacing w:after="0"/>
        <w:tabs>
          <w:tab w:leader="none" w:pos="5860" w:val="left"/>
        </w:tabs>
        <w:rPr>
          <w:sz w:val="20"/>
          <w:szCs w:val="20"/>
          <w:color w:val="auto"/>
        </w:rPr>
      </w:pPr>
      <w:r>
        <w:rPr>
          <w:rFonts w:ascii="Times New Roman" w:cs="Times New Roman" w:eastAsia="Times New Roman" w:hAnsi="Times New Roman"/>
          <w:sz w:val="18"/>
          <w:szCs w:val="18"/>
          <w:color w:val="auto"/>
        </w:rPr>
        <w:t>Date: June 11, 2019</w:t>
      </w:r>
      <w:r>
        <w:rPr>
          <w:sz w:val="20"/>
          <w:szCs w:val="20"/>
          <w:color w:val="auto"/>
        </w:rPr>
        <w:tab/>
      </w:r>
      <w:r>
        <w:rPr>
          <w:rFonts w:ascii="Times New Roman" w:cs="Times New Roman" w:eastAsia="Times New Roman" w:hAnsi="Times New Roman"/>
          <w:sz w:val="18"/>
          <w:szCs w:val="18"/>
          <w:color w:val="auto"/>
        </w:rPr>
        <w:t>By:  /s/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17145</wp:posOffset>
            </wp:positionV>
            <wp:extent cx="3147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240" w:top="455" w:right="519" w:bottom="1440" w:gutter="0" w:footer="0" w:header="0"/>
        </w:sectPr>
      </w:pPr>
    </w:p>
    <w:bookmarkStart w:id="27" w:name="page28"/>
    <w:bookmarkEnd w:id="27"/>
    <w:p>
      <w:pPr>
        <w:ind w:left="101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FORM)</w:t>
      </w:r>
    </w:p>
    <w:p>
      <w:pPr>
        <w:spacing w:after="0" w:line="225" w:lineRule="exact"/>
        <w:rPr>
          <w:sz w:val="20"/>
          <w:szCs w:val="20"/>
          <w:color w:val="auto"/>
        </w:rPr>
      </w:pPr>
    </w:p>
    <w:p>
      <w:pPr>
        <w:ind w:right="620" w:firstLine="441"/>
        <w:spacing w:after="0" w:line="286" w:lineRule="auto"/>
        <w:rPr>
          <w:sz w:val="20"/>
          <w:szCs w:val="20"/>
          <w:color w:val="auto"/>
        </w:rPr>
      </w:pPr>
      <w:r>
        <w:rPr>
          <w:rFonts w:ascii="Times New Roman" w:cs="Times New Roman" w:eastAsia="Times New Roman" w:hAnsi="Times New Roman"/>
          <w:sz w:val="18"/>
          <w:szCs w:val="18"/>
          <w:color w:val="auto"/>
        </w:rPr>
        <w:t>THIS NONQUALIFIED STOCK OPTION AWARD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 (the “</w:t>
      </w:r>
      <w:r>
        <w:rPr>
          <w:rFonts w:ascii="Times New Roman" w:cs="Times New Roman" w:eastAsia="Times New Roman" w:hAnsi="Times New Roman"/>
          <w:sz w:val="18"/>
          <w:szCs w:val="18"/>
          <w:b w:val="1"/>
          <w:b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1" w:lineRule="exact"/>
        <w:rPr>
          <w:sz w:val="20"/>
          <w:szCs w:val="20"/>
          <w:color w:val="auto"/>
        </w:rPr>
      </w:pPr>
    </w:p>
    <w:p>
      <w:pPr>
        <w:ind w:right="160" w:firstLine="444"/>
        <w:spacing w:after="0" w:line="268" w:lineRule="auto"/>
        <w:tabs>
          <w:tab w:leader="none" w:pos="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Option</w:t>
      </w:r>
      <w:r>
        <w:rPr>
          <w:rFonts w:ascii="Times New Roman" w:cs="Times New Roman" w:eastAsia="Times New Roman" w:hAnsi="Times New Roman"/>
          <w:sz w:val="18"/>
          <w:szCs w:val="18"/>
          <w:color w:val="auto"/>
        </w:rPr>
        <w:t>. The Company hereby grants to the Participant the right and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on the terms and conditions hereinafter set forth, all or any part of an aggregate of [●] Shares as of the Date of Grant. The Option is intended to be a Nonqualified Stock Option.</w:t>
      </w:r>
    </w:p>
    <w:p>
      <w:pPr>
        <w:spacing w:after="0" w:line="170"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purchase price of the Shares subject to the Option is [●] per Share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80" w:firstLine="444"/>
        <w:spacing w:after="0" w:line="286" w:lineRule="auto"/>
        <w:tabs>
          <w:tab w:leader="none" w:pos="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the Option shall be ten (10) years, commencing on the Date of Grant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Option shall automatically terminate upon the expiration of the Option Term, or at such earlier time specified herein or in the Plan.</w:t>
      </w:r>
    </w:p>
    <w:p>
      <w:pPr>
        <w:spacing w:after="0" w:line="158" w:lineRule="exact"/>
        <w:rPr>
          <w:rFonts w:ascii="Times New Roman" w:cs="Times New Roman" w:eastAsia="Times New Roman" w:hAnsi="Times New Roman"/>
          <w:sz w:val="18"/>
          <w:szCs w:val="18"/>
          <w:color w:val="auto"/>
        </w:rPr>
      </w:pPr>
    </w:p>
    <w:p>
      <w:pPr>
        <w:jc w:val="both"/>
        <w:ind w:right="100" w:firstLine="444"/>
        <w:spacing w:after="0" w:line="266" w:lineRule="auto"/>
        <w:tabs>
          <w:tab w:leader="none" w:pos="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the Option</w:t>
      </w:r>
      <w:r>
        <w:rPr>
          <w:rFonts w:ascii="Times New Roman" w:cs="Times New Roman" w:eastAsia="Times New Roman" w:hAnsi="Times New Roman"/>
          <w:sz w:val="18"/>
          <w:szCs w:val="18"/>
          <w:color w:val="auto"/>
        </w:rPr>
        <w:t>. Subject to the Participant’s continued Service with the Company through the applicable vesting date, Section 5 of this Award Agreement and the terms of the Plan, the Option shall vest in equal installments on each of the first three (3) anniversaries of the Date of Grant, such that one-third (1/3) of the Option vests on each such anniversary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885"/>
        <w:spacing w:after="0" w:line="282" w:lineRule="auto"/>
        <w:tabs>
          <w:tab w:leader="none" w:pos="12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Cause</w:t>
      </w:r>
      <w:r>
        <w:rPr>
          <w:rFonts w:ascii="Times New Roman" w:cs="Times New Roman" w:eastAsia="Times New Roman" w:hAnsi="Times New Roman"/>
          <w:sz w:val="18"/>
          <w:szCs w:val="18"/>
          <w:color w:val="auto"/>
        </w:rPr>
        <w:t>. Upon a termination of the Participant’s Service by the Company for Cause the Option, including any vested portion, shall immediately terminate and be forfeited without consideration. For purposes of this Award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10</w:t>
      </w:r>
    </w:p>
    <w:p>
      <w:pPr>
        <w:sectPr>
          <w:pgSz w:w="11900" w:h="16838" w:orient="portrait"/>
          <w:cols w:equalWidth="0" w:num="1">
            <w:col w:w="11020"/>
          </w:cols>
          <w:pgMar w:left="440" w:top="117"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(i) “Cause” as defined in any employment agreement between the Participant and the Company or any of its Affiliates, or</w:t>
      </w:r>
    </w:p>
    <w:p>
      <w:pPr>
        <w:spacing w:after="0" w:line="31" w:lineRule="exact"/>
        <w:rPr>
          <w:sz w:val="20"/>
          <w:szCs w:val="20"/>
          <w:color w:val="auto"/>
        </w:rPr>
      </w:pPr>
    </w:p>
    <w:p>
      <w:pPr>
        <w:ind w:right="80" w:firstLine="4"/>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misdemeanor involving fraud, theft or moral turpitude, or any other reckless or willful misconduct that is contrary to the best interests of the Company or materially and adversely affects the reputation of the Company.</w:t>
      </w:r>
    </w:p>
    <w:p>
      <w:pPr>
        <w:spacing w:after="0" w:line="187" w:lineRule="exact"/>
        <w:rPr>
          <w:rFonts w:ascii="Times New Roman" w:cs="Times New Roman" w:eastAsia="Times New Roman" w:hAnsi="Times New Roman"/>
          <w:sz w:val="18"/>
          <w:szCs w:val="18"/>
          <w:color w:val="auto"/>
        </w:rPr>
      </w:pPr>
    </w:p>
    <w:p>
      <w:pPr>
        <w:ind w:right="40" w:firstLine="885"/>
        <w:spacing w:after="0" w:line="253" w:lineRule="auto"/>
        <w:tabs>
          <w:tab w:leader="none" w:pos="12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any unvested portion of the Option shall immediately become vested, and any vested portion shall remain exercisable until the earlier of (i) one (1) year following such termination of Service and (ii) the expiration of the Option Term. 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“Disability” as defined in any employment agreement between the Participant and the Company or any of its Affiliates, or (B)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w:t>
      </w:r>
    </w:p>
    <w:p>
      <w:pPr>
        <w:spacing w:after="0" w:line="3" w:lineRule="exact"/>
        <w:rPr>
          <w:rFonts w:ascii="Times New Roman" w:cs="Times New Roman" w:eastAsia="Times New Roman" w:hAnsi="Times New Roman"/>
          <w:sz w:val="18"/>
          <w:szCs w:val="18"/>
          <w:color w:val="auto"/>
        </w:rPr>
      </w:pPr>
    </w:p>
    <w:p>
      <w:pPr>
        <w:ind w:righ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under an accident and health plan covering employees of Dave &amp; Buster’s Management Corporation, Inc. The determination of the Participant’s disability shall be made in good faith by a physician reasonably acceptable to the Company.</w:t>
      </w:r>
    </w:p>
    <w:p>
      <w:pPr>
        <w:spacing w:after="0" w:line="179" w:lineRule="exact"/>
        <w:rPr>
          <w:rFonts w:ascii="Times New Roman" w:cs="Times New Roman" w:eastAsia="Times New Roman" w:hAnsi="Times New Roman"/>
          <w:sz w:val="18"/>
          <w:szCs w:val="18"/>
          <w:color w:val="auto"/>
        </w:rPr>
      </w:pPr>
    </w:p>
    <w:p>
      <w:pPr>
        <w:ind w:right="160" w:firstLine="885"/>
        <w:spacing w:after="0" w:line="256" w:lineRule="auto"/>
        <w:tabs>
          <w:tab w:leader="none" w:pos="12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subject to the terms of the Plan, any unvested portion of the Option shall continue to vest on each remaining Vesting Date, and any vested portion shall remain exercisable until the expiration of the Option Term. 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87" w:lineRule="exact"/>
        <w:rPr>
          <w:rFonts w:ascii="Times New Roman" w:cs="Times New Roman" w:eastAsia="Times New Roman" w:hAnsi="Times New Roman"/>
          <w:sz w:val="18"/>
          <w:szCs w:val="18"/>
          <w:color w:val="auto"/>
        </w:rPr>
      </w:pPr>
    </w:p>
    <w:p>
      <w:pPr>
        <w:ind w:firstLine="885"/>
        <w:spacing w:after="0" w:line="256" w:lineRule="auto"/>
        <w:tabs>
          <w:tab w:leader="none" w:pos="12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Change-of-Control Termination</w:t>
      </w:r>
      <w:r>
        <w:rPr>
          <w:rFonts w:ascii="Times New Roman" w:cs="Times New Roman" w:eastAsia="Times New Roman" w:hAnsi="Times New Roman"/>
          <w:sz w:val="18"/>
          <w:szCs w:val="18"/>
          <w:color w:val="auto"/>
        </w:rPr>
        <w:t xml:space="preserve">. Upon a termination of the Participant’s Service by the Company or one of its successors or Affiliates without Cause or due to the Participant’s resignation for Good Reason (excluding a termination by reason of death or Disability), in either case on or within twelve (12) months following the occurrence of a Change of Control of the Company, any unvested portion of the Option shall remain eligible for continued vesting in accordance with the terms of this Award, and any vested portion shall remain exercisable until the expiration of the Option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in the event that all Options issued and outstanding under the Plan are terminated in connection with such Change of Control. 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020"/>
          </w:cols>
          <w:pgMar w:left="440" w:top="266" w:right="439" w:bottom="1440" w:gutter="0" w:footer="0" w:header="0"/>
        </w:sectPr>
      </w:pPr>
    </w:p>
    <w:bookmarkStart w:id="29" w:name="page30"/>
    <w:bookmarkEnd w:id="29"/>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88" w:lineRule="exact"/>
        <w:rPr>
          <w:sz w:val="20"/>
          <w:szCs w:val="20"/>
          <w:color w:val="auto"/>
        </w:rPr>
      </w:pPr>
    </w:p>
    <w:p>
      <w:pPr>
        <w:ind w:right="20" w:firstLine="885"/>
        <w:spacing w:after="0" w:line="253" w:lineRule="auto"/>
        <w:tabs>
          <w:tab w:leader="none" w:pos="12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w:t>
      </w:r>
      <w:r>
        <w:rPr>
          <w:rFonts w:ascii="Times New Roman" w:cs="Times New Roman" w:eastAsia="Times New Roman" w:hAnsi="Times New Roman"/>
          <w:sz w:val="18"/>
          <w:szCs w:val="18"/>
          <w:color w:val="auto"/>
        </w:rPr>
        <w:t>. Upon a termination of the Participant’s Service by the Company without Cause or due to the Participant’s resignation for Good Reason (excluding a termination by reason of death or Disability) other than as provided in Section 5(d): (i) any portion of the Option that is vested as of the date of such termination of employment shall remain exercisable until the earlier of (A) ninety (90) days following such termination of Service and (B) the expiration of the Option Term; provided, that if a Change of Control should occur on or before the earlier of (A) and (B), then any portion of the Option that is vested as of the date of such termination of employment shall remain exercisable until the expiration of the Option Term; and (ii) any portion of the Option that is unvested as of such termination of employment shall remain outstanding but unexercisable until the earliest of (A) the date that is ninety (90) days following such termination of Service, at which time the unvested portion shall terminate and be forfeited, (B) the expiration of the Option Term, at which time the unvested portion shall terminate and be forfeited, and (C) the consummation of a Change of Control of the Company, at which time the unvested portion shall remain eligible for continued vesting in accordance with the terms of this Award notwithstanding such termination of employment (and to the extent the unvested portion would have vested pursuant to Section 4 hereof prior to the Change of Control if the Participant’s Service had not terminated, the unvested portion shall be deemed to have vested in accordance with and to the extent applicable to that vesting schedule).</w:t>
      </w:r>
    </w:p>
    <w:p>
      <w:pPr>
        <w:spacing w:after="0" w:line="190" w:lineRule="exact"/>
        <w:rPr>
          <w:rFonts w:ascii="Times New Roman" w:cs="Times New Roman" w:eastAsia="Times New Roman" w:hAnsi="Times New Roman"/>
          <w:sz w:val="18"/>
          <w:szCs w:val="18"/>
          <w:color w:val="auto"/>
        </w:rPr>
      </w:pPr>
    </w:p>
    <w:p>
      <w:pPr>
        <w:ind w:right="100" w:firstLine="885"/>
        <w:spacing w:after="0" w:line="261" w:lineRule="auto"/>
        <w:tabs>
          <w:tab w:leader="none" w:pos="12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pursuant to </w:t>
      </w:r>
      <w:r>
        <w:rPr>
          <w:rFonts w:ascii="Times New Roman" w:cs="Times New Roman" w:eastAsia="Times New Roman" w:hAnsi="Times New Roman"/>
          <w:sz w:val="18"/>
          <w:szCs w:val="18"/>
          <w:u w:val="single" w:color="auto"/>
          <w:color w:val="auto"/>
        </w:rPr>
        <w:t>Sections 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5(e)</w:t>
      </w:r>
      <w:r>
        <w:rPr>
          <w:rFonts w:ascii="Times New Roman" w:cs="Times New Roman" w:eastAsia="Times New Roman" w:hAnsi="Times New Roman"/>
          <w:sz w:val="18"/>
          <w:szCs w:val="18"/>
          <w:color w:val="auto"/>
        </w:rPr>
        <w:t xml:space="preserve"> above, any unvested portion of the Option shall immediately terminate and be forfeited without consideration, and any vested portion of the Option shall remain exercisable until the earlier of (i) ninety (90) days following such termination of Service and (ii) the expiration of the Option Term.</w:t>
      </w:r>
    </w:p>
    <w:p>
      <w:pPr>
        <w:spacing w:after="0" w:line="180"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885"/>
        <w:spacing w:after="0" w:line="255" w:lineRule="auto"/>
        <w:tabs>
          <w:tab w:leader="none" w:pos="12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To the extent exercisable, the Participant or the Participant’s representative may exercise any vested portion of the Option or any part thereof prior to the expiration of the Option Term or as otherwise set forth in Section 5 hereof by giving written notice to the Company in the form attached hereto as Exhibit A or any other form acceptable to the Committee or the Committee’s designated administrative representative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Notice of Exercise shall be signed by the person exercising such Option or shall evidence the intent of the person exercising such Option if delivered in electronic format or with an electronic signature. In the event that such Option is being exercised by the Participant’s representative, the Notice of Exercise shall be accompanied by proof (satisfactory to the Company) of such representative’s right to exercise such Option.</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1020"/>
          </w:cols>
          <w:pgMar w:left="440" w:top="270" w:right="439" w:bottom="1440" w:gutter="0" w:footer="0" w:header="0"/>
        </w:sectPr>
      </w:pPr>
    </w:p>
    <w:bookmarkStart w:id="30" w:name="page31"/>
    <w:bookmarkEnd w:id="30"/>
    <w:p>
      <w:pPr>
        <w:ind w:right="20" w:firstLine="885"/>
        <w:spacing w:after="0" w:line="255" w:lineRule="auto"/>
        <w:tabs>
          <w:tab w:leader="none" w:pos="12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 xml:space="preserve">. The Participant or the Participant’s representative shall deliver to the Company, at the time the Notice of Exercise is given, payment (i) in cash or its equivalent (e.g., by cashier’s check), (ii) in Shares (whether or not previously owned by the Participant) having a Fair Market Value equal to the aggregate Option Price for the Shares being purchased and satisfying such other requirements as may be imposed by the Committee, (iii) partly in cash and partly in Shares (as described in clause (ii) 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Plan for the full amount of the aggregate Option Price for the exercised Option.</w:t>
      </w:r>
    </w:p>
    <w:p>
      <w:pPr>
        <w:spacing w:after="0" w:line="185" w:lineRule="exact"/>
        <w:rPr>
          <w:rFonts w:ascii="Times New Roman" w:cs="Times New Roman" w:eastAsia="Times New Roman" w:hAnsi="Times New Roman"/>
          <w:sz w:val="18"/>
          <w:szCs w:val="18"/>
          <w:color w:val="auto"/>
        </w:rPr>
      </w:pPr>
    </w:p>
    <w:p>
      <w:pPr>
        <w:jc w:val="both"/>
        <w:ind w:right="260" w:firstLine="885"/>
        <w:spacing w:after="0" w:line="266" w:lineRule="auto"/>
        <w:tabs>
          <w:tab w:leader="none" w:pos="12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Provided the Company receives a properly completed and executed Notice of Exercise and payment for the full amount of the aggregate Option Price and the Participant has made arrangements for appropriate withholding, the Company shall promptly cause the Shares underlying the exercised Option to be issued in the name of the Person exercising the applicable Option.</w:t>
      </w:r>
    </w:p>
    <w:p>
      <w:pPr>
        <w:spacing w:after="0" w:line="176" w:lineRule="exact"/>
        <w:rPr>
          <w:rFonts w:ascii="Times New Roman" w:cs="Times New Roman" w:eastAsia="Times New Roman" w:hAnsi="Times New Roman"/>
          <w:sz w:val="18"/>
          <w:szCs w:val="18"/>
          <w:color w:val="auto"/>
        </w:rPr>
      </w:pPr>
    </w:p>
    <w:p>
      <w:pPr>
        <w:ind w:right="220" w:firstLine="444"/>
        <w:spacing w:after="0" w:line="266"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herein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10</w:t>
      </w:r>
    </w:p>
    <w:p>
      <w:pPr>
        <w:sectPr>
          <w:pgSz w:w="11900" w:h="16838" w:orient="portrait"/>
          <w:cols w:equalWidth="0" w:num="1">
            <w:col w:w="11020"/>
          </w:cols>
          <w:pgMar w:left="440" w:top="270" w:right="439" w:bottom="1440" w:gutter="0" w:footer="0" w:header="0"/>
        </w:sectPr>
      </w:pPr>
    </w:p>
    <w:bookmarkStart w:id="31" w:name="page32"/>
    <w:bookmarkEnd w:id="31"/>
    <w:p>
      <w:pPr>
        <w:ind w:right="4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7 shall survive exercise, termination or settlement of the Option and termination or satisfaction of the Award Agreement.</w:t>
      </w:r>
    </w:p>
    <w:p>
      <w:pPr>
        <w:spacing w:after="0" w:line="225" w:lineRule="exact"/>
        <w:rPr>
          <w:sz w:val="20"/>
          <w:szCs w:val="20"/>
          <w:color w:val="auto"/>
        </w:rPr>
      </w:pPr>
    </w:p>
    <w:p>
      <w:pPr>
        <w:ind w:right="180" w:firstLine="444"/>
        <w:spacing w:after="0" w:line="266" w:lineRule="auto"/>
        <w:tabs>
          <w:tab w:leader="none" w:pos="7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Option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6" w:lineRule="exact"/>
        <w:rPr>
          <w:rFonts w:ascii="Times New Roman" w:cs="Times New Roman" w:eastAsia="Times New Roman" w:hAnsi="Times New Roman"/>
          <w:sz w:val="18"/>
          <w:szCs w:val="18"/>
          <w:color w:val="auto"/>
        </w:rPr>
      </w:pPr>
    </w:p>
    <w:p>
      <w:pPr>
        <w:ind w:right="60" w:firstLine="444"/>
        <w:spacing w:after="0" w:line="255" w:lineRule="auto"/>
        <w:tabs>
          <w:tab w:leader="none" w:pos="7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85" w:lineRule="exact"/>
        <w:rPr>
          <w:rFonts w:ascii="Times New Roman" w:cs="Times New Roman" w:eastAsia="Times New Roman" w:hAnsi="Times New Roman"/>
          <w:sz w:val="18"/>
          <w:szCs w:val="18"/>
          <w:color w:val="auto"/>
        </w:rPr>
      </w:pPr>
    </w:p>
    <w:p>
      <w:pPr>
        <w:ind w:right="40" w:firstLine="444"/>
        <w:spacing w:after="0" w:line="255" w:lineRule="auto"/>
        <w:tabs>
          <w:tab w:leader="none" w:pos="8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 (or, if the Participant is disabled, the Participant’s representative).</w:t>
      </w:r>
    </w:p>
    <w:p>
      <w:pPr>
        <w:spacing w:after="0" w:line="185" w:lineRule="exact"/>
        <w:rPr>
          <w:rFonts w:ascii="Times New Roman" w:cs="Times New Roman" w:eastAsia="Times New Roman" w:hAnsi="Times New Roman"/>
          <w:sz w:val="18"/>
          <w:szCs w:val="18"/>
          <w:color w:val="auto"/>
        </w:rPr>
      </w:pPr>
    </w:p>
    <w:p>
      <w:pPr>
        <w:ind w:right="240" w:firstLine="444"/>
        <w:spacing w:after="0" w:line="266" w:lineRule="auto"/>
        <w:tabs>
          <w:tab w:leader="none" w:pos="8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10</w:t>
      </w:r>
    </w:p>
    <w:p>
      <w:pPr>
        <w:sectPr>
          <w:pgSz w:w="11900" w:h="16838" w:orient="portrait"/>
          <w:cols w:equalWidth="0" w:num="1">
            <w:col w:w="11020"/>
          </w:cols>
          <w:pgMar w:left="440" w:top="270" w:right="439" w:bottom="1440" w:gutter="0" w:footer="0" w:header="0"/>
        </w:sectPr>
      </w:pPr>
    </w:p>
    <w:bookmarkStart w:id="32" w:name="page33"/>
    <w:bookmarkEnd w:id="32"/>
    <w:p>
      <w:pPr>
        <w:ind w:right="60" w:firstLine="444"/>
        <w:spacing w:after="0" w:line="2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rFonts w:ascii="Times New Roman" w:cs="Times New Roman" w:eastAsia="Times New Roman" w:hAnsi="Times New Roman"/>
          <w:sz w:val="18"/>
          <w:szCs w:val="18"/>
          <w:color w:val="auto"/>
        </w:rPr>
      </w:pPr>
    </w:p>
    <w:p>
      <w:pPr>
        <w:jc w:val="both"/>
        <w:ind w:right="240" w:firstLine="444"/>
        <w:spacing w:after="0" w:line="266"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6" w:lineRule="exact"/>
        <w:rPr>
          <w:rFonts w:ascii="Times New Roman" w:cs="Times New Roman" w:eastAsia="Times New Roman" w:hAnsi="Times New Roman"/>
          <w:sz w:val="18"/>
          <w:szCs w:val="18"/>
          <w:color w:val="auto"/>
        </w:rPr>
      </w:pPr>
    </w:p>
    <w:p>
      <w:pPr>
        <w:ind w:right="20" w:firstLine="444"/>
        <w:spacing w:after="0" w:line="282"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right="140" w:firstLine="444"/>
        <w:spacing w:after="0" w:line="2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0"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85"/>
        <w:spacing w:after="0" w:line="254" w:lineRule="auto"/>
        <w:tabs>
          <w:tab w:leader="none" w:pos="12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86" w:lineRule="exact"/>
        <w:rPr>
          <w:rFonts w:ascii="Times New Roman" w:cs="Times New Roman" w:eastAsia="Times New Roman" w:hAnsi="Times New Roman"/>
          <w:sz w:val="18"/>
          <w:szCs w:val="18"/>
          <w:color w:val="auto"/>
        </w:rPr>
      </w:pPr>
    </w:p>
    <w:p>
      <w:pPr>
        <w:ind w:right="40" w:firstLine="885"/>
        <w:spacing w:after="0" w:line="266" w:lineRule="auto"/>
        <w:tabs>
          <w:tab w:leader="none" w:pos="12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10</w:t>
      </w:r>
    </w:p>
    <w:p>
      <w:pPr>
        <w:sectPr>
          <w:pgSz w:w="11900" w:h="16838" w:orient="portrait"/>
          <w:cols w:equalWidth="0" w:num="1">
            <w:col w:w="11020"/>
          </w:cols>
          <w:pgMar w:left="440" w:top="270" w:right="439" w:bottom="1440" w:gutter="0" w:footer="0" w:header="0"/>
        </w:sectPr>
      </w:pPr>
    </w:p>
    <w:bookmarkStart w:id="33" w:name="page34"/>
    <w:bookmarkEnd w:id="33"/>
    <w:p>
      <w:pPr>
        <w:ind w:right="160" w:firstLine="444"/>
        <w:spacing w:after="0" w:line="258"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180" w:firstLine="444"/>
        <w:spacing w:after="0" w:line="282"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Option. The Committee and the Company make no guarantees regarding the tax treatment of the Option.</w:t>
      </w:r>
    </w:p>
    <w:p>
      <w:pPr>
        <w:spacing w:after="0" w:line="161"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Option granted hereunder at any time, subject to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w:t>
      </w:r>
    </w:p>
    <w:p>
      <w:pPr>
        <w:spacing w:after="0" w:line="206" w:lineRule="exact"/>
        <w:rPr>
          <w:rFonts w:ascii="Times New Roman" w:cs="Times New Roman" w:eastAsia="Times New Roman" w:hAnsi="Times New Roman"/>
          <w:sz w:val="18"/>
          <w:szCs w:val="18"/>
          <w:color w:val="auto"/>
        </w:rPr>
      </w:pPr>
    </w:p>
    <w:p>
      <w:pPr>
        <w:ind w:right="180" w:firstLine="444"/>
        <w:spacing w:after="0" w:line="282"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20" w:firstLine="444"/>
        <w:spacing w:after="0" w:line="255"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9" w:lineRule="exact"/>
        <w:rPr>
          <w:rFonts w:ascii="Times New Roman" w:cs="Times New Roman" w:eastAsia="Times New Roman" w:hAnsi="Times New Roman"/>
          <w:sz w:val="18"/>
          <w:szCs w:val="18"/>
          <w:color w:val="auto"/>
        </w:rPr>
      </w:pPr>
    </w:p>
    <w:p>
      <w:pPr>
        <w:ind w:right="560" w:firstLine="444"/>
        <w:spacing w:after="0" w:line="282"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1020"/>
          </w:cols>
          <w:pgMar w:left="440" w:top="270" w:right="439" w:bottom="1440" w:gutter="0" w:footer="0" w:header="0"/>
        </w:sectPr>
      </w:pPr>
    </w:p>
    <w:bookmarkStart w:id="34" w:name="page35"/>
    <w:bookmarkEnd w:id="34"/>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the Participant have executed this Nonqualified Stock Option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10</w:t>
      </w:r>
    </w:p>
    <w:p>
      <w:pPr>
        <w:sectPr>
          <w:pgSz w:w="11900" w:h="16838" w:orient="portrait"/>
          <w:cols w:equalWidth="0" w:num="1">
            <w:col w:w="11020"/>
          </w:cols>
          <w:pgMar w:left="440" w:top="270" w:right="4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020"/>
          </w:cols>
          <w:pgMar w:left="440" w:top="266" w:right="4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Dave &amp; Buster’s Entertainment,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2481 Mañana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10464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Exercise:</w:t>
      </w:r>
    </w:p>
    <w:p>
      <w:pPr>
        <w:spacing w:after="0" w:line="229" w:lineRule="exact"/>
        <w:rPr>
          <w:sz w:val="20"/>
          <w:szCs w:val="20"/>
          <w:color w:val="auto"/>
        </w:rPr>
      </w:pPr>
    </w:p>
    <w:p>
      <w:pPr>
        <w:sectPr>
          <w:pgSz w:w="11900" w:h="16838" w:orient="portrait"/>
          <w:cols w:equalWidth="0" w:num="2">
            <w:col w:w="5140" w:space="720"/>
            <w:col w:w="5160"/>
          </w:cols>
          <w:pgMar w:left="440" w:top="266" w:right="4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5" w:lineRule="exact"/>
        <w:rPr>
          <w:sz w:val="20"/>
          <w:szCs w:val="20"/>
          <w:color w:val="auto"/>
        </w:rPr>
      </w:pPr>
    </w:p>
    <w:p>
      <w:pPr>
        <w:ind w:right="20" w:firstLine="444"/>
        <w:spacing w:after="0" w:line="259" w:lineRule="auto"/>
        <w:tabs>
          <w:tab w:leader="none" w:pos="7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This constitutes notice to Dave &amp; Buster’s Entertainment,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pursuant to my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Award 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under the Company’s 2014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 elect to purchase the number of Shares of Company common stock set forth below and for the price set forth below. By signing and delivering this notice to the Company, I hereby acknowledge that I am the holder of the stock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exercised by this notice and have full power and authority to exercise the same. Any capitalized terms used but not defined herein shall have the meanings ascribed to them in the Award Agreement or the Plan, as applicable.</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620" w:type="dxa"/>
            <w:vAlign w:val="bottom"/>
          </w:tcPr>
          <w:p>
            <w:pPr>
              <w:spacing w:after="0"/>
              <w:rPr>
                <w:sz w:val="20"/>
                <w:szCs w:val="20"/>
                <w:color w:val="auto"/>
              </w:rPr>
            </w:pPr>
          </w:p>
        </w:tc>
      </w:tr>
      <w:tr>
        <w:trPr>
          <w:trHeight w:val="41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as to which the Option is exercised</w:t>
            </w:r>
          </w:p>
        </w:tc>
        <w:tc>
          <w:tcPr>
            <w:tcW w:w="620" w:type="dxa"/>
            <w:vAlign w:val="bottom"/>
          </w:tcPr>
          <w:p>
            <w:pPr>
              <w:spacing w:after="0"/>
              <w:rPr>
                <w:sz w:val="24"/>
                <w:szCs w:val="24"/>
                <w:color w:val="auto"/>
              </w:rPr>
            </w:pPr>
          </w:p>
        </w:tc>
      </w:tr>
      <w:tr>
        <w:trPr>
          <w:trHeight w:val="194"/>
        </w:trPr>
        <w:tc>
          <w:tcPr>
            <w:tcW w:w="48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(“Optioned Shares”):</w:t>
            </w:r>
          </w:p>
        </w:tc>
        <w:tc>
          <w:tcPr>
            <w:tcW w:w="6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6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to be issued in name of:</w:t>
            </w:r>
          </w:p>
        </w:tc>
        <w:tc>
          <w:tcPr>
            <w:tcW w:w="620" w:type="dxa"/>
            <w:vAlign w:val="bottom"/>
          </w:tcPr>
          <w:p>
            <w:pPr>
              <w:spacing w:after="0"/>
              <w:rPr>
                <w:sz w:val="24"/>
                <w:szCs w:val="24"/>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payment or other method of payment permitted under</w:t>
            </w:r>
          </w:p>
        </w:tc>
        <w:tc>
          <w:tcPr>
            <w:tcW w:w="620" w:type="dxa"/>
            <w:vAlign w:val="bottom"/>
          </w:tcPr>
          <w:p>
            <w:pPr>
              <w:spacing w:after="0"/>
              <w:rPr>
                <w:sz w:val="24"/>
                <w:szCs w:val="24"/>
                <w:color w:val="auto"/>
              </w:rPr>
            </w:pPr>
          </w:p>
        </w:tc>
      </w:tr>
      <w:tr>
        <w:trPr>
          <w:trHeight w:val="24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6(b) of the Award Agreement delivered herewith:</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Method:</w:t>
            </w: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0</wp:posOffset>
            </wp:positionV>
            <wp:extent cx="3267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-273685</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-694055</wp:posOffset>
            </wp:positionV>
            <wp:extent cx="3267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-968375</wp:posOffset>
            </wp:positionV>
            <wp:extent cx="3267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-1242695</wp:posOffset>
            </wp:positionV>
            <wp:extent cx="3267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-1663065</wp:posOffset>
            </wp:positionV>
            <wp:extent cx="3267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89" w:lineRule="exact"/>
        <w:rPr>
          <w:sz w:val="20"/>
          <w:szCs w:val="20"/>
          <w:color w:val="auto"/>
        </w:rPr>
      </w:pPr>
    </w:p>
    <w:p>
      <w:pPr>
        <w:ind w:right="80" w:firstLine="444"/>
        <w:spacing w:after="0" w:line="267" w:lineRule="auto"/>
        <w:tabs>
          <w:tab w:leader="none" w:pos="7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Payment</w:t>
      </w:r>
      <w:r>
        <w:rPr>
          <w:rFonts w:ascii="Times New Roman" w:cs="Times New Roman" w:eastAsia="Times New Roman" w:hAnsi="Times New Roman"/>
          <w:sz w:val="18"/>
          <w:szCs w:val="18"/>
          <w:color w:val="auto"/>
        </w:rPr>
        <w:t>. The Option may be exercised by delivery to the Company of payment (i) in cash or its equivalent (e.g., by cashier’s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 (ii) in Shares (whether or not previously owned by the Person exercising the Option pursuant to this notice) having a Fair Market Value equal to the aggregate Option Price for the Shares being purchased and satisfying such other requirements as may be imposed by the Committee,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10</w:t>
      </w:r>
    </w:p>
    <w:p>
      <w:pPr>
        <w:sectPr>
          <w:pgSz w:w="11900" w:h="16838" w:orient="portrait"/>
          <w:cols w:equalWidth="0" w:num="1">
            <w:col w:w="11020"/>
          </w:cols>
          <w:pgMar w:left="440" w:top="266" w:right="439" w:bottom="1440" w:gutter="0" w:footer="0" w:header="0"/>
          <w:type w:val="continuous"/>
        </w:sectPr>
      </w:pPr>
    </w:p>
    <w:bookmarkStart w:id="36" w:name="page37"/>
    <w:bookmarkEnd w:id="36"/>
    <w:p>
      <w:pPr>
        <w:ind w:right="120" w:firstLine="4"/>
        <w:spacing w:after="0" w:line="258"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partly in cash and partly in Shares (as described in clause (ii) 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Section 6.5 of the Plan for the full amount of the aggregate Option Price for the exercised Option.</w:t>
      </w:r>
    </w:p>
    <w:p>
      <w:pPr>
        <w:spacing w:after="0" w:line="181" w:lineRule="exact"/>
        <w:rPr>
          <w:rFonts w:ascii="Times New Roman" w:cs="Times New Roman" w:eastAsia="Times New Roman" w:hAnsi="Times New Roman"/>
          <w:sz w:val="18"/>
          <w:szCs w:val="18"/>
          <w:color w:val="auto"/>
        </w:rPr>
      </w:pPr>
    </w:p>
    <w:p>
      <w:pPr>
        <w:ind w:right="640" w:firstLine="444"/>
        <w:spacing w:after="0" w:line="284" w:lineRule="auto"/>
        <w:tabs>
          <w:tab w:leader="none" w:pos="7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Payment</w:t>
      </w:r>
      <w:r>
        <w:rPr>
          <w:rFonts w:ascii="Times New Roman" w:cs="Times New Roman" w:eastAsia="Times New Roman" w:hAnsi="Times New Roman"/>
          <w:sz w:val="18"/>
          <w:szCs w:val="18"/>
          <w:color w:val="auto"/>
        </w:rPr>
        <w:t>. With this notice, I hereby deliver to the Company the full exercise price of the Optioned Shares and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 due in connection with the exercise of my Option or have otherwise satisfied such requirements.</w:t>
      </w:r>
    </w:p>
    <w:p>
      <w:pPr>
        <w:spacing w:after="0" w:line="158" w:lineRule="exact"/>
        <w:rPr>
          <w:rFonts w:ascii="Times New Roman" w:cs="Times New Roman" w:eastAsia="Times New Roman" w:hAnsi="Times New Roman"/>
          <w:sz w:val="18"/>
          <w:szCs w:val="18"/>
          <w:color w:val="auto"/>
        </w:rPr>
      </w:pPr>
    </w:p>
    <w:p>
      <w:pPr>
        <w:ind w:right="100" w:firstLine="444"/>
        <w:spacing w:after="0" w:line="259" w:lineRule="auto"/>
        <w:tabs>
          <w:tab w:leader="none" w:pos="7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While the Company will endeavor to process this notice in a timely manner, I acknowledge that until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spacing w:after="0" w:line="179" w:lineRule="exact"/>
        <w:rPr>
          <w:rFonts w:ascii="Times New Roman" w:cs="Times New Roman" w:eastAsia="Times New Roman" w:hAnsi="Times New Roman"/>
          <w:sz w:val="18"/>
          <w:szCs w:val="18"/>
          <w:color w:val="auto"/>
        </w:rPr>
      </w:pPr>
    </w:p>
    <w:p>
      <w:pPr>
        <w:ind w:right="820" w:firstLine="444"/>
        <w:spacing w:after="0" w:line="284" w:lineRule="auto"/>
        <w:tabs>
          <w:tab w:leader="none" w:pos="7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Any dispute regarding the interpretation of this notice shall be submitted promptly by me or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resolution of such a dispute by the Committee shall be final and binding on all parties.</w:t>
      </w:r>
    </w:p>
    <w:p>
      <w:pPr>
        <w:spacing w:after="0" w:line="158" w:lineRule="exact"/>
        <w:rPr>
          <w:rFonts w:ascii="Times New Roman" w:cs="Times New Roman" w:eastAsia="Times New Roman" w:hAnsi="Times New Roman"/>
          <w:sz w:val="18"/>
          <w:szCs w:val="18"/>
          <w:color w:val="auto"/>
        </w:rPr>
      </w:pPr>
    </w:p>
    <w:p>
      <w:pPr>
        <w:ind w:right="80" w:firstLine="444"/>
        <w:spacing w:after="0" w:line="267" w:lineRule="auto"/>
        <w:tabs>
          <w:tab w:leader="none" w:pos="7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Severability</w:t>
      </w:r>
      <w:r>
        <w:rPr>
          <w:rFonts w:ascii="Times New Roman" w:cs="Times New Roman" w:eastAsia="Times New Roman" w:hAnsi="Times New Roman"/>
          <w:sz w:val="18"/>
          <w:szCs w:val="18"/>
          <w:color w:val="auto"/>
        </w:rPr>
        <w:t>. This notice is governed by the internal substantive laws but not the choice of law rules, of Delaware.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that any provision hereof becomes or is declared by a court of competent jurisdiction to be illegal, unenforceable or void, this notice will continue in full force and effect without said provision.</w:t>
      </w:r>
    </w:p>
    <w:p>
      <w:pPr>
        <w:spacing w:after="0" w:line="173" w:lineRule="exact"/>
        <w:rPr>
          <w:rFonts w:ascii="Times New Roman" w:cs="Times New Roman" w:eastAsia="Times New Roman" w:hAnsi="Times New Roman"/>
          <w:sz w:val="18"/>
          <w:szCs w:val="18"/>
          <w:color w:val="auto"/>
        </w:rPr>
      </w:pPr>
    </w:p>
    <w:p>
      <w:pPr>
        <w:ind w:right="160" w:firstLine="444"/>
        <w:spacing w:after="0" w:line="284" w:lineRule="auto"/>
        <w:tabs>
          <w:tab w:leader="none" w:pos="7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The Plan and the Award Agreement under which the Optioned Shares were granted are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together with this notice constitute the entire agreement of the parties with respect to the subject matter hereof.</w:t>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334645</wp:posOffset>
            </wp:positionV>
            <wp:extent cx="2795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-127635</wp:posOffset>
            </wp:positionV>
            <wp:extent cx="27959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Employee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Nonqualified Stock Option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10</w:t>
      </w:r>
    </w:p>
    <w:p>
      <w:pPr>
        <w:sectPr>
          <w:pgSz w:w="11900" w:h="16838" w:orient="portrait"/>
          <w:cols w:equalWidth="0" w:num="1">
            <w:col w:w="11020"/>
          </w:cols>
          <w:pgMar w:left="440" w:top="270" w:right="439" w:bottom="1440" w:gutter="0" w:footer="0" w:header="0"/>
        </w:sectPr>
      </w:pPr>
    </w:p>
    <w:bookmarkStart w:id="37" w:name="page38"/>
    <w:bookmarkEnd w:id="37"/>
    <w:p>
      <w:pPr>
        <w:ind w:left="101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FORM)</w:t>
      </w:r>
    </w:p>
    <w:p>
      <w:pPr>
        <w:spacing w:after="0" w:line="225" w:lineRule="exact"/>
        <w:rPr>
          <w:sz w:val="20"/>
          <w:szCs w:val="20"/>
          <w:color w:val="auto"/>
        </w:rPr>
      </w:pPr>
    </w:p>
    <w:p>
      <w:pPr>
        <w:ind w:right="420" w:firstLine="441"/>
        <w:spacing w:after="0" w:line="286"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restricted stock units, settleable in shares of common stock of the Company, par value $.01 per share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1" w:lineRule="exact"/>
        <w:rPr>
          <w:sz w:val="20"/>
          <w:szCs w:val="20"/>
          <w:color w:val="auto"/>
        </w:rPr>
      </w:pPr>
    </w:p>
    <w:p>
      <w:pPr>
        <w:ind w:right="220" w:firstLine="444"/>
        <w:spacing w:after="0" w:line="286" w:lineRule="auto"/>
        <w:tabs>
          <w:tab w:leader="none" w:pos="7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Restricted Stock Units</w:t>
      </w:r>
      <w:r>
        <w:rPr>
          <w:rFonts w:ascii="Times New Roman" w:cs="Times New Roman" w:eastAsia="Times New Roman" w:hAnsi="Times New Roman"/>
          <w:sz w:val="18"/>
          <w:szCs w:val="18"/>
          <w:color w:val="auto"/>
        </w:rPr>
        <w:t>. The Company hereby grants to the Participant [●]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as of the Date of Grant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the Restricted Stock</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320" w:firstLine="885"/>
        <w:spacing w:after="0" w:line="268" w:lineRule="auto"/>
        <w:tabs>
          <w:tab w:leader="none" w:pos="12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RSUs shall fully vest on the first anniversary of the Date of Grant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subject to the Participant’s continued service as a director (“Service”) with the Company through the Vesting Date and the terms of the Plan. At any time, the RSUs which have become vested in accordance with the terms hereof shall be called the “</w:t>
      </w:r>
      <w:r>
        <w:rPr>
          <w:rFonts w:ascii="Times New Roman" w:cs="Times New Roman" w:eastAsia="Times New Roman" w:hAnsi="Times New Roman"/>
          <w:sz w:val="18"/>
          <w:szCs w:val="18"/>
          <w:b w:val="1"/>
          <w:bCs w:val="1"/>
          <w:color w:val="auto"/>
        </w:rPr>
        <w:t>Vested RSUs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885"/>
        <w:spacing w:after="0" w:line="254" w:lineRule="auto"/>
        <w:tabs>
          <w:tab w:leader="none" w:pos="12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Participant’s Service for any reason other than by the Board for Cause (as defined below) prior to the Vesting Date, a prorated portion of the RSUs shall immediately become vested based on a fraction, the numerator of which is the number of days from the Date of Grant through the date of such Termination, and the denominator of which is three hundred sixty-five (365);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such termination occurs on or within three (3) months following a Change of Control, the RSUs shall vest in full as of such termination. 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be deemed to exist only if: (i) the Participant has been indicted for or convicted of, has pleaded guilty or</w:t>
      </w:r>
    </w:p>
    <w:p>
      <w:pPr>
        <w:spacing w:after="0" w:line="3"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nolo contendere </w:t>
      </w:r>
      <w:r>
        <w:rPr>
          <w:rFonts w:ascii="Times New Roman" w:cs="Times New Roman" w:eastAsia="Times New Roman" w:hAnsi="Times New Roman"/>
          <w:sz w:val="18"/>
          <w:szCs w:val="18"/>
          <w:color w:val="auto"/>
        </w:rPr>
        <w:t>to or is granted immunity to testify where another member of the Board has been convicted of a felony, (ii) the Participant has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failed to perform his duties, has been grossly negligent in the performance of his duties or has engaged in willful or serious misconduct in a matter that is injurious to the Company, in each case as determined by a court of competent jurisdiction or by</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6</w:t>
      </w:r>
    </w:p>
    <w:p>
      <w:pPr>
        <w:sectPr>
          <w:pgSz w:w="11900" w:h="16838" w:orient="portrait"/>
          <w:cols w:equalWidth="0" w:num="1">
            <w:col w:w="11020"/>
          </w:cols>
          <w:pgMar w:left="440" w:top="117"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affirmative vote of at least a majority of the other members of the Board at any regular or special meeting of the Board called for such purpose,</w:t>
      </w:r>
    </w:p>
    <w:p>
      <w:pPr>
        <w:spacing w:after="0" w:line="27" w:lineRule="exact"/>
        <w:rPr>
          <w:sz w:val="20"/>
          <w:szCs w:val="20"/>
          <w:color w:val="auto"/>
        </w:rPr>
      </w:pPr>
    </w:p>
    <w:p>
      <w:pPr>
        <w:ind w:right="240" w:firstLine="4"/>
        <w:spacing w:after="0" w:line="253"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been adjudicated by a court of competent jurisdiction to be mentally incompetent, which mental incompetency directly affects his ability to perform as a Director, or (iv) the Participant has been found by a court of competent jurisdiction or by the affirmative vote of at least a majority of the other members of the Board at any regular or special meeting of the Board called for such purpose to have breached the Participant’s duty of loyalty to the Company or its stockholders or to have engaged in any transaction with the Company from which the Participant derived an improper personal benefit.</w:t>
      </w:r>
    </w:p>
    <w:p>
      <w:pPr>
        <w:spacing w:after="0" w:line="187" w:lineRule="exact"/>
        <w:rPr>
          <w:rFonts w:ascii="Times New Roman" w:cs="Times New Roman" w:eastAsia="Times New Roman" w:hAnsi="Times New Roman"/>
          <w:sz w:val="18"/>
          <w:szCs w:val="18"/>
          <w:color w:val="auto"/>
        </w:rPr>
      </w:pPr>
    </w:p>
    <w:p>
      <w:pPr>
        <w:ind w:right="280" w:firstLine="885"/>
        <w:spacing w:after="0" w:line="266" w:lineRule="auto"/>
        <w:tabs>
          <w:tab w:leader="none" w:pos="127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Participant’s Service for any reason, any unvested portion of the RSUs (as determined following the application of Section 3(a) hereof) shall be deemed retransferred to and reacquired by the Company, without consideration, effective as of the date of termination of Service, and the Participant shall forfeit all rights in connection therewith.</w:t>
      </w:r>
    </w:p>
    <w:p>
      <w:pPr>
        <w:spacing w:after="0" w:line="176" w:lineRule="exact"/>
        <w:rPr>
          <w:rFonts w:ascii="Times New Roman" w:cs="Times New Roman" w:eastAsia="Times New Roman" w:hAnsi="Times New Roman"/>
          <w:sz w:val="18"/>
          <w:szCs w:val="18"/>
          <w:color w:val="auto"/>
        </w:rPr>
      </w:pPr>
    </w:p>
    <w:p>
      <w:pPr>
        <w:jc w:val="both"/>
        <w:ind w:right="20" w:firstLine="444"/>
        <w:spacing w:after="0" w:line="254" w:lineRule="auto"/>
        <w:tabs>
          <w:tab w:leader="none" w:pos="7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the terms of the Plan and this Award Agreement, including, without limitation, Section 3 hereof, and to the extent that it would not cause a violation of Section 409A, each Vested RSU shall be settled as soon as practicable following the Vesting Date, and in all events no later than 60 days after the Vesting Date, as determined solely by the Company (the date of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On the Settlement Date, vested RSUs shall be converted into an equivalent number of Shares, which will be distributed to the Participant or the Participant’s legal representative. The Company may at its election either (a) on or after the Settlement Date, issue a certificate representing the Shares subject to this Agreement, or</w:t>
      </w:r>
    </w:p>
    <w:p>
      <w:pPr>
        <w:spacing w:after="0" w:line="3" w:lineRule="exact"/>
        <w:rPr>
          <w:rFonts w:ascii="Times New Roman" w:cs="Times New Roman" w:eastAsia="Times New Roman" w:hAnsi="Times New Roman"/>
          <w:sz w:val="18"/>
          <w:szCs w:val="18"/>
          <w:color w:val="auto"/>
        </w:rPr>
      </w:pPr>
    </w:p>
    <w:p>
      <w:pPr>
        <w:ind w:right="80" w:firstLine="4"/>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issue any certificate representing Shares subject to this Award Agreement and instead document the Participant’s interest in the Shares by registering the Shares with the Company’s transfer agent (or another custodian selected by the Company) in book-entry form. Notwithstanding the foregoing, if all or any portion of the RSUs is subject to an effective and irrevocable election under the Dave &amp; Buster’s Entertainment, Inc. 2016 Deferred Compensation Plan for Non-Employee Directors (or any successor plan), such RSUs will be settled in accordance with the election and not on the Settlement Date.</w:t>
      </w:r>
    </w:p>
    <w:p>
      <w:pPr>
        <w:spacing w:after="0" w:line="187" w:lineRule="exact"/>
        <w:rPr>
          <w:rFonts w:ascii="Times New Roman" w:cs="Times New Roman" w:eastAsia="Times New Roman" w:hAnsi="Times New Roman"/>
          <w:sz w:val="18"/>
          <w:szCs w:val="18"/>
          <w:color w:val="auto"/>
        </w:rPr>
      </w:pPr>
    </w:p>
    <w:p>
      <w:pPr>
        <w:ind w:right="180" w:firstLine="444"/>
        <w:spacing w:after="0" w:line="266" w:lineRule="auto"/>
        <w:tabs>
          <w:tab w:leader="none" w:pos="7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6" w:lineRule="exact"/>
        <w:rPr>
          <w:rFonts w:ascii="Times New Roman" w:cs="Times New Roman" w:eastAsia="Times New Roman" w:hAnsi="Times New Roman"/>
          <w:sz w:val="18"/>
          <w:szCs w:val="18"/>
          <w:color w:val="auto"/>
        </w:rPr>
      </w:pPr>
    </w:p>
    <w:p>
      <w:pPr>
        <w:ind w:right="260" w:firstLine="444"/>
        <w:spacing w:after="0" w:line="282" w:lineRule="auto"/>
        <w:tabs>
          <w:tab w:leader="none" w:pos="7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jc w:val="both"/>
        <w:ind w:right="100" w:firstLine="444"/>
        <w:spacing w:after="0" w:line="261" w:lineRule="auto"/>
        <w:tabs>
          <w:tab w:leader="none" w:pos="7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6</w:t>
      </w:r>
    </w:p>
    <w:p>
      <w:pPr>
        <w:sectPr>
          <w:pgSz w:w="11900" w:h="16838" w:orient="portrait"/>
          <w:cols w:equalWidth="0" w:num="1">
            <w:col w:w="11020"/>
          </w:cols>
          <w:pgMar w:left="440" w:top="270" w:right="439" w:bottom="1440" w:gutter="0" w:footer="0" w:header="0"/>
        </w:sectPr>
      </w:pPr>
    </w:p>
    <w:bookmarkStart w:id="39" w:name="page40"/>
    <w:bookmarkEnd w:id="3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80" w:lineRule="exact"/>
        <w:rPr>
          <w:sz w:val="20"/>
          <w:szCs w:val="20"/>
          <w:color w:val="auto"/>
        </w:rPr>
      </w:pPr>
    </w:p>
    <w:p>
      <w:pPr>
        <w:ind w:right="60" w:firstLine="444"/>
        <w:spacing w:after="0" w:line="255" w:lineRule="auto"/>
        <w:tabs>
          <w:tab w:leader="none" w:pos="7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9" w:lineRule="exact"/>
        <w:rPr>
          <w:rFonts w:ascii="Times New Roman" w:cs="Times New Roman" w:eastAsia="Times New Roman" w:hAnsi="Times New Roman"/>
          <w:sz w:val="18"/>
          <w:szCs w:val="18"/>
          <w:color w:val="auto"/>
        </w:rPr>
      </w:pPr>
    </w:p>
    <w:p>
      <w:pPr>
        <w:ind w:right="40" w:firstLine="444"/>
        <w:spacing w:after="0" w:line="289" w:lineRule="auto"/>
        <w:tabs>
          <w:tab w:leader="none" w:pos="7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Section 409A</w:t>
      </w:r>
      <w:r>
        <w:rPr>
          <w:rFonts w:ascii="Times New Roman" w:cs="Times New Roman" w:eastAsia="Times New Roman" w:hAnsi="Times New Roman"/>
          <w:sz w:val="17"/>
          <w:szCs w:val="17"/>
          <w:color w:val="auto"/>
        </w:rPr>
        <w:t>. The Company intends that the RSUs be structured in compliance with, or to satisfy an exemption from, Section 409A of the Code and all regulations, guidance, compliance programs and other interpretative authority thereunder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and all provisions of this Award Agreement shall be construed in a manner consistent with the requirements for avoiding taxes or penalties under Section 409A.</w:t>
      </w:r>
    </w:p>
    <w:p>
      <w:pPr>
        <w:spacing w:after="0" w:line="158" w:lineRule="exact"/>
        <w:rPr>
          <w:rFonts w:ascii="Times New Roman" w:cs="Times New Roman" w:eastAsia="Times New Roman" w:hAnsi="Times New Roman"/>
          <w:sz w:val="17"/>
          <w:szCs w:val="17"/>
          <w:color w:val="auto"/>
        </w:rPr>
      </w:pPr>
    </w:p>
    <w:p>
      <w:pPr>
        <w:ind w:right="60" w:firstLine="444"/>
        <w:spacing w:after="0" w:line="261"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rFonts w:ascii="Times New Roman" w:cs="Times New Roman" w:eastAsia="Times New Roman" w:hAnsi="Times New Roman"/>
          <w:sz w:val="18"/>
          <w:szCs w:val="18"/>
          <w:color w:val="auto"/>
        </w:rPr>
      </w:pPr>
    </w:p>
    <w:p>
      <w:pPr>
        <w:ind w:right="220" w:firstLine="444"/>
        <w:spacing w:after="0" w:line="261" w:lineRule="auto"/>
        <w:tabs>
          <w:tab w:leader="none" w:pos="8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the Plan and the Dave &amp;Buster’s Entertainment, Inc. 2016 Deferred Compensation plan for Non-Employee Directors, if applicable,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80" w:lineRule="exact"/>
        <w:rPr>
          <w:rFonts w:ascii="Times New Roman" w:cs="Times New Roman" w:eastAsia="Times New Roman" w:hAnsi="Times New Roman"/>
          <w:sz w:val="18"/>
          <w:szCs w:val="18"/>
          <w:color w:val="auto"/>
        </w:rPr>
      </w:pPr>
    </w:p>
    <w:p>
      <w:pPr>
        <w:ind w:right="20" w:firstLine="444"/>
        <w:spacing w:after="0" w:line="282"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right="140" w:firstLine="444"/>
        <w:spacing w:after="0" w:line="261"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6</w:t>
      </w:r>
    </w:p>
    <w:p>
      <w:pPr>
        <w:sectPr>
          <w:pgSz w:w="11900" w:h="16838" w:orient="portrait"/>
          <w:cols w:equalWidth="0" w:num="1">
            <w:col w:w="11020"/>
          </w:cols>
          <w:pgMar w:left="440" w:top="270" w:right="439" w:bottom="1440" w:gutter="0" w:footer="0" w:header="0"/>
        </w:sectPr>
      </w:pPr>
    </w:p>
    <w:bookmarkStart w:id="40" w:name="page41"/>
    <w:bookmarkEnd w:id="40"/>
    <w:p>
      <w:pPr>
        <w:ind w:left="840" w:hanging="39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85"/>
        <w:spacing w:after="0" w:line="254" w:lineRule="auto"/>
        <w:tabs>
          <w:tab w:leader="none" w:pos="12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86" w:lineRule="exact"/>
        <w:rPr>
          <w:rFonts w:ascii="Times New Roman" w:cs="Times New Roman" w:eastAsia="Times New Roman" w:hAnsi="Times New Roman"/>
          <w:sz w:val="18"/>
          <w:szCs w:val="18"/>
          <w:color w:val="auto"/>
        </w:rPr>
      </w:pPr>
    </w:p>
    <w:p>
      <w:pPr>
        <w:ind w:right="40" w:firstLine="885"/>
        <w:spacing w:after="0" w:line="266" w:lineRule="auto"/>
        <w:tabs>
          <w:tab w:leader="none" w:pos="12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6" w:lineRule="exact"/>
        <w:rPr>
          <w:rFonts w:ascii="Times New Roman" w:cs="Times New Roman" w:eastAsia="Times New Roman" w:hAnsi="Times New Roman"/>
          <w:sz w:val="18"/>
          <w:szCs w:val="18"/>
          <w:color w:val="auto"/>
        </w:rPr>
      </w:pPr>
    </w:p>
    <w:p>
      <w:pPr>
        <w:ind w:right="160" w:firstLine="444"/>
        <w:spacing w:after="0" w:line="258"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200" w:firstLine="444"/>
        <w:spacing w:after="0" w:line="261"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 Neither the Committee nor the Company has any obligation to take any action to prevent the assessment of any tax under Section 409A or Section 457A of the Code or otherwise, and none of the Company, any Affiliate or any of their employees or representatives shall have any liability to a Participant with respect thereto.</w:t>
      </w:r>
    </w:p>
    <w:p>
      <w:pPr>
        <w:spacing w:after="0" w:line="180"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RSUs granted hereunder at any time, subject to the terms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right="180" w:firstLine="444"/>
        <w:spacing w:after="0" w:line="28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40" w:firstLine="444"/>
        <w:spacing w:after="0" w:line="28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6</w:t>
      </w:r>
    </w:p>
    <w:p>
      <w:pPr>
        <w:sectPr>
          <w:pgSz w:w="11900" w:h="16838" w:orient="portrait"/>
          <w:cols w:equalWidth="0" w:num="1">
            <w:col w:w="11020"/>
          </w:cols>
          <w:pgMar w:left="440" w:top="270" w:right="43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8" w:lineRule="exact"/>
        <w:rPr>
          <w:sz w:val="20"/>
          <w:szCs w:val="20"/>
          <w:color w:val="auto"/>
        </w:rPr>
      </w:pPr>
    </w:p>
    <w:p>
      <w:pPr>
        <w:ind w:right="560" w:firstLine="444"/>
        <w:spacing w:after="0" w:line="282" w:lineRule="auto"/>
        <w:tabs>
          <w:tab w:leader="none" w:pos="8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6</w:t>
      </w:r>
    </w:p>
    <w:p>
      <w:pPr>
        <w:sectPr>
          <w:pgSz w:w="11900" w:h="16838" w:orient="portrait"/>
          <w:cols w:equalWidth="0" w:num="1">
            <w:col w:w="11020"/>
          </w:cols>
          <w:pgMar w:left="440" w:top="270" w:right="439" w:bottom="1440" w:gutter="0" w:footer="0" w:header="0"/>
        </w:sectPr>
      </w:pPr>
    </w:p>
    <w:bookmarkStart w:id="42" w:name="page43"/>
    <w:bookmarkEnd w:id="42"/>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the Participant have executed this Restricted Stock Unit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2795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ENTERTAINMENT, INC.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17145</wp:posOffset>
            </wp:positionV>
            <wp:extent cx="26155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6</w:t>
      </w:r>
    </w:p>
    <w:p>
      <w:pPr>
        <w:sectPr>
          <w:pgSz w:w="11900" w:h="16838" w:orient="portrait"/>
          <w:cols w:equalWidth="0" w:num="1">
            <w:col w:w="11020"/>
          </w:cols>
          <w:pgMar w:left="440" w:top="270" w:right="439" w:bottom="1440" w:gutter="0" w:footer="0" w:header="0"/>
        </w:sectPr>
      </w:pPr>
    </w:p>
    <w:bookmarkStart w:id="43" w:name="page44"/>
    <w:bookmarkEnd w:id="43"/>
    <w:p>
      <w:pPr>
        <w:ind w:left="101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Based)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AND CASH AWARD AGREEMENT</w:t>
      </w:r>
    </w:p>
    <w:p>
      <w:pPr>
        <w:spacing w:after="0" w:line="225"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color w:val="auto"/>
        </w:rPr>
        <w:t>THIS RESTRICTED STOCK UNIT AND CASH AWARD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 (the “</w:t>
      </w:r>
      <w:r>
        <w:rPr>
          <w:rFonts w:ascii="Times New Roman" w:cs="Times New Roman" w:eastAsia="Times New Roman" w:hAnsi="Times New Roman"/>
          <w:sz w:val="18"/>
          <w:szCs w:val="18"/>
          <w:b w:val="1"/>
          <w:b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in the best interests of the Company and its stockholders to grant the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restricted stock units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and cash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760" w:hanging="316"/>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85"/>
        <w:spacing w:after="0" w:line="255" w:lineRule="auto"/>
        <w:tabs>
          <w:tab w:leader="none" w:pos="12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 Component</w:t>
      </w:r>
      <w:r>
        <w:rPr>
          <w:rFonts w:ascii="Times New Roman" w:cs="Times New Roman" w:eastAsia="Times New Roman" w:hAnsi="Times New Roman"/>
          <w:sz w:val="18"/>
          <w:szCs w:val="18"/>
          <w:color w:val="auto"/>
        </w:rPr>
        <w:t>. The Company hereby grants to the Participant RSUs on the following terms. Upon achievement of target-level performance set forth in this Agreement, [●] RSUs may be earned under this Award (the “</w:t>
      </w:r>
      <w:r>
        <w:rPr>
          <w:rFonts w:ascii="Times New Roman" w:cs="Times New Roman" w:eastAsia="Times New Roman" w:hAnsi="Times New Roman"/>
          <w:sz w:val="18"/>
          <w:szCs w:val="18"/>
          <w:b w:val="1"/>
          <w:bCs w:val="1"/>
          <w:color w:val="auto"/>
        </w:rPr>
        <w:t>Target Achievable RSUs</w:t>
      </w:r>
      <w:r>
        <w:rPr>
          <w:rFonts w:ascii="Times New Roman" w:cs="Times New Roman" w:eastAsia="Times New Roman" w:hAnsi="Times New Roman"/>
          <w:sz w:val="18"/>
          <w:szCs w:val="18"/>
          <w:color w:val="auto"/>
        </w:rPr>
        <w:t>”) in respect of the performance period commencing on [●], and terminating on [●] (the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and the last day,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provided, that the Participant may earn up to a maximum of [●] RSUs under this Award for performance above target (the “</w:t>
      </w:r>
      <w:r>
        <w:rPr>
          <w:rFonts w:ascii="Times New Roman" w:cs="Times New Roman" w:eastAsia="Times New Roman" w:hAnsi="Times New Roman"/>
          <w:sz w:val="18"/>
          <w:szCs w:val="18"/>
          <w:b w:val="1"/>
          <w:bCs w:val="1"/>
          <w:color w:val="auto"/>
        </w:rPr>
        <w:t>Maximum Achievable RSUs</w:t>
      </w:r>
      <w:r>
        <w:rPr>
          <w:rFonts w:ascii="Times New Roman" w:cs="Times New Roman" w:eastAsia="Times New Roman" w:hAnsi="Times New Roman"/>
          <w:sz w:val="18"/>
          <w:szCs w:val="18"/>
          <w:color w:val="auto"/>
        </w:rPr>
        <w:t>”) as set forth in this Agreement. Each RSU represents one notional share of common stock, par value $.01 per share, of the Company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Two-thirds of the Target Achievable RSUs shall constitute “</w:t>
      </w:r>
      <w:r>
        <w:rPr>
          <w:rFonts w:ascii="Times New Roman" w:cs="Times New Roman" w:eastAsia="Times New Roman" w:hAnsi="Times New Roman"/>
          <w:sz w:val="18"/>
          <w:szCs w:val="18"/>
          <w:b w:val="1"/>
          <w:bCs w:val="1"/>
          <w:color w:val="auto"/>
        </w:rPr>
        <w:t>EBITDA-Based RSUs</w:t>
      </w:r>
      <w:r>
        <w:rPr>
          <w:rFonts w:ascii="Times New Roman" w:cs="Times New Roman" w:eastAsia="Times New Roman" w:hAnsi="Times New Roman"/>
          <w:sz w:val="18"/>
          <w:szCs w:val="18"/>
          <w:color w:val="auto"/>
        </w:rPr>
        <w:t>,” and one-third of the Target Achievable RSUs shall constitute “</w:t>
      </w:r>
      <w:r>
        <w:rPr>
          <w:rFonts w:ascii="Times New Roman" w:cs="Times New Roman" w:eastAsia="Times New Roman" w:hAnsi="Times New Roman"/>
          <w:sz w:val="18"/>
          <w:szCs w:val="18"/>
          <w:b w:val="1"/>
          <w:bCs w:val="1"/>
          <w:color w:val="auto"/>
        </w:rPr>
        <w:t>ROIC-Based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in each case calculated in accordance with Section 2 below.</w:t>
      </w:r>
    </w:p>
    <w:p>
      <w:pPr>
        <w:spacing w:after="0" w:line="189" w:lineRule="exact"/>
        <w:rPr>
          <w:rFonts w:ascii="Times New Roman" w:cs="Times New Roman" w:eastAsia="Times New Roman" w:hAnsi="Times New Roman"/>
          <w:sz w:val="18"/>
          <w:szCs w:val="18"/>
          <w:color w:val="auto"/>
        </w:rPr>
      </w:pPr>
    </w:p>
    <w:p>
      <w:pPr>
        <w:ind w:firstLine="885"/>
        <w:spacing w:after="0" w:line="258" w:lineRule="auto"/>
        <w:tabs>
          <w:tab w:leader="none" w:pos="12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Award Component</w:t>
      </w:r>
      <w:r>
        <w:rPr>
          <w:rFonts w:ascii="Times New Roman" w:cs="Times New Roman" w:eastAsia="Times New Roman" w:hAnsi="Times New Roman"/>
          <w:sz w:val="18"/>
          <w:szCs w:val="18"/>
          <w:color w:val="auto"/>
        </w:rPr>
        <w:t>. The Company hereby grants to the Participant a Cash Award on the following terms. Upon achievement of target-level performance set forth in this Agreement, a cash payment of $[●] may be earned under this Award (the “</w:t>
      </w:r>
      <w:r>
        <w:rPr>
          <w:rFonts w:ascii="Times New Roman" w:cs="Times New Roman" w:eastAsia="Times New Roman" w:hAnsi="Times New Roman"/>
          <w:sz w:val="18"/>
          <w:szCs w:val="18"/>
          <w:b w:val="1"/>
          <w:bCs w:val="1"/>
          <w:color w:val="auto"/>
        </w:rPr>
        <w:t>Target Cash Amount</w:t>
      </w:r>
      <w:r>
        <w:rPr>
          <w:rFonts w:ascii="Times New Roman" w:cs="Times New Roman" w:eastAsia="Times New Roman" w:hAnsi="Times New Roman"/>
          <w:sz w:val="18"/>
          <w:szCs w:val="18"/>
          <w:color w:val="auto"/>
        </w:rPr>
        <w:t>”) in respect of the Performance Period; provided, that the Participant may earn up to a maximum of $[●] under this Award for performance above target (the “</w:t>
      </w:r>
      <w:r>
        <w:rPr>
          <w:rFonts w:ascii="Times New Roman" w:cs="Times New Roman" w:eastAsia="Times New Roman" w:hAnsi="Times New Roman"/>
          <w:sz w:val="18"/>
          <w:szCs w:val="18"/>
          <w:b w:val="1"/>
          <w:bCs w:val="1"/>
          <w:color w:val="auto"/>
        </w:rPr>
        <w:t>Maximum Cash Amount</w:t>
      </w:r>
      <w:r>
        <w:rPr>
          <w:rFonts w:ascii="Times New Roman" w:cs="Times New Roman" w:eastAsia="Times New Roman" w:hAnsi="Times New Roman"/>
          <w:sz w:val="18"/>
          <w:szCs w:val="18"/>
          <w:color w:val="auto"/>
        </w:rPr>
        <w:t>”) as set forth in this Agreement. Two-thirds of the Target Cash Amount shall constitute “</w:t>
      </w:r>
      <w:r>
        <w:rPr>
          <w:rFonts w:ascii="Times New Roman" w:cs="Times New Roman" w:eastAsia="Times New Roman" w:hAnsi="Times New Roman"/>
          <w:sz w:val="18"/>
          <w:szCs w:val="18"/>
          <w:b w:val="1"/>
          <w:bCs w:val="1"/>
          <w:color w:val="auto"/>
        </w:rPr>
        <w:t>EBITDA-Based Cash Amount</w:t>
      </w:r>
      <w:r>
        <w:rPr>
          <w:rFonts w:ascii="Times New Roman" w:cs="Times New Roman" w:eastAsia="Times New Roman" w:hAnsi="Times New Roman"/>
          <w:sz w:val="18"/>
          <w:szCs w:val="18"/>
          <w:color w:val="auto"/>
        </w:rPr>
        <w:t>,” and one-third of the Target Cash Amount shall constitute “</w:t>
      </w:r>
      <w:r>
        <w:rPr>
          <w:rFonts w:ascii="Times New Roman" w:cs="Times New Roman" w:eastAsia="Times New Roman" w:hAnsi="Times New Roman"/>
          <w:sz w:val="18"/>
          <w:szCs w:val="18"/>
          <w:b w:val="1"/>
          <w:bCs w:val="1"/>
          <w:color w:val="auto"/>
        </w:rPr>
        <w:t>ROIC-Based Cash Amount</w:t>
      </w:r>
      <w:r>
        <w:rPr>
          <w:rFonts w:ascii="Times New Roman" w:cs="Times New Roman" w:eastAsia="Times New Roman" w:hAnsi="Times New Roman"/>
          <w:sz w:val="18"/>
          <w:szCs w:val="18"/>
          <w:color w:val="auto"/>
        </w:rPr>
        <w:t>,” in each case calculated in accordance with Section 2 below.</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10</w:t>
      </w:r>
    </w:p>
    <w:p>
      <w:pPr>
        <w:sectPr>
          <w:pgSz w:w="11900" w:h="16838" w:orient="portrait"/>
          <w:cols w:equalWidth="0" w:num="1">
            <w:col w:w="11020"/>
          </w:cols>
          <w:pgMar w:left="440" w:top="117" w:right="439" w:bottom="1440" w:gutter="0" w:footer="0" w:header="0"/>
        </w:sectPr>
      </w:pPr>
    </w:p>
    <w:bookmarkStart w:id="44" w:name="page45"/>
    <w:bookmarkEnd w:id="44"/>
    <w:p>
      <w:pPr>
        <w:ind w:left="760" w:hanging="316"/>
        <w:spacing w:after="0"/>
        <w:tabs>
          <w:tab w:leader="none" w:pos="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of Earned Portion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885"/>
        <w:spacing w:after="0" w:line="269" w:lineRule="auto"/>
        <w:tabs>
          <w:tab w:leader="none" w:pos="1261"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w:t>
      </w:r>
      <w:r>
        <w:rPr>
          <w:rFonts w:ascii="Times New Roman" w:cs="Times New Roman" w:eastAsia="Times New Roman" w:hAnsi="Times New Roman"/>
          <w:sz w:val="17"/>
          <w:szCs w:val="17"/>
          <w:color w:val="auto"/>
        </w:rPr>
        <w:t>. Subject to the terms of the Plan and this Award Agreement, including, without limitation, Sections 3 and 4 hereof, as soon as reasonably practicable following the Closing Date and completion of the Company’s audit in respect of its [●] fiscal year, the Committee shall determine and certify, with effect as of the Closing Date, (i) the numbers of EBITDA-Based RSUs and ROIC-Based RSUs, if any, that shall be deemed earned and eligible for settlement (such RSUs, “</w:t>
      </w:r>
      <w:r>
        <w:rPr>
          <w:rFonts w:ascii="Times New Roman" w:cs="Times New Roman" w:eastAsia="Times New Roman" w:hAnsi="Times New Roman"/>
          <w:sz w:val="17"/>
          <w:szCs w:val="17"/>
          <w:b w:val="1"/>
          <w:bCs w:val="1"/>
          <w:color w:val="auto"/>
        </w:rPr>
        <w:t>Earned RSUs</w:t>
      </w:r>
      <w:r>
        <w:rPr>
          <w:rFonts w:ascii="Times New Roman" w:cs="Times New Roman" w:eastAsia="Times New Roman" w:hAnsi="Times New Roman"/>
          <w:sz w:val="17"/>
          <w:szCs w:val="17"/>
          <w:color w:val="auto"/>
        </w:rPr>
        <w:t>”) and (ii) the EBITDA-Based Cash Amount and ROIC-Based Cash Amount, if any, that shall be deemed earned and eligible for settlement (such amounts, the “</w:t>
      </w:r>
      <w:r>
        <w:rPr>
          <w:rFonts w:ascii="Times New Roman" w:cs="Times New Roman" w:eastAsia="Times New Roman" w:hAnsi="Times New Roman"/>
          <w:sz w:val="17"/>
          <w:szCs w:val="17"/>
          <w:b w:val="1"/>
          <w:bCs w:val="1"/>
          <w:color w:val="auto"/>
        </w:rPr>
        <w:t>Earned Cash Amount</w:t>
      </w:r>
      <w:r>
        <w:rPr>
          <w:rFonts w:ascii="Times New Roman" w:cs="Times New Roman" w:eastAsia="Times New Roman" w:hAnsi="Times New Roman"/>
          <w:sz w:val="17"/>
          <w:szCs w:val="17"/>
          <w:color w:val="auto"/>
        </w:rPr>
        <w:t>”), in the cases of both (i) and (ii), in accordance with subsections</w:t>
      </w:r>
    </w:p>
    <w:p>
      <w:pPr>
        <w:spacing w:after="0" w:line="3" w:lineRule="exact"/>
        <w:rPr>
          <w:rFonts w:ascii="Times New Roman" w:cs="Times New Roman" w:eastAsia="Times New Roman" w:hAnsi="Times New Roman"/>
          <w:sz w:val="17"/>
          <w:szCs w:val="17"/>
          <w:color w:val="auto"/>
        </w:rPr>
      </w:pPr>
    </w:p>
    <w:p>
      <w:pPr>
        <w:jc w:val="both"/>
        <w:ind w:right="380" w:firstLine="4"/>
        <w:spacing w:after="0" w:line="255"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below. Any and all RSUs that are not deemed to be Earned RSUs, and any portion of the Cash Award that is not deemed to be an Earned Cash Amount, in either case, as of the Closing Date, shall be forfeited and canceled immediately without consideration and shall not be eligible for settlement in accordance with Section 3 hereof.</w:t>
      </w:r>
    </w:p>
    <w:p>
      <w:pPr>
        <w:spacing w:after="0" w:line="186" w:lineRule="exact"/>
        <w:rPr>
          <w:rFonts w:ascii="Times New Roman" w:cs="Times New Roman" w:eastAsia="Times New Roman" w:hAnsi="Times New Roman"/>
          <w:sz w:val="18"/>
          <w:szCs w:val="18"/>
          <w:color w:val="auto"/>
        </w:rPr>
      </w:pPr>
    </w:p>
    <w:p>
      <w:pPr>
        <w:ind w:firstLine="885"/>
        <w:spacing w:after="0" w:line="252" w:lineRule="auto"/>
        <w:tabs>
          <w:tab w:leader="none" w:pos="127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EBITDA-Based Calculation</w:t>
      </w:r>
      <w:r>
        <w:rPr>
          <w:rFonts w:ascii="Times New Roman" w:cs="Times New Roman" w:eastAsia="Times New Roman" w:hAnsi="Times New Roman"/>
          <w:sz w:val="18"/>
          <w:szCs w:val="18"/>
          <w:color w:val="auto"/>
        </w:rPr>
        <w:t>. All or a portion of the EBITDA-Based RSUs and the EBITDA-Based Cash Amount shall be deemed earned as set forth in the table below based on the Company’s net income (loss), plus interest expense (net), loss on debt retirement, provision (benefit) for income taxes, and depreciation and amortization expense, calculated cumulatively in respect of the Performance Period; provided that in the reasonable discretion of the Committee, additions or reductions to the foregoing calculations will be made to address items not contemplated by the Company’s long range plan or for items that affect the Company’s results during the Performance Period but which directly relate to transactions or events that occurred outside of the Performance Period, including but not limited to the following nonrecurring items: Board-approved strategic investment(s) (such as but not limited to future growth vector(s), adjacent brand concept(s), rebranding initiative(s), or operating model alternative(s)), bank financing transactions, equity offerings in excess of the long-term plan, mergers, acquisitions, divestitures, legal settlements, non-cash asset impairments, severance payments, restructurings, incremental estimated excess store pre-opening expense (typically limited to store(s) above planned levels that open within nine months prior to end of the Performance Period) and stock option grants in excess of the long-term plan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EBITDA shall be determined by reference to and shall incorporate the relevant elements of the Company’s audited financial statements as prepared in accordance with United States generally accepted accounting principles applied on a consistent basis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If EBITDA falls between the minimum level and target level or between the target level and maximum level (each such level as set forth below), then the percentage of EBITDA-Based RSUs and the percentage of the EBITDA-Based Cash Amount that shall be deemed earned shall be determined using straight-line interpolation between the two applicable levels. The EBITDA-Based RSUs and EBITDA-Based Cash Amount that are deemed earned in accordance with this Section 2(b) shall be payable as of (and not before) the Settlement Date (defined below) provided that the Participant continues to provide Service to the Company until the close of business on the Settlement Date (except as otherwise provided in Section 4).</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020"/>
          </w:cols>
          <w:pgMar w:left="440" w:top="270" w:right="439" w:bottom="1440" w:gutter="0" w:footer="0" w:header="0"/>
        </w:sectPr>
      </w:pPr>
    </w:p>
    <w:bookmarkStart w:id="45" w:name="page46"/>
    <w:bookmarkEnd w:id="45"/>
    <w:tbl>
      <w:tblPr>
        <w:tblLayout w:type="fixed"/>
        <w:tblInd w:w="132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80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Earned Percentage of</w:t>
            </w:r>
          </w:p>
        </w:tc>
        <w:tc>
          <w:tcPr>
            <w:tcW w:w="3040" w:type="dxa"/>
            <w:vAlign w:val="bottom"/>
            <w:gridSpan w:val="2"/>
          </w:tcPr>
          <w:p>
            <w:pPr>
              <w:jc w:val="center"/>
              <w:ind w:left="994"/>
              <w:spacing w:after="0"/>
              <w:rPr>
                <w:sz w:val="20"/>
                <w:szCs w:val="20"/>
                <w:color w:val="auto"/>
              </w:rPr>
            </w:pPr>
            <w:r>
              <w:rPr>
                <w:rFonts w:ascii="Times New Roman" w:cs="Times New Roman" w:eastAsia="Times New Roman" w:hAnsi="Times New Roman"/>
                <w:sz w:val="14"/>
                <w:szCs w:val="14"/>
                <w:b w:val="1"/>
                <w:bCs w:val="1"/>
                <w:color w:val="auto"/>
              </w:rPr>
              <w:t>Earned Percentage of EBITDA-</w:t>
            </w:r>
          </w:p>
        </w:tc>
        <w:tc>
          <w:tcPr>
            <w:tcW w:w="0" w:type="dxa"/>
            <w:vAlign w:val="bottom"/>
          </w:tcPr>
          <w:p>
            <w:pPr>
              <w:spacing w:after="0"/>
              <w:rPr>
                <w:sz w:val="1"/>
                <w:szCs w:val="1"/>
                <w:color w:val="auto"/>
              </w:rPr>
            </w:pPr>
          </w:p>
        </w:tc>
      </w:tr>
      <w:tr>
        <w:trPr>
          <w:trHeight w:val="160"/>
        </w:trPr>
        <w:tc>
          <w:tcPr>
            <w:tcW w:w="3180" w:type="dxa"/>
            <w:vAlign w:val="bottom"/>
            <w:gridSpan w:val="3"/>
            <w:vMerge w:val="continue"/>
          </w:tcPr>
          <w:p>
            <w:pPr>
              <w:spacing w:after="0"/>
              <w:rPr>
                <w:sz w:val="13"/>
                <w:szCs w:val="13"/>
                <w:color w:val="auto"/>
              </w:rPr>
            </w:pPr>
          </w:p>
        </w:tc>
        <w:tc>
          <w:tcPr>
            <w:tcW w:w="2160" w:type="dxa"/>
            <w:vAlign w:val="bottom"/>
            <w:gridSpan w:val="2"/>
          </w:tcPr>
          <w:p>
            <w:pPr>
              <w:ind w:left="800"/>
              <w:spacing w:after="0" w:line="160" w:lineRule="exact"/>
              <w:rPr>
                <w:sz w:val="20"/>
                <w:szCs w:val="20"/>
                <w:color w:val="auto"/>
              </w:rPr>
            </w:pPr>
            <w:r>
              <w:rPr>
                <w:rFonts w:ascii="Times New Roman" w:cs="Times New Roman" w:eastAsia="Times New Roman" w:hAnsi="Times New Roman"/>
                <w:sz w:val="14"/>
                <w:szCs w:val="14"/>
                <w:b w:val="1"/>
                <w:bCs w:val="1"/>
                <w:color w:val="auto"/>
              </w:rPr>
              <w:t>EBITDA-Based RSUs</w:t>
            </w:r>
          </w:p>
        </w:tc>
        <w:tc>
          <w:tcPr>
            <w:tcW w:w="1080" w:type="dxa"/>
            <w:vAlign w:val="bottom"/>
          </w:tcPr>
          <w:p>
            <w:pPr>
              <w:spacing w:after="0"/>
              <w:rPr>
                <w:sz w:val="13"/>
                <w:szCs w:val="13"/>
                <w:color w:val="auto"/>
              </w:rPr>
            </w:pP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Based Cash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$___ or greater (maximum level)</w:t>
            </w:r>
          </w:p>
        </w:tc>
        <w:tc>
          <w:tcPr>
            <w:tcW w:w="8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200%</w:t>
            </w:r>
          </w:p>
        </w:tc>
        <w:tc>
          <w:tcPr>
            <w:tcW w:w="108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 (target level)</w:t>
            </w:r>
          </w:p>
        </w:tc>
        <w:tc>
          <w:tcPr>
            <w:tcW w:w="2160" w:type="dxa"/>
            <w:vAlign w:val="bottom"/>
            <w:gridSpan w:val="2"/>
          </w:tcPr>
          <w:p>
            <w:pPr>
              <w:jc w:val="center"/>
              <w:ind w:left="694"/>
              <w:spacing w:after="0"/>
              <w:rPr>
                <w:sz w:val="20"/>
                <w:szCs w:val="20"/>
                <w:color w:val="auto"/>
              </w:rPr>
            </w:pPr>
            <w:r>
              <w:rPr>
                <w:rFonts w:ascii="Times New Roman" w:cs="Times New Roman" w:eastAsia="Times New Roman" w:hAnsi="Times New Roman"/>
                <w:sz w:val="18"/>
                <w:szCs w:val="18"/>
                <w:color w:val="auto"/>
                <w:w w:val="99"/>
              </w:rPr>
              <w:t>100%</w:t>
            </w:r>
          </w:p>
        </w:tc>
        <w:tc>
          <w:tcPr>
            <w:tcW w:w="3040" w:type="dxa"/>
            <w:vAlign w:val="bottom"/>
            <w:gridSpan w:val="2"/>
          </w:tcPr>
          <w:p>
            <w:pPr>
              <w:jc w:val="center"/>
              <w:ind w:left="97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$___ (minimum level)</w:t>
            </w:r>
          </w:p>
        </w:tc>
        <w:tc>
          <w:tcPr>
            <w:tcW w:w="2160" w:type="dxa"/>
            <w:vAlign w:val="bottom"/>
            <w:gridSpan w:val="2"/>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50%</w:t>
            </w:r>
          </w:p>
        </w:tc>
        <w:tc>
          <w:tcPr>
            <w:tcW w:w="3040" w:type="dxa"/>
            <w:vAlign w:val="bottom"/>
            <w:gridSpan w:val="2"/>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$___</w:t>
            </w:r>
          </w:p>
        </w:tc>
        <w:tc>
          <w:tcPr>
            <w:tcW w:w="2160" w:type="dxa"/>
            <w:vAlign w:val="bottom"/>
            <w:gridSpan w:val="2"/>
          </w:tcPr>
          <w:p>
            <w:pPr>
              <w:jc w:val="center"/>
              <w:ind w:left="714"/>
              <w:spacing w:after="0"/>
              <w:rPr>
                <w:sz w:val="20"/>
                <w:szCs w:val="20"/>
                <w:color w:val="auto"/>
              </w:rPr>
            </w:pPr>
            <w:r>
              <w:rPr>
                <w:rFonts w:ascii="Times New Roman" w:cs="Times New Roman" w:eastAsia="Times New Roman" w:hAnsi="Times New Roman"/>
                <w:sz w:val="18"/>
                <w:szCs w:val="18"/>
                <w:color w:val="auto"/>
                <w:w w:val="99"/>
              </w:rPr>
              <w:t>0%</w:t>
            </w:r>
          </w:p>
        </w:tc>
        <w:tc>
          <w:tcPr>
            <w:tcW w:w="3040" w:type="dxa"/>
            <w:vAlign w:val="bottom"/>
            <w:gridSpan w:val="2"/>
          </w:tcPr>
          <w:p>
            <w:pPr>
              <w:jc w:val="center"/>
              <w:ind w:left="994"/>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60" w:hanging="375"/>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ROIC-Based Calculation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36"/>
        <w:spacing w:after="0" w:line="255" w:lineRule="auto"/>
        <w:tabs>
          <w:tab w:leader="none" w:pos="177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the ROIC-Based RSUs and ROIC-Based Cash Amount shall be deemed earned and eligible for settlement as set forth in the table below based on the Company’s return on invested capital (“</w:t>
      </w:r>
      <w:r>
        <w:rPr>
          <w:rFonts w:ascii="Times New Roman" w:cs="Times New Roman" w:eastAsia="Times New Roman" w:hAnsi="Times New Roman"/>
          <w:sz w:val="18"/>
          <w:szCs w:val="18"/>
          <w:b w:val="1"/>
          <w:bCs w:val="1"/>
          <w:color w:val="auto"/>
        </w:rPr>
        <w:t>ROIC</w:t>
      </w:r>
      <w:r>
        <w:rPr>
          <w:rFonts w:ascii="Times New Roman" w:cs="Times New Roman" w:eastAsia="Times New Roman" w:hAnsi="Times New Roman"/>
          <w:sz w:val="18"/>
          <w:szCs w:val="18"/>
          <w:color w:val="auto"/>
        </w:rPr>
        <w:t>”) aggregated for all New Stores (as defined below) during the Performance Period (“</w:t>
      </w:r>
      <w:r>
        <w:rPr>
          <w:rFonts w:ascii="Times New Roman" w:cs="Times New Roman" w:eastAsia="Times New Roman" w:hAnsi="Times New Roman"/>
          <w:sz w:val="18"/>
          <w:szCs w:val="18"/>
          <w:b w:val="1"/>
          <w:bCs w:val="1"/>
          <w:color w:val="auto"/>
        </w:rPr>
        <w:t>Aggregate ROIC</w:t>
      </w:r>
      <w:r>
        <w:rPr>
          <w:rFonts w:ascii="Times New Roman" w:cs="Times New Roman" w:eastAsia="Times New Roman" w:hAnsi="Times New Roman"/>
          <w:sz w:val="18"/>
          <w:szCs w:val="18"/>
          <w:color w:val="auto"/>
        </w:rPr>
        <w:t>”). If Aggregate ROIC falls between the minimum level and target level or between the target level and maximum level (each such level as set forth below), then the percentage of ROIC-Based RSUs and the percentage of the ROIC-Based Cash Amount that shall be deemed earned shall be determined using straight-line interpolation between the two applicable levels. The ROIC-Based RSUs and ROIC-Based Cash Amount that are deemed earned in accordance with this Section 2(c) shall be payable as of (and not before) the Settlement Date provided that the Participant continues to provide Service to the Company until the close of business on the Settlement Date (except as otherwise provided in Section 4).</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ROIC</w:t>
            </w:r>
          </w:p>
        </w:tc>
        <w:tc>
          <w:tcPr>
            <w:tcW w:w="2260" w:type="dxa"/>
            <w:vAlign w:val="bottom"/>
            <w:gridSpan w:val="2"/>
          </w:tcPr>
          <w:p>
            <w:pPr>
              <w:jc w:val="center"/>
              <w:ind w:left="834"/>
              <w:spacing w:after="0"/>
              <w:rPr>
                <w:sz w:val="20"/>
                <w:szCs w:val="20"/>
                <w:color w:val="auto"/>
              </w:rPr>
            </w:pPr>
            <w:r>
              <w:rPr>
                <w:rFonts w:ascii="Times New Roman" w:cs="Times New Roman" w:eastAsia="Times New Roman" w:hAnsi="Times New Roman"/>
                <w:sz w:val="14"/>
                <w:szCs w:val="14"/>
                <w:b w:val="1"/>
                <w:bCs w:val="1"/>
                <w:color w:val="auto"/>
              </w:rPr>
              <w:t>Earned Percentage of</w:t>
            </w:r>
          </w:p>
        </w:tc>
        <w:tc>
          <w:tcPr>
            <w:tcW w:w="2860" w:type="dxa"/>
            <w:vAlign w:val="bottom"/>
            <w:gridSpan w:val="2"/>
          </w:tcPr>
          <w:p>
            <w:pPr>
              <w:jc w:val="center"/>
              <w:ind w:left="994"/>
              <w:spacing w:after="0"/>
              <w:rPr>
                <w:sz w:val="20"/>
                <w:szCs w:val="20"/>
                <w:color w:val="auto"/>
              </w:rPr>
            </w:pPr>
            <w:r>
              <w:rPr>
                <w:rFonts w:ascii="Times New Roman" w:cs="Times New Roman" w:eastAsia="Times New Roman" w:hAnsi="Times New Roman"/>
                <w:sz w:val="14"/>
                <w:szCs w:val="14"/>
                <w:b w:val="1"/>
                <w:bCs w:val="1"/>
                <w:color w:val="auto"/>
              </w:rPr>
              <w:t>Earned Percentage of ROIC-</w:t>
            </w:r>
          </w:p>
        </w:tc>
        <w:tc>
          <w:tcPr>
            <w:tcW w:w="0" w:type="dxa"/>
            <w:vAlign w:val="bottom"/>
          </w:tcPr>
          <w:p>
            <w:pPr>
              <w:spacing w:after="0"/>
              <w:rPr>
                <w:sz w:val="1"/>
                <w:szCs w:val="1"/>
                <w:color w:val="auto"/>
              </w:rPr>
            </w:pPr>
          </w:p>
        </w:tc>
      </w:tr>
      <w:tr>
        <w:trPr>
          <w:trHeight w:val="160"/>
        </w:trPr>
        <w:tc>
          <w:tcPr>
            <w:tcW w:w="326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ROIC-Based RSUs</w:t>
            </w:r>
          </w:p>
        </w:tc>
        <w:tc>
          <w:tcPr>
            <w:tcW w:w="108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Based Cash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least ___% (maximum level)</w:t>
            </w:r>
          </w:p>
        </w:tc>
        <w:tc>
          <w:tcPr>
            <w:tcW w:w="9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200%</w:t>
            </w:r>
          </w:p>
        </w:tc>
        <w:tc>
          <w:tcPr>
            <w:tcW w:w="10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___% (target level)</w:t>
            </w:r>
          </w:p>
        </w:tc>
        <w:tc>
          <w:tcPr>
            <w:tcW w:w="2260" w:type="dxa"/>
            <w:vAlign w:val="bottom"/>
            <w:gridSpan w:val="2"/>
          </w:tcPr>
          <w:p>
            <w:pPr>
              <w:jc w:val="center"/>
              <w:ind w:left="834"/>
              <w:spacing w:after="0"/>
              <w:rPr>
                <w:sz w:val="20"/>
                <w:szCs w:val="20"/>
                <w:color w:val="auto"/>
              </w:rPr>
            </w:pPr>
            <w:r>
              <w:rPr>
                <w:rFonts w:ascii="Times New Roman" w:cs="Times New Roman" w:eastAsia="Times New Roman" w:hAnsi="Times New Roman"/>
                <w:sz w:val="18"/>
                <w:szCs w:val="18"/>
                <w:color w:val="auto"/>
                <w:w w:val="99"/>
              </w:rPr>
              <w:t>100%</w:t>
            </w:r>
          </w:p>
        </w:tc>
        <w:tc>
          <w:tcPr>
            <w:tcW w:w="2860" w:type="dxa"/>
            <w:vAlign w:val="bottom"/>
            <w:gridSpan w:val="2"/>
          </w:tcPr>
          <w:p>
            <w:pPr>
              <w:jc w:val="center"/>
              <w:ind w:left="99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least ___% (minimum level)</w:t>
            </w:r>
          </w:p>
        </w:tc>
        <w:tc>
          <w:tcPr>
            <w:tcW w:w="2260" w:type="dxa"/>
            <w:vAlign w:val="bottom"/>
            <w:gridSpan w:val="2"/>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rPr>
              <w:t>50%</w:t>
            </w:r>
          </w:p>
        </w:tc>
        <w:tc>
          <w:tcPr>
            <w:tcW w:w="2860" w:type="dxa"/>
            <w:vAlign w:val="bottom"/>
            <w:gridSpan w:val="2"/>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___%</w:t>
            </w:r>
          </w:p>
        </w:tc>
        <w:tc>
          <w:tcPr>
            <w:tcW w:w="226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color w:val="auto"/>
                <w:w w:val="99"/>
              </w:rPr>
              <w:t>0%</w:t>
            </w:r>
          </w:p>
        </w:tc>
        <w:tc>
          <w:tcPr>
            <w:tcW w:w="2860" w:type="dxa"/>
            <w:vAlign w:val="bottom"/>
            <w:gridSpan w:val="2"/>
          </w:tcPr>
          <w:p>
            <w:pPr>
              <w:jc w:val="center"/>
              <w:ind w:left="974"/>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1436"/>
        <w:spacing w:after="0" w:line="256" w:lineRule="auto"/>
        <w:tabs>
          <w:tab w:leader="none" w:pos="18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ROIC for any New Store shall be calculated on a fiscal period basis based on store-level net income (loss), plus interest expense (net), loss on debt retirement, provision (benefit) for income taxes, depreciation and amortization expense, general and administrative expenses and pre-opening costs, but shall be exclusive of national marketing costs and gain (loss) on asset disposals, over net development costs (including equipment, building, leaseholds and site costs, net of tenant improvement allowances received or receivable from landlords and excluding preopening costs, capitalized interest and games added during the first six months of operation), and shall be determined in accordance with GAAP.</w:t>
      </w:r>
    </w:p>
    <w:p>
      <w:pPr>
        <w:spacing w:after="0" w:line="187" w:lineRule="exact"/>
        <w:rPr>
          <w:rFonts w:ascii="Times New Roman" w:cs="Times New Roman" w:eastAsia="Times New Roman" w:hAnsi="Times New Roman"/>
          <w:sz w:val="18"/>
          <w:szCs w:val="18"/>
          <w:color w:val="auto"/>
        </w:rPr>
      </w:pPr>
    </w:p>
    <w:p>
      <w:pPr>
        <w:ind w:right="300" w:firstLine="1436"/>
        <w:spacing w:after="0" w:line="282" w:lineRule="auto"/>
        <w:tabs>
          <w:tab w:leader="none" w:pos="18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ROIC for any New Store, ROIC by fiscal period will be calculated for each of the first 24 “full fiscal periods” of operation that fall</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1020"/>
          </w:cols>
          <w:pgMar w:left="440" w:top="251" w:right="439" w:bottom="1440" w:gutter="0" w:footer="0" w:header="0"/>
        </w:sectPr>
      </w:pPr>
    </w:p>
    <w:bookmarkStart w:id="46" w:name="page47"/>
    <w:bookmarkEnd w:id="4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Performance Period. A partial fiscal period in which a New Store is operational for at least fourteen (14) calendar days will be counted as a “full fiscal period” for purposes of determining the first 24 full fiscal periods. For any such partial fiscal period, ROIC will be grossed up (calculated on a daily basis) to a full period and then included in the calculation. For avoidance of doubt, any fiscal period during the Performance Period in which a New Store is not operational for at least fourteen (14) calendar days shall be excluded for all purposes.</w:t>
      </w:r>
    </w:p>
    <w:p>
      <w:pPr>
        <w:spacing w:after="0" w:line="176" w:lineRule="exact"/>
        <w:rPr>
          <w:sz w:val="20"/>
          <w:szCs w:val="20"/>
          <w:color w:val="auto"/>
        </w:rPr>
      </w:pPr>
    </w:p>
    <w:p>
      <w:pPr>
        <w:ind w:right="20" w:firstLine="1436"/>
        <w:spacing w:after="0" w:line="286" w:lineRule="auto"/>
        <w:tabs>
          <w:tab w:leader="none" w:pos="1873"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Store</w:t>
      </w:r>
      <w:r>
        <w:rPr>
          <w:rFonts w:ascii="Times New Roman" w:cs="Times New Roman" w:eastAsia="Times New Roman" w:hAnsi="Times New Roman"/>
          <w:sz w:val="18"/>
          <w:szCs w:val="18"/>
          <w:color w:val="auto"/>
        </w:rPr>
        <w:t>” shall mean a Company store for which any one of the first 24 “full fiscal periods” occurs during the Performance Period, but shall not include a Company store as a result of a reopening or relocation during the Performance Period.</w:t>
      </w:r>
    </w:p>
    <w:p>
      <w:pPr>
        <w:spacing w:after="0" w:line="158" w:lineRule="exact"/>
        <w:rPr>
          <w:rFonts w:ascii="Times New Roman" w:cs="Times New Roman" w:eastAsia="Times New Roman" w:hAnsi="Times New Roman"/>
          <w:sz w:val="18"/>
          <w:szCs w:val="18"/>
          <w:color w:val="auto"/>
        </w:rPr>
      </w:pPr>
    </w:p>
    <w:p>
      <w:pPr>
        <w:ind w:left="1820" w:hanging="384"/>
        <w:spacing w:after="0"/>
        <w:tabs>
          <w:tab w:leader="none" w:pos="1820"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New Stores located in Canada, return on invested capital shall be calculated in local currency, without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w:t>
      </w:r>
    </w:p>
    <w:p>
      <w:pPr>
        <w:spacing w:after="0" w:line="206" w:lineRule="exact"/>
        <w:rPr>
          <w:rFonts w:ascii="Times New Roman" w:cs="Times New Roman" w:eastAsia="Times New Roman" w:hAnsi="Times New Roman"/>
          <w:sz w:val="18"/>
          <w:szCs w:val="18"/>
          <w:color w:val="auto"/>
        </w:rPr>
      </w:pPr>
    </w:p>
    <w:p>
      <w:pPr>
        <w:ind w:right="200" w:firstLine="1436"/>
        <w:spacing w:after="0" w:line="282" w:lineRule="auto"/>
        <w:tabs>
          <w:tab w:leader="none" w:pos="1863"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ROIC will be calculated by averaging ROIC by fiscal period for all New Stores during the Performance Period in accordance with (i) through (v) above.</w:t>
      </w:r>
    </w:p>
    <w:p>
      <w:pPr>
        <w:spacing w:after="0" w:line="161"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885"/>
        <w:spacing w:after="0" w:line="255" w:lineRule="auto"/>
        <w:tabs>
          <w:tab w:leader="none" w:pos="126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Subject to the terms of the Plan and this Award Agreement, including, without limitation, Section 4 hereof, and to the extent that it would not cause a violation of Section 409A, each Earned RSU shall be settled as soon as practicable following the Closing Date, and in all events no later than [●], as determined solely by the Company (the date of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Earned RSUs shall be converted into an equivalent number of Shares, which will be distributed to the Participant or the Participant’s legal representative. The Company may at its election either</w:t>
      </w:r>
    </w:p>
    <w:p>
      <w:pPr>
        <w:spacing w:after="0" w:line="2" w:lineRule="exact"/>
        <w:rPr>
          <w:rFonts w:ascii="Times New Roman" w:cs="Times New Roman" w:eastAsia="Times New Roman" w:hAnsi="Times New Roman"/>
          <w:sz w:val="18"/>
          <w:szCs w:val="18"/>
          <w:color w:val="auto"/>
        </w:rPr>
      </w:pPr>
    </w:p>
    <w:p>
      <w:pPr>
        <w:jc w:val="both"/>
        <w:ind w:right="420" w:firstLine="4"/>
        <w:spacing w:after="0" w:line="255"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Settlement Date, issue a certificate representing the Shares subject to this Agreement, or (b) not issue any certificate representing Shares subject to this Award Agreement and instead document the Participant’s interest in the Shares by registering the Shares with the Company’s transfer agent (or another custodian selected by the Company) in book-entry form.</w:t>
      </w:r>
    </w:p>
    <w:p>
      <w:pPr>
        <w:spacing w:after="0" w:line="186" w:lineRule="exact"/>
        <w:rPr>
          <w:rFonts w:ascii="Times New Roman" w:cs="Times New Roman" w:eastAsia="Times New Roman" w:hAnsi="Times New Roman"/>
          <w:sz w:val="18"/>
          <w:szCs w:val="18"/>
          <w:color w:val="auto"/>
        </w:rPr>
      </w:pPr>
    </w:p>
    <w:p>
      <w:pPr>
        <w:ind w:right="280" w:firstLine="885"/>
        <w:spacing w:after="0" w:line="266" w:lineRule="auto"/>
        <w:tabs>
          <w:tab w:leader="none" w:pos="127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Subject to the terms of the Plan and this Award Agreement, including, without limitation, Section 4 hereof, and to the extent that it would not cause a violation of Section 409A, any Earned Cash Amount shall be paid to the Participant or the Participant’s legal representative on the Settlement Date.</w:t>
      </w:r>
    </w:p>
    <w:p>
      <w:pPr>
        <w:spacing w:after="0" w:line="176" w:lineRule="exact"/>
        <w:rPr>
          <w:rFonts w:ascii="Times New Roman" w:cs="Times New Roman" w:eastAsia="Times New Roman" w:hAnsi="Times New Roman"/>
          <w:sz w:val="18"/>
          <w:szCs w:val="18"/>
          <w:color w:val="auto"/>
        </w:rPr>
      </w:pPr>
    </w:p>
    <w:p>
      <w:pPr>
        <w:ind w:firstLine="885"/>
        <w:spacing w:after="0" w:line="282" w:lineRule="auto"/>
        <w:tabs>
          <w:tab w:leader="none" w:pos="126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Subject to Clawback Policy</w:t>
      </w:r>
      <w:r>
        <w:rPr>
          <w:rFonts w:ascii="Times New Roman" w:cs="Times New Roman" w:eastAsia="Times New Roman" w:hAnsi="Times New Roman"/>
          <w:sz w:val="18"/>
          <w:szCs w:val="18"/>
          <w:color w:val="auto"/>
        </w:rPr>
        <w:t>. The Participant agrees and acknowledges that the Participant is bound by, and the Award is subject to, any clawback policy adopted by the Committee with respect to performance-based compensation.</w:t>
      </w:r>
    </w:p>
    <w:p>
      <w:pPr>
        <w:spacing w:after="0" w:line="161"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herein to the contrary:</w:t>
      </w:r>
    </w:p>
    <w:p>
      <w:pPr>
        <w:spacing w:after="0" w:line="225" w:lineRule="exact"/>
        <w:rPr>
          <w:rFonts w:ascii="Times New Roman" w:cs="Times New Roman" w:eastAsia="Times New Roman" w:hAnsi="Times New Roman"/>
          <w:sz w:val="18"/>
          <w:szCs w:val="18"/>
          <w:color w:val="auto"/>
        </w:rPr>
      </w:pPr>
    </w:p>
    <w:p>
      <w:pPr>
        <w:ind w:right="120" w:firstLine="885"/>
        <w:spacing w:after="0" w:line="282" w:lineRule="auto"/>
        <w:tabs>
          <w:tab w:leader="none" w:pos="126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at any time prior to the Settlement Date, the Award shall be settled in accordance with Section 3 hereof in respect of the number of RSUs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10</w:t>
      </w:r>
    </w:p>
    <w:p>
      <w:pPr>
        <w:sectPr>
          <w:pgSz w:w="11900" w:h="16838" w:orient="portrait"/>
          <w:cols w:equalWidth="0" w:num="1">
            <w:col w:w="11020"/>
          </w:cols>
          <w:pgMar w:left="440" w:top="270" w:right="439" w:bottom="1440" w:gutter="0" w:footer="0" w:header="0"/>
        </w:sectPr>
      </w:pPr>
    </w:p>
    <w:bookmarkStart w:id="47" w:name="page48"/>
    <w:bookmarkEnd w:id="47"/>
    <w:p>
      <w:pPr>
        <w:ind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percentage of the Target Cash Amount that would have been earned pursuant to this Agreement based on actual performance during the full Performance Period, notwithstanding the termination of the Participant’s Service. 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w:t>
      </w:r>
    </w:p>
    <w:p>
      <w:pPr>
        <w:ind w:right="740" w:firstLine="4"/>
        <w:spacing w:after="0" w:line="26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under an accident and health plan covering employees of Dave &amp; Buster’s Management Corporation, Inc. The determination of the Participant’s Disability shall be made in good faith by a physician reasonably acceptable to the Company.</w:t>
      </w:r>
    </w:p>
    <w:p>
      <w:pPr>
        <w:spacing w:after="0" w:line="179" w:lineRule="exact"/>
        <w:rPr>
          <w:rFonts w:ascii="Times New Roman" w:cs="Times New Roman" w:eastAsia="Times New Roman" w:hAnsi="Times New Roman"/>
          <w:sz w:val="18"/>
          <w:szCs w:val="18"/>
          <w:color w:val="auto"/>
        </w:rPr>
      </w:pPr>
    </w:p>
    <w:p>
      <w:pPr>
        <w:ind w:right="20" w:firstLine="885"/>
        <w:spacing w:after="0" w:line="252" w:lineRule="auto"/>
        <w:tabs>
          <w:tab w:leader="none" w:pos="12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prior to the Settlement Date, the Award shall be settled in accordance with Section 3 hereof in respect of the number of RSUs and the percentage of the Target Cash Amount that would have been earned pursuant to this Agreement based on actual performance during the full Performance Period, notwithstanding the termination of the Participant’s Service, prorated to reflect the number of days in the Performance Period that preceded or included the date of termination of Service. 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 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misdemeanor involving fraud, theft or moral turpitude, or any other reckless or willful misconduct that is contrary to the best interests of the Company or materially and adversely affects the reputation of the Company.</w:t>
      </w:r>
    </w:p>
    <w:p>
      <w:pPr>
        <w:spacing w:after="0" w:line="198" w:lineRule="exact"/>
        <w:rPr>
          <w:rFonts w:ascii="Times New Roman" w:cs="Times New Roman" w:eastAsia="Times New Roman" w:hAnsi="Times New Roman"/>
          <w:sz w:val="18"/>
          <w:szCs w:val="18"/>
          <w:color w:val="auto"/>
        </w:rPr>
      </w:pPr>
    </w:p>
    <w:p>
      <w:pPr>
        <w:ind w:firstLine="885"/>
        <w:spacing w:after="0" w:line="256" w:lineRule="auto"/>
        <w:tabs>
          <w:tab w:leader="none" w:pos="126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a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termination by reason of death or Disability), in either case prior to the Settlement Date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and (ii) either within ninety (90) days before or within twelve (12) months following the occurrence of a Change of Control of the Company (the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the Award shall be settled in accordance with Section 3 hereof in respect of the number of RSUs and the percentage of the Target Cash Amount that would have been earned pursuant to this Agreement based on actual performance during the full Performance Period, notwithstanding</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10</w:t>
      </w:r>
    </w:p>
    <w:p>
      <w:pPr>
        <w:sectPr>
          <w:pgSz w:w="11900" w:h="16838" w:orient="portrait"/>
          <w:cols w:equalWidth="0" w:num="1">
            <w:col w:w="11020"/>
          </w:cols>
          <w:pgMar w:left="440" w:top="270"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termination of the Participant’s Service, prorated to reflect the number of days in the Performance Period that preceded or included the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Specified Termination should occur prior to a Change of Control of the Company, the Award shall remain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for ninety (90) days following such Specified Termination in order to determine whether such Specified Termination shall have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 Protected Period such that the Award shall be eligible for settlement pursuant to this Section 4(c). For purposes of this Award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w:t>
      </w:r>
    </w:p>
    <w:p>
      <w:pPr>
        <w:spacing w:after="0" w:line="9" w:lineRule="exact"/>
        <w:rPr>
          <w:sz w:val="20"/>
          <w:szCs w:val="20"/>
          <w:color w:val="auto"/>
        </w:rPr>
      </w:pPr>
    </w:p>
    <w:p>
      <w:pPr>
        <w:ind w:right="60" w:firstLine="4"/>
        <w:spacing w:after="0" w:line="253"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87" w:lineRule="exact"/>
        <w:rPr>
          <w:rFonts w:ascii="Times New Roman" w:cs="Times New Roman" w:eastAsia="Times New Roman" w:hAnsi="Times New Roman"/>
          <w:sz w:val="18"/>
          <w:szCs w:val="18"/>
          <w:color w:val="auto"/>
        </w:rPr>
      </w:pPr>
    </w:p>
    <w:p>
      <w:pPr>
        <w:jc w:val="both"/>
        <w:ind w:right="160" w:firstLine="885"/>
        <w:spacing w:after="0" w:line="266" w:lineRule="auto"/>
        <w:tabs>
          <w:tab w:leader="none" w:pos="127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prior to the Settlement Date for any reason other than pursuant to </w:t>
      </w:r>
      <w:r>
        <w:rPr>
          <w:rFonts w:ascii="Times New Roman" w:cs="Times New Roman" w:eastAsia="Times New Roman" w:hAnsi="Times New Roman"/>
          <w:sz w:val="18"/>
          <w:szCs w:val="18"/>
          <w:u w:val="single" w:color="auto"/>
          <w:color w:val="auto"/>
        </w:rPr>
        <w:t>Sections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4(c)</w:t>
      </w:r>
      <w:r>
        <w:rPr>
          <w:rFonts w:ascii="Times New Roman" w:cs="Times New Roman" w:eastAsia="Times New Roman" w:hAnsi="Times New Roman"/>
          <w:sz w:val="18"/>
          <w:szCs w:val="18"/>
          <w:color w:val="auto"/>
        </w:rPr>
        <w:t xml:space="preserve"> above, the Award, including any Earned RSUs and any Earned Cash Amount, shall immediately terminate and be forfeited without consideration.</w:t>
      </w:r>
    </w:p>
    <w:p>
      <w:pPr>
        <w:spacing w:after="0" w:line="176" w:lineRule="exact"/>
        <w:rPr>
          <w:rFonts w:ascii="Times New Roman" w:cs="Times New Roman" w:eastAsia="Times New Roman" w:hAnsi="Times New Roman"/>
          <w:sz w:val="18"/>
          <w:szCs w:val="18"/>
          <w:color w:val="auto"/>
        </w:rPr>
      </w:pPr>
    </w:p>
    <w:p>
      <w:pPr>
        <w:ind w:right="180" w:firstLine="444"/>
        <w:spacing w:after="0" w:line="266" w:lineRule="auto"/>
        <w:tabs>
          <w:tab w:leader="none" w:pos="7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6" w:lineRule="exact"/>
        <w:rPr>
          <w:rFonts w:ascii="Times New Roman" w:cs="Times New Roman" w:eastAsia="Times New Roman" w:hAnsi="Times New Roman"/>
          <w:sz w:val="18"/>
          <w:szCs w:val="18"/>
          <w:color w:val="auto"/>
        </w:rPr>
      </w:pPr>
    </w:p>
    <w:p>
      <w:pPr>
        <w:ind w:right="260" w:firstLine="444"/>
        <w:spacing w:after="0" w:line="282" w:lineRule="auto"/>
        <w:tabs>
          <w:tab w:leader="none" w:pos="7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ind w:right="260" w:firstLine="444"/>
        <w:spacing w:after="0" w:line="266" w:lineRule="auto"/>
        <w:tabs>
          <w:tab w:leader="none" w:pos="7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herein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right="100" w:firstLine="881"/>
        <w:spacing w:after="0" w:line="256"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10</w:t>
      </w:r>
    </w:p>
    <w:p>
      <w:pPr>
        <w:sectPr>
          <w:pgSz w:w="11900" w:h="16838" w:orient="portrait"/>
          <w:cols w:equalWidth="0" w:num="1">
            <w:col w:w="11020"/>
          </w:cols>
          <w:pgMar w:left="440" w:top="270" w:right="439" w:bottom="1440" w:gutter="0" w:footer="0" w:header="0"/>
        </w:sectPr>
      </w:pPr>
    </w:p>
    <w:bookmarkStart w:id="49" w:name="page50"/>
    <w:bookmarkEnd w:id="4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Section 7 shall survive exercise, termination or settlement of the RSU and termination or satisfaction of the Award Agreement.</w:t>
      </w:r>
    </w:p>
    <w:p>
      <w:pPr>
        <w:spacing w:after="0" w:line="225" w:lineRule="exact"/>
        <w:rPr>
          <w:sz w:val="20"/>
          <w:szCs w:val="20"/>
          <w:color w:val="auto"/>
        </w:rPr>
      </w:pPr>
    </w:p>
    <w:p>
      <w:pPr>
        <w:ind w:right="60" w:firstLine="444"/>
        <w:spacing w:after="0" w:line="255" w:lineRule="auto"/>
        <w:tabs>
          <w:tab w:leader="none" w:pos="7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85" w:lineRule="exact"/>
        <w:rPr>
          <w:rFonts w:ascii="Times New Roman" w:cs="Times New Roman" w:eastAsia="Times New Roman" w:hAnsi="Times New Roman"/>
          <w:sz w:val="18"/>
          <w:szCs w:val="18"/>
          <w:color w:val="auto"/>
        </w:rPr>
      </w:pPr>
    </w:p>
    <w:p>
      <w:pPr>
        <w:ind w:right="60" w:firstLine="444"/>
        <w:spacing w:after="0" w:line="255" w:lineRule="auto"/>
        <w:tabs>
          <w:tab w:leader="none" w:pos="7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1020"/>
          </w:cols>
          <w:pgMar w:left="440" w:top="270" w:right="439" w:bottom="1440" w:gutter="0" w:footer="0" w:header="0"/>
        </w:sectPr>
      </w:pPr>
    </w:p>
    <w:bookmarkStart w:id="50" w:name="page51"/>
    <w:bookmarkEnd w:id="50"/>
    <w:p>
      <w:pPr>
        <w:ind w:right="240" w:firstLine="444"/>
        <w:spacing w:after="0" w:line="266"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76" w:lineRule="exact"/>
        <w:rPr>
          <w:rFonts w:ascii="Times New Roman" w:cs="Times New Roman" w:eastAsia="Times New Roman" w:hAnsi="Times New Roman"/>
          <w:sz w:val="18"/>
          <w:szCs w:val="18"/>
          <w:color w:val="auto"/>
        </w:rPr>
      </w:pPr>
    </w:p>
    <w:p>
      <w:pPr>
        <w:ind w:right="60" w:firstLine="444"/>
        <w:spacing w:after="0" w:line="261" w:lineRule="auto"/>
        <w:tabs>
          <w:tab w:leader="none" w:pos="8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rFonts w:ascii="Times New Roman" w:cs="Times New Roman" w:eastAsia="Times New Roman" w:hAnsi="Times New Roman"/>
          <w:sz w:val="18"/>
          <w:szCs w:val="18"/>
          <w:color w:val="auto"/>
        </w:rPr>
      </w:pPr>
    </w:p>
    <w:p>
      <w:pPr>
        <w:jc w:val="both"/>
        <w:ind w:right="240" w:firstLine="444"/>
        <w:spacing w:after="0" w:line="266"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6" w:lineRule="exact"/>
        <w:rPr>
          <w:rFonts w:ascii="Times New Roman" w:cs="Times New Roman" w:eastAsia="Times New Roman" w:hAnsi="Times New Roman"/>
          <w:sz w:val="18"/>
          <w:szCs w:val="18"/>
          <w:color w:val="auto"/>
        </w:rPr>
      </w:pPr>
    </w:p>
    <w:p>
      <w:pPr>
        <w:ind w:right="20" w:firstLine="444"/>
        <w:spacing w:after="0" w:line="282"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right="140" w:firstLine="444"/>
        <w:spacing w:after="0" w:line="261"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0"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85"/>
        <w:spacing w:after="0" w:line="254" w:lineRule="auto"/>
        <w:tabs>
          <w:tab w:leader="none" w:pos="12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10</w:t>
      </w:r>
    </w:p>
    <w:p>
      <w:pPr>
        <w:sectPr>
          <w:pgSz w:w="11900" w:h="16838" w:orient="portrait"/>
          <w:cols w:equalWidth="0" w:num="1">
            <w:col w:w="11020"/>
          </w:cols>
          <w:pgMar w:left="440" w:top="270" w:right="439" w:bottom="1440" w:gutter="0" w:footer="0" w:header="0"/>
        </w:sectPr>
      </w:pPr>
    </w:p>
    <w:bookmarkStart w:id="51" w:name="page52"/>
    <w:bookmarkEnd w:id="51"/>
    <w:p>
      <w:pPr>
        <w:ind w:right="40" w:firstLine="885"/>
        <w:spacing w:after="0" w:line="266" w:lineRule="auto"/>
        <w:tabs>
          <w:tab w:leader="none" w:pos="12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6" w:lineRule="exact"/>
        <w:rPr>
          <w:rFonts w:ascii="Times New Roman" w:cs="Times New Roman" w:eastAsia="Times New Roman" w:hAnsi="Times New Roman"/>
          <w:sz w:val="18"/>
          <w:szCs w:val="18"/>
          <w:color w:val="auto"/>
        </w:rPr>
      </w:pPr>
    </w:p>
    <w:p>
      <w:pPr>
        <w:ind w:right="160" w:firstLine="444"/>
        <w:spacing w:after="0" w:line="258"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200" w:firstLine="444"/>
        <w:spacing w:after="0" w:line="282"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w:t>
      </w:r>
    </w:p>
    <w:p>
      <w:pPr>
        <w:spacing w:after="0" w:line="161" w:lineRule="exact"/>
        <w:rPr>
          <w:rFonts w:ascii="Times New Roman" w:cs="Times New Roman" w:eastAsia="Times New Roman" w:hAnsi="Times New Roman"/>
          <w:sz w:val="18"/>
          <w:szCs w:val="18"/>
          <w:color w:val="auto"/>
        </w:rPr>
      </w:pPr>
    </w:p>
    <w:p>
      <w:pPr>
        <w:ind w:right="420" w:firstLine="444"/>
        <w:spacing w:after="0" w:line="282"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RSUs and Cash Award granted hereunder at any time, subject to the terms of the Plan.</w:t>
      </w:r>
    </w:p>
    <w:p>
      <w:pPr>
        <w:spacing w:after="0" w:line="161" w:lineRule="exact"/>
        <w:rPr>
          <w:rFonts w:ascii="Times New Roman" w:cs="Times New Roman" w:eastAsia="Times New Roman" w:hAnsi="Times New Roman"/>
          <w:sz w:val="18"/>
          <w:szCs w:val="18"/>
          <w:color w:val="auto"/>
        </w:rPr>
      </w:pPr>
    </w:p>
    <w:p>
      <w:pPr>
        <w:ind w:right="180" w:firstLine="444"/>
        <w:spacing w:after="0" w:line="282"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20" w:firstLine="444"/>
        <w:spacing w:after="0" w:line="255"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9" w:lineRule="exact"/>
        <w:rPr>
          <w:rFonts w:ascii="Times New Roman" w:cs="Times New Roman" w:eastAsia="Times New Roman" w:hAnsi="Times New Roman"/>
          <w:sz w:val="18"/>
          <w:szCs w:val="18"/>
          <w:color w:val="auto"/>
        </w:rPr>
      </w:pPr>
    </w:p>
    <w:p>
      <w:pPr>
        <w:ind w:right="560" w:firstLine="444"/>
        <w:spacing w:after="0" w:line="282" w:lineRule="auto"/>
        <w:tabs>
          <w:tab w:leader="none" w:pos="8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10</w:t>
      </w:r>
    </w:p>
    <w:p>
      <w:pPr>
        <w:sectPr>
          <w:pgSz w:w="11900" w:h="16838" w:orient="portrait"/>
          <w:cols w:equalWidth="0" w:num="1">
            <w:col w:w="11020"/>
          </w:cols>
          <w:pgMar w:left="440" w:top="270" w:right="439" w:bottom="1440" w:gutter="0" w:footer="0" w:header="0"/>
        </w:sectPr>
      </w:pPr>
    </w:p>
    <w:bookmarkStart w:id="52" w:name="page53"/>
    <w:bookmarkEnd w:id="52"/>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the Participant have executed this Restricted Stock Unit and Cash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2795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D&amp;B Team Member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Restricted Stock Unit and Cash Award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10</w:t>
      </w:r>
    </w:p>
    <w:p>
      <w:pPr>
        <w:sectPr>
          <w:pgSz w:w="11900" w:h="16838" w:orient="portrait"/>
          <w:cols w:equalWidth="0" w:num="1">
            <w:col w:w="11020"/>
          </w:cols>
          <w:pgMar w:left="440" w:top="270"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(Time-Based)</w:t>
      </w:r>
    </w:p>
    <w:p>
      <w:pPr>
        <w:spacing w:after="0" w:line="203" w:lineRule="exact"/>
        <w:rPr>
          <w:sz w:val="20"/>
          <w:szCs w:val="20"/>
          <w:color w:val="auto"/>
        </w:rPr>
      </w:pPr>
    </w:p>
    <w:p>
      <w:pPr>
        <w:ind w:right="460" w:firstLine="441"/>
        <w:spacing w:after="0" w:line="286" w:lineRule="auto"/>
        <w:rPr>
          <w:sz w:val="20"/>
          <w:szCs w:val="20"/>
          <w:color w:val="auto"/>
        </w:rPr>
      </w:pPr>
      <w:r>
        <w:rPr>
          <w:rFonts w:ascii="Times New Roman" w:cs="Times New Roman" w:eastAsia="Times New Roman" w:hAnsi="Times New Roman"/>
          <w:sz w:val="18"/>
          <w:szCs w:val="18"/>
          <w:color w:val="auto"/>
        </w:rPr>
        <w:t>THIS RESTRICTED STOCK UNIT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in the best interests of the Company and its stockholders to grant the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restricted stock units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u w:val="single" w:color="auto"/>
          <w:color w:val="auto"/>
        </w:rPr>
        <w:t>Grant of Award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Restricted Stock Unit Component</w:t>
      </w:r>
      <w:r>
        <w:rPr>
          <w:rFonts w:ascii="Times New Roman" w:cs="Times New Roman" w:eastAsia="Times New Roman" w:hAnsi="Times New Roman"/>
          <w:sz w:val="18"/>
          <w:szCs w:val="18"/>
          <w:color w:val="auto"/>
        </w:rPr>
        <w:t>. The Company hereby grants to the Participant [●] RSUs. The RSU Award will vest in [●] installments as following: [●] RSUs on [●], [●] RSUs on [●], and [●] RSUs on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Each RSU represents one notional share of common stock, par value $.01 per share, of the Company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u w:val="single" w:color="auto"/>
          <w:color w:val="auto"/>
        </w:rPr>
        <w:t>Settlement;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80"/>
        <w:spacing w:after="0"/>
        <w:tabs>
          <w:tab w:leader="none" w:pos="12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Subject to the terms of the Plan and this Award Agreement, including, without limitation, Section 4 hereof, and to the extent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would not cause a violation of Section 409A, each RSU shall be settled as soon as practicable following the applicable date of vesting, and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no later than sixty (60) days following the applicable date of vesting, as determined solely by the Company (the date of settlement,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RSUs shall be converted into an equivalent number of Shares, which will be distributed to the Participant or the Participant’s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The Company may at its election either (a) on or after the Settlement Date, issue a certificate representing the Shares subject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 Agreement, or (b) not issue any certificate representing Shares subject to this Award Agreement and instead document the Participant’s interest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by registering the Shares with the Company’s transfer agent (or another custodian selected by the Company)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7"/>
          <w:szCs w:val="17"/>
          <w:color w:val="auto"/>
        </w:rPr>
        <w:t>Breakout will depend on number of installments. Business practice is to round up beginning with first installment for any fractional shares.</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7</w:t>
      </w:r>
    </w:p>
    <w:p>
      <w:pPr>
        <w:sectPr>
          <w:pgSz w:w="11900" w:h="16838" w:orient="portrait"/>
          <w:cols w:equalWidth="0" w:num="1">
            <w:col w:w="11020"/>
          </w:cols>
          <w:pgMar w:left="440" w:top="117" w:right="439" w:bottom="1440" w:gutter="0" w:footer="0" w:header="0"/>
        </w:sectPr>
      </w:pPr>
    </w:p>
    <w:bookmarkStart w:id="54" w:name="page55"/>
    <w:bookmarkEnd w:id="54"/>
    <w:p>
      <w:pPr>
        <w:ind w:right="540" w:firstLine="885"/>
        <w:spacing w:after="0" w:line="282" w:lineRule="auto"/>
        <w:tabs>
          <w:tab w:leader="none" w:pos="12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Subject to Clawback Policy</w:t>
      </w:r>
      <w:r>
        <w:rPr>
          <w:rFonts w:ascii="Times New Roman" w:cs="Times New Roman" w:eastAsia="Times New Roman" w:hAnsi="Times New Roman"/>
          <w:sz w:val="18"/>
          <w:szCs w:val="18"/>
          <w:color w:val="auto"/>
        </w:rPr>
        <w:t>. The Participant agrees and acknowledges that the Participant is bound by, and the Award is subject to, any clawback policy adopted by the Committee with respect to performance-based compensation.</w:t>
      </w:r>
    </w:p>
    <w:p>
      <w:pPr>
        <w:spacing w:after="0" w:line="161"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herein to the contrary:</w:t>
      </w:r>
    </w:p>
    <w:p>
      <w:pPr>
        <w:spacing w:after="0" w:line="225" w:lineRule="exact"/>
        <w:rPr>
          <w:rFonts w:ascii="Times New Roman" w:cs="Times New Roman" w:eastAsia="Times New Roman" w:hAnsi="Times New Roman"/>
          <w:sz w:val="18"/>
          <w:szCs w:val="18"/>
          <w:color w:val="auto"/>
        </w:rPr>
      </w:pPr>
    </w:p>
    <w:p>
      <w:pPr>
        <w:ind w:right="20" w:firstLine="885"/>
        <w:spacing w:after="0" w:line="254" w:lineRule="auto"/>
        <w:tabs>
          <w:tab w:leader="none" w:pos="12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at any time prior to the Settlement Date, any unvested RSUs shall immediately become vested, and then any unsettled portion of the Award shall be settled in accordance with Section 2 hereof in respect of the number of unsettled RSUs, notwithstanding the termination of the Participant’s Service, prorated to reflect the number of days from the Date of Grant through and including the date of death or Disability. 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86" w:lineRule="exact"/>
        <w:rPr>
          <w:rFonts w:ascii="Times New Roman" w:cs="Times New Roman" w:eastAsia="Times New Roman" w:hAnsi="Times New Roman"/>
          <w:sz w:val="18"/>
          <w:szCs w:val="18"/>
          <w:color w:val="auto"/>
        </w:rPr>
      </w:pPr>
    </w:p>
    <w:p>
      <w:pPr>
        <w:ind w:right="20" w:firstLine="885"/>
        <w:spacing w:after="0" w:line="252" w:lineRule="auto"/>
        <w:tabs>
          <w:tab w:leader="none" w:pos="12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a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termination by reason of death or Disability), in either case prior to the Settlement Date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and (ii) either within ninety (90) days before or within twelve (12) months following the occurrence of a Change of Control of the Company (the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xml:space="preserve">”), any unvested RSUs shall immediately become vested, and then any unsettled portion of the Award shall be settled in accordance with Section 2 hereof in respect of the number of unsettled RSUs notwithstanding the termination of the Participant’s Service, prorated to reflect the number of days from the Date of Grant through and including the date of 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Specified Termination should occur prior to a Change of Control of the Company, the Award shall remain outstanding for ninety (90) days following such Specified Termination in order to determine whether such Specified Termination shall have occurred during a Protected Period such that the Award shall be eligible for settlement pursuant to this Section 3(b). 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7</w:t>
      </w:r>
    </w:p>
    <w:p>
      <w:pPr>
        <w:sectPr>
          <w:pgSz w:w="11900" w:h="16838" w:orient="portrait"/>
          <w:cols w:equalWidth="0" w:num="1">
            <w:col w:w="11020"/>
          </w:cols>
          <w:pgMar w:left="440" w:top="270" w:right="439" w:bottom="1440" w:gutter="0" w:footer="0" w:header="0"/>
        </w:sectPr>
      </w:pPr>
    </w:p>
    <w:bookmarkStart w:id="55" w:name="page56"/>
    <w:bookmarkEnd w:id="55"/>
    <w:p>
      <w:pPr>
        <w:ind w:right="160" w:firstLine="885"/>
        <w:spacing w:after="0" w:line="282" w:lineRule="auto"/>
        <w:tabs>
          <w:tab w:leader="none" w:pos="126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Terminations of Service</w:t>
      </w:r>
      <w:r>
        <w:rPr>
          <w:rFonts w:ascii="Times New Roman" w:cs="Times New Roman" w:eastAsia="Times New Roman" w:hAnsi="Times New Roman"/>
          <w:sz w:val="18"/>
          <w:szCs w:val="18"/>
          <w:color w:val="auto"/>
        </w:rPr>
        <w:t xml:space="preserve">. Upon a termination of the Participant’s Service prior to the Settlement Date for any reason other than pursuant to </w:t>
      </w:r>
      <w:r>
        <w:rPr>
          <w:rFonts w:ascii="Times New Roman" w:cs="Times New Roman" w:eastAsia="Times New Roman" w:hAnsi="Times New Roman"/>
          <w:sz w:val="18"/>
          <w:szCs w:val="18"/>
          <w:u w:val="single" w:color="auto"/>
          <w:color w:val="auto"/>
        </w:rPr>
        <w:t>Sections 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3(b)</w:t>
      </w:r>
      <w:r>
        <w:rPr>
          <w:rFonts w:ascii="Times New Roman" w:cs="Times New Roman" w:eastAsia="Times New Roman" w:hAnsi="Times New Roman"/>
          <w:sz w:val="18"/>
          <w:szCs w:val="18"/>
          <w:color w:val="auto"/>
        </w:rPr>
        <w:t xml:space="preserve"> above, the Award shall immediately terminate and be forfeited without consideration.</w:t>
      </w:r>
    </w:p>
    <w:p>
      <w:pPr>
        <w:spacing w:after="0" w:line="161" w:lineRule="exact"/>
        <w:rPr>
          <w:rFonts w:ascii="Times New Roman" w:cs="Times New Roman" w:eastAsia="Times New Roman" w:hAnsi="Times New Roman"/>
          <w:sz w:val="18"/>
          <w:szCs w:val="18"/>
          <w:color w:val="auto"/>
        </w:rPr>
      </w:pPr>
    </w:p>
    <w:p>
      <w:pPr>
        <w:ind w:right="180" w:firstLine="444"/>
        <w:spacing w:after="0" w:line="266" w:lineRule="auto"/>
        <w:tabs>
          <w:tab w:leader="none" w:pos="7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6" w:lineRule="exact"/>
        <w:rPr>
          <w:rFonts w:ascii="Times New Roman" w:cs="Times New Roman" w:eastAsia="Times New Roman" w:hAnsi="Times New Roman"/>
          <w:sz w:val="18"/>
          <w:szCs w:val="18"/>
          <w:color w:val="auto"/>
        </w:rPr>
      </w:pPr>
    </w:p>
    <w:p>
      <w:pPr>
        <w:ind w:right="260" w:firstLine="444"/>
        <w:spacing w:after="0" w:line="282" w:lineRule="auto"/>
        <w:tabs>
          <w:tab w:leader="none" w:pos="7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ind w:right="260" w:firstLine="444"/>
        <w:spacing w:after="0" w:line="266" w:lineRule="auto"/>
        <w:tabs>
          <w:tab w:leader="none" w:pos="7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herein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right="60" w:firstLine="881"/>
        <w:spacing w:after="0" w:line="252"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6,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7</w:t>
      </w:r>
    </w:p>
    <w:p>
      <w:pPr>
        <w:sectPr>
          <w:pgSz w:w="11900" w:h="16838" w:orient="portrait"/>
          <w:cols w:equalWidth="0" w:num="1">
            <w:col w:w="11020"/>
          </w:cols>
          <w:pgMar w:left="440" w:top="270" w:right="439" w:bottom="1440" w:gutter="0" w:footer="0" w:header="0"/>
        </w:sectPr>
      </w:pPr>
    </w:p>
    <w:bookmarkStart w:id="56" w:name="page57"/>
    <w:bookmarkEnd w:id="56"/>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Section 6 shall survive exercise, termination or settlement of the RSU and termination or satisfaction of the Award Agreement.</w:t>
      </w:r>
    </w:p>
    <w:p>
      <w:pPr>
        <w:spacing w:after="0" w:line="225" w:lineRule="exact"/>
        <w:rPr>
          <w:sz w:val="20"/>
          <w:szCs w:val="20"/>
          <w:color w:val="auto"/>
        </w:rPr>
      </w:pPr>
    </w:p>
    <w:p>
      <w:pPr>
        <w:ind w:right="60" w:firstLine="444"/>
        <w:spacing w:after="0" w:line="255" w:lineRule="auto"/>
        <w:tabs>
          <w:tab w:leader="none" w:pos="7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85" w:lineRule="exact"/>
        <w:rPr>
          <w:rFonts w:ascii="Times New Roman" w:cs="Times New Roman" w:eastAsia="Times New Roman" w:hAnsi="Times New Roman"/>
          <w:sz w:val="18"/>
          <w:szCs w:val="18"/>
          <w:color w:val="auto"/>
        </w:rPr>
      </w:pPr>
    </w:p>
    <w:p>
      <w:pPr>
        <w:ind w:right="60" w:firstLine="444"/>
        <w:spacing w:after="0" w:line="255" w:lineRule="auto"/>
        <w:tabs>
          <w:tab w:leader="none" w:pos="7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9" w:lineRule="exact"/>
        <w:rPr>
          <w:rFonts w:ascii="Times New Roman" w:cs="Times New Roman" w:eastAsia="Times New Roman" w:hAnsi="Times New Roman"/>
          <w:sz w:val="18"/>
          <w:szCs w:val="18"/>
          <w:color w:val="auto"/>
        </w:rPr>
      </w:pPr>
    </w:p>
    <w:p>
      <w:pPr>
        <w:ind w:right="340" w:firstLine="444"/>
        <w:spacing w:after="0" w:line="266" w:lineRule="auto"/>
        <w:tabs>
          <w:tab w:leader="none" w:pos="7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76" w:lineRule="exact"/>
        <w:rPr>
          <w:rFonts w:ascii="Times New Roman" w:cs="Times New Roman" w:eastAsia="Times New Roman" w:hAnsi="Times New Roman"/>
          <w:sz w:val="18"/>
          <w:szCs w:val="18"/>
          <w:color w:val="auto"/>
        </w:rPr>
      </w:pPr>
    </w:p>
    <w:p>
      <w:pPr>
        <w:ind w:right="60" w:firstLine="444"/>
        <w:spacing w:after="0" w:line="261" w:lineRule="auto"/>
        <w:tabs>
          <w:tab w:leader="none" w:pos="8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0" w:lineRule="exact"/>
        <w:rPr>
          <w:rFonts w:ascii="Times New Roman" w:cs="Times New Roman" w:eastAsia="Times New Roman" w:hAnsi="Times New Roman"/>
          <w:sz w:val="18"/>
          <w:szCs w:val="18"/>
          <w:color w:val="auto"/>
        </w:rPr>
      </w:pPr>
    </w:p>
    <w:p>
      <w:pPr>
        <w:jc w:val="both"/>
        <w:ind w:right="260" w:firstLine="444"/>
        <w:spacing w:after="0" w:line="266" w:lineRule="auto"/>
        <w:tabs>
          <w:tab w:leader="none" w:pos="8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7</w:t>
      </w:r>
    </w:p>
    <w:p>
      <w:pPr>
        <w:sectPr>
          <w:pgSz w:w="11900" w:h="16838" w:orient="portrait"/>
          <w:cols w:equalWidth="0" w:num="1">
            <w:col w:w="11020"/>
          </w:cols>
          <w:pgMar w:left="440" w:top="270" w:right="439" w:bottom="1440" w:gutter="0" w:footer="0" w:header="0"/>
        </w:sectPr>
      </w:pPr>
    </w:p>
    <w:bookmarkStart w:id="57" w:name="page58"/>
    <w:bookmarkEnd w:id="57"/>
    <w:p>
      <w:pPr>
        <w:ind w:right="20" w:firstLine="444"/>
        <w:spacing w:after="0" w:line="282" w:lineRule="auto"/>
        <w:tabs>
          <w:tab w:leader="none" w:pos="8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right="140" w:firstLine="444"/>
        <w:spacing w:after="0" w:line="261" w:lineRule="auto"/>
        <w:tabs>
          <w:tab w:leader="none" w:pos="8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0"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885"/>
        <w:spacing w:after="0" w:line="254" w:lineRule="auto"/>
        <w:tabs>
          <w:tab w:leader="none" w:pos="12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86" w:lineRule="exact"/>
        <w:rPr>
          <w:rFonts w:ascii="Times New Roman" w:cs="Times New Roman" w:eastAsia="Times New Roman" w:hAnsi="Times New Roman"/>
          <w:sz w:val="18"/>
          <w:szCs w:val="18"/>
          <w:color w:val="auto"/>
        </w:rPr>
      </w:pPr>
    </w:p>
    <w:p>
      <w:pPr>
        <w:ind w:right="40" w:firstLine="885"/>
        <w:spacing w:after="0" w:line="266" w:lineRule="auto"/>
        <w:tabs>
          <w:tab w:leader="none" w:pos="12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6" w:lineRule="exact"/>
        <w:rPr>
          <w:rFonts w:ascii="Times New Roman" w:cs="Times New Roman" w:eastAsia="Times New Roman" w:hAnsi="Times New Roman"/>
          <w:sz w:val="18"/>
          <w:szCs w:val="18"/>
          <w:color w:val="auto"/>
        </w:rPr>
      </w:pPr>
    </w:p>
    <w:p>
      <w:pPr>
        <w:ind w:right="160" w:firstLine="444"/>
        <w:spacing w:after="0" w:line="258" w:lineRule="auto"/>
        <w:tabs>
          <w:tab w:leader="none" w:pos="8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200" w:firstLine="444"/>
        <w:spacing w:after="0" w:line="282" w:lineRule="auto"/>
        <w:tabs>
          <w:tab w:leader="none" w:pos="8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w:t>
      </w:r>
    </w:p>
    <w:p>
      <w:pPr>
        <w:spacing w:after="0" w:line="161"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RSUs granted hereunder at any time, subject to the terms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7</w:t>
      </w:r>
    </w:p>
    <w:p>
      <w:pPr>
        <w:sectPr>
          <w:pgSz w:w="11900" w:h="16838" w:orient="portrait"/>
          <w:cols w:equalWidth="0" w:num="1">
            <w:col w:w="11020"/>
          </w:cols>
          <w:pgMar w:left="440" w:top="270" w:right="439" w:bottom="1440" w:gutter="0" w:footer="0" w:header="0"/>
        </w:sectPr>
      </w:pPr>
    </w:p>
    <w:bookmarkStart w:id="58" w:name="page59"/>
    <w:bookmarkEnd w:id="58"/>
    <w:p>
      <w:pPr>
        <w:ind w:right="180" w:firstLine="444"/>
        <w:spacing w:after="0" w:line="282" w:lineRule="auto"/>
        <w:tabs>
          <w:tab w:leader="none" w:pos="8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0" w:firstLine="444"/>
        <w:spacing w:after="0" w:line="255" w:lineRule="auto"/>
        <w:tabs>
          <w:tab w:leader="none" w:pos="8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Award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9" w:lineRule="exact"/>
        <w:rPr>
          <w:rFonts w:ascii="Times New Roman" w:cs="Times New Roman" w:eastAsia="Times New Roman" w:hAnsi="Times New Roman"/>
          <w:sz w:val="18"/>
          <w:szCs w:val="18"/>
          <w:color w:val="auto"/>
        </w:rPr>
      </w:pPr>
    </w:p>
    <w:p>
      <w:pPr>
        <w:ind w:right="560" w:firstLine="444"/>
        <w:spacing w:after="0" w:line="282" w:lineRule="auto"/>
        <w:tabs>
          <w:tab w:leader="none" w:pos="8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7</w:t>
      </w:r>
    </w:p>
    <w:p>
      <w:pPr>
        <w:sectPr>
          <w:pgSz w:w="11900" w:h="16838" w:orient="portrait"/>
          <w:cols w:equalWidth="0" w:num="1">
            <w:col w:w="11020"/>
          </w:cols>
          <w:pgMar w:left="440" w:top="270" w:right="439" w:bottom="1440" w:gutter="0" w:footer="0" w:header="0"/>
        </w:sectPr>
      </w:pPr>
    </w:p>
    <w:bookmarkStart w:id="59" w:name="page60"/>
    <w:bookmarkEnd w:id="59"/>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the Participant have executed this Restricted Stock Unit Agreement as of the date first set forth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17145</wp:posOffset>
            </wp:positionV>
            <wp:extent cx="26155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17145</wp:posOffset>
            </wp:positionV>
            <wp:extent cx="24523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17145</wp:posOffset>
            </wp:positionV>
            <wp:extent cx="24523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RSU Agreement –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7</w:t>
      </w:r>
    </w:p>
    <w:p>
      <w:pPr>
        <w:sectPr>
          <w:pgSz w:w="11900" w:h="16838" w:orient="portrait"/>
          <w:cols w:equalWidth="0" w:num="1">
            <w:col w:w="11020"/>
          </w:cols>
          <w:pgMar w:left="440" w:top="270" w:right="4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00" w:hanging="436"/>
        <w:spacing w:after="0" w:line="276" w:lineRule="auto"/>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20" w:hanging="424"/>
        <w:spacing w:after="0" w:line="266" w:lineRule="auto"/>
        <w:tabs>
          <w:tab w:leader="none" w:pos="8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60" w:hanging="424"/>
        <w:spacing w:after="0" w:line="266" w:lineRule="auto"/>
        <w:tabs>
          <w:tab w:leader="none" w:pos="8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20" w:hanging="424"/>
        <w:spacing w:after="0" w:line="282" w:lineRule="auto"/>
        <w:tabs>
          <w:tab w:leader="none" w:pos="8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40" w:hanging="424"/>
        <w:spacing w:after="0" w:line="313" w:lineRule="auto"/>
        <w:tabs>
          <w:tab w:leader="none" w:pos="8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43" w:lineRule="exact"/>
        <w:rPr>
          <w:rFonts w:ascii="Times New Roman" w:cs="Times New Roman" w:eastAsia="Times New Roman" w:hAnsi="Times New Roman"/>
          <w:sz w:val="17"/>
          <w:szCs w:val="17"/>
          <w:color w:val="auto"/>
        </w:rPr>
      </w:pPr>
    </w:p>
    <w:p>
      <w:pPr>
        <w:ind w:left="440" w:hanging="436"/>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60" w:hanging="424"/>
        <w:spacing w:after="0" w:line="282" w:lineRule="auto"/>
        <w:tabs>
          <w:tab w:leader="none" w:pos="8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June 11, 2019</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32156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J. Bowman,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40" w:right="120" w:hanging="436"/>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6"/>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300" w:hanging="436"/>
        <w:spacing w:after="0" w:line="276" w:lineRule="auto"/>
        <w:tabs>
          <w:tab w:leader="none" w:pos="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860" w:right="120" w:hanging="424"/>
        <w:spacing w:after="0" w:line="266" w:lineRule="auto"/>
        <w:tabs>
          <w:tab w:leader="none" w:pos="8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0" w:right="260" w:hanging="424"/>
        <w:spacing w:after="0" w:line="266" w:lineRule="auto"/>
        <w:tabs>
          <w:tab w:leader="none" w:pos="8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0" w:right="420" w:hanging="424"/>
        <w:spacing w:after="0" w:line="282" w:lineRule="auto"/>
        <w:tabs>
          <w:tab w:leader="none" w:pos="8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60" w:right="40" w:hanging="424"/>
        <w:spacing w:after="0" w:line="313" w:lineRule="auto"/>
        <w:tabs>
          <w:tab w:leader="none" w:pos="8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43" w:lineRule="exact"/>
        <w:rPr>
          <w:rFonts w:ascii="Times New Roman" w:cs="Times New Roman" w:eastAsia="Times New Roman" w:hAnsi="Times New Roman"/>
          <w:sz w:val="17"/>
          <w:szCs w:val="17"/>
          <w:color w:val="auto"/>
        </w:rPr>
      </w:pPr>
    </w:p>
    <w:p>
      <w:pPr>
        <w:ind w:left="440" w:hanging="436"/>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0" w:right="360" w:hanging="424"/>
        <w:spacing w:after="0" w:line="282" w:lineRule="auto"/>
        <w:tabs>
          <w:tab w:leader="none" w:pos="8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June 11, 2019</w:t>
      </w:r>
      <w:r>
        <w:rPr>
          <w:sz w:val="20"/>
          <w:szCs w:val="20"/>
          <w:color w:val="auto"/>
        </w:rPr>
        <w:tab/>
      </w:r>
      <w:r>
        <w:rPr>
          <w:rFonts w:ascii="Times New Roman" w:cs="Times New Roman" w:eastAsia="Times New Roman" w:hAnsi="Times New Roman"/>
          <w:sz w:val="17"/>
          <w:szCs w:val="17"/>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32156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J. Bowman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440" w:top="117" w:right="4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6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May 5, 2019 as filed with the Securities and Exchange Commission on the date hereof (the “Report”), I, Brian A. Jenkins, Chief Executive Officer of the Company, certify, pursuant to 18 U.S.C. Section 1350, that:</w:t>
      </w:r>
    </w:p>
    <w:p>
      <w:pPr>
        <w:spacing w:after="0" w:line="82" w:lineRule="exact"/>
        <w:rPr>
          <w:sz w:val="20"/>
          <w:szCs w:val="20"/>
          <w:color w:val="auto"/>
        </w:rPr>
      </w:pPr>
    </w:p>
    <w:p>
      <w:pPr>
        <w:ind w:left="860" w:right="20" w:hanging="424"/>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480" w:hanging="424"/>
        <w:spacing w:after="0" w:line="282"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17145</wp:posOffset>
            </wp:positionV>
            <wp:extent cx="2795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2019 as filed with the Securities and Exchange Commission on the date hereof (the “Report”), I, Scott J. Bowman, Chief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18 U.S.C. Section 1350, that:</w:t>
      </w:r>
    </w:p>
    <w:p>
      <w:pPr>
        <w:spacing w:after="0" w:line="112" w:lineRule="exact"/>
        <w:rPr>
          <w:sz w:val="20"/>
          <w:szCs w:val="20"/>
          <w:color w:val="auto"/>
        </w:rPr>
      </w:pPr>
    </w:p>
    <w:p>
      <w:pPr>
        <w:ind w:left="860" w:right="20" w:hanging="424"/>
        <w:spacing w:after="0" w:line="282"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860" w:right="480" w:hanging="424"/>
        <w:spacing w:after="0" w:line="282" w:lineRule="auto"/>
        <w:tabs>
          <w:tab w:leader="none" w:pos="8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17145</wp:posOffset>
            </wp:positionV>
            <wp:extent cx="2795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01"/>
    </w:lvl>
  </w:abstractNum>
  <w:abstractNum w:abstractNumId="7">
    <w:nsid w:val="3A95F874"/>
    <w:multiLevelType w:val="hybridMultilevel"/>
    <w:lvl w:ilvl="0">
      <w:lvlJc w:val="left"/>
      <w:lvlText w:val="%1."/>
      <w:numFmt w:val="decimal"/>
      <w:start w:val="1"/>
    </w:lvl>
    <w:lvl w:ilvl="1">
      <w:lvlJc w:val="left"/>
      <w:lvlText w:val="(%2)"/>
      <w:numFmt w:val="lowerLetter"/>
      <w:start w:val="1"/>
    </w:lvl>
  </w:abstractNum>
  <w:abstractNum w:abstractNumId="8">
    <w:nsid w:val="8138641"/>
    <w:multiLevelType w:val="hybridMultilevel"/>
    <w:lvl w:ilvl="0">
      <w:lvlJc w:val="left"/>
      <w:lvlText w:val="(%1)"/>
      <w:numFmt w:val="lowerLetter"/>
      <w:start w:val="35"/>
    </w:lvl>
    <w:lvl w:ilvl="1">
      <w:lvlJc w:val="left"/>
      <w:lvlText w:val="(%2)"/>
      <w:numFmt w:val="lowerLetter"/>
      <w:start w:val="2"/>
    </w:lvl>
  </w:abstractNum>
  <w:abstractNum w:abstractNumId="9">
    <w:nsid w:val="1E7FF521"/>
    <w:multiLevelType w:val="hybridMultilevel"/>
    <w:lvl w:ilvl="0">
      <w:lvlJc w:val="left"/>
      <w:lvlText w:val="%1"/>
      <w:numFmt w:val="decimal"/>
      <w:start w:val="1"/>
    </w:lvl>
    <w:lvl w:ilvl="1">
      <w:lvlJc w:val="left"/>
      <w:lvlText w:val="(%2)"/>
      <w:numFmt w:val="lowerLetter"/>
      <w:start w:val="5"/>
    </w:lvl>
  </w:abstractNum>
  <w:abstractNum w:abstractNumId="10">
    <w:nsid w:val="7C3DBD3D"/>
    <w:multiLevelType w:val="hybridMultilevel"/>
    <w:lvl w:ilvl="0">
      <w:lvlJc w:val="left"/>
      <w:lvlText w:val="%1."/>
      <w:numFmt w:val="decimal"/>
      <w:start w:val="6"/>
    </w:lvl>
    <w:lvl w:ilvl="1">
      <w:lvlJc w:val="left"/>
      <w:lvlText w:val="(%2)"/>
      <w:numFmt w:val="lowerLetter"/>
      <w:start w:val="1"/>
    </w:lvl>
  </w:abstractNum>
  <w:abstractNum w:abstractNumId="11">
    <w:nsid w:val="737B8DDC"/>
    <w:multiLevelType w:val="hybridMultilevel"/>
    <w:lvl w:ilvl="0">
      <w:lvlJc w:val="left"/>
      <w:lvlText w:val="%1"/>
      <w:numFmt w:val="decimal"/>
      <w:start w:val="1"/>
    </w:lvl>
    <w:lvl w:ilvl="1">
      <w:lvlJc w:val="left"/>
      <w:lvlText w:val="(%2)"/>
      <w:numFmt w:val="lowerLetter"/>
      <w:start w:val="2"/>
    </w:lvl>
  </w:abstractNum>
  <w:abstractNum w:abstractNumId="12">
    <w:nsid w:val="6CEAF087"/>
    <w:multiLevelType w:val="hybridMultilevel"/>
    <w:lvl w:ilvl="0">
      <w:lvlJc w:val="left"/>
      <w:lvlText w:val="%1."/>
      <w:numFmt w:val="decimal"/>
      <w:start w:val="7"/>
    </w:lvl>
    <w:lvl w:ilvl="1">
      <w:lvlJc w:val="left"/>
      <w:lvlText w:val="%2"/>
      <w:numFmt w:val="lowerLetter"/>
      <w:start w:val="1"/>
    </w:lvl>
  </w:abstractNum>
  <w:abstractNum w:abstractNumId="13">
    <w:nsid w:val="22221A70"/>
    <w:multiLevelType w:val="hybridMultilevel"/>
    <w:lvl w:ilvl="0">
      <w:lvlJc w:val="left"/>
      <w:lvlText w:val="%1."/>
      <w:numFmt w:val="decimal"/>
      <w:start w:val="8"/>
    </w:lvl>
  </w:abstractNum>
  <w:abstractNum w:abstractNumId="14">
    <w:nsid w:val="4516DDE9"/>
    <w:multiLevelType w:val="hybridMultilevel"/>
    <w:lvl w:ilvl="0">
      <w:lvlJc w:val="left"/>
      <w:lvlText w:val="%1."/>
      <w:numFmt w:val="decimal"/>
      <w:start w:val="12"/>
    </w:lvl>
    <w:lvl w:ilvl="1">
      <w:lvlJc w:val="left"/>
      <w:lvlText w:val="(%2)"/>
      <w:numFmt w:val="lowerLetter"/>
      <w:start w:val="1"/>
    </w:lvl>
  </w:abstractNum>
  <w:abstractNum w:abstractNumId="15">
    <w:nsid w:val="3006C83E"/>
    <w:multiLevelType w:val="hybridMultilevel"/>
    <w:lvl w:ilvl="0">
      <w:lvlJc w:val="left"/>
      <w:lvlText w:val="%1."/>
      <w:numFmt w:val="decimal"/>
      <w:start w:val="17"/>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2"/>
    </w:lvl>
  </w:abstractNum>
  <w:abstractNum w:abstractNumId="18">
    <w:nsid w:val="5577F8E1"/>
    <w:multiLevelType w:val="hybridMultilevel"/>
    <w:lvl w:ilvl="0">
      <w:lvlJc w:val="left"/>
      <w:lvlText w:val="(%1)"/>
      <w:numFmt w:val="lowerRoman"/>
      <w:start w:val="3"/>
    </w:lvl>
    <w:lvl w:ilvl="1">
      <w:lvlJc w:val="left"/>
      <w:lvlText w:val="%2."/>
      <w:numFmt w:val="decimal"/>
      <w:start w:val="3"/>
    </w:lvl>
  </w:abstractNum>
  <w:abstractNum w:abstractNumId="19">
    <w:nsid w:val="440BADFC"/>
    <w:multiLevelType w:val="hybridMultilevel"/>
    <w:lvl w:ilvl="0">
      <w:lvlJc w:val="left"/>
      <w:lvlText w:val="%1."/>
      <w:numFmt w:val="decimal"/>
      <w:start w:val="1"/>
    </w:lvl>
    <w:lvl w:ilvl="1">
      <w:lvlJc w:val="left"/>
      <w:lvlText w:val="(%2)"/>
      <w:numFmt w:val="lowerLetter"/>
      <w:start w:val="1"/>
    </w:lvl>
  </w:abstractNum>
  <w:abstractNum w:abstractNumId="20">
    <w:nsid w:val="5072367"/>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2"/>
    </w:lvl>
  </w:abstractNum>
  <w:abstractNum w:abstractNumId="21">
    <w:nsid w:val="3804823E"/>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22">
    <w:nsid w:val="77465F01"/>
    <w:multiLevelType w:val="hybridMultilevel"/>
    <w:lvl w:ilvl="0">
      <w:lvlJc w:val="left"/>
      <w:lvlText w:val="%1."/>
      <w:numFmt w:val="decimal"/>
      <w:start w:val="8"/>
    </w:lvl>
  </w:abstractNum>
  <w:abstractNum w:abstractNumId="23">
    <w:nsid w:val="7724C67E"/>
    <w:multiLevelType w:val="hybridMultilevel"/>
    <w:lvl w:ilvl="0">
      <w:lvlJc w:val="left"/>
      <w:lvlText w:val="%1."/>
      <w:numFmt w:val="decimal"/>
      <w:start w:val="14"/>
    </w:lvl>
    <w:lvl w:ilvl="1">
      <w:lvlJc w:val="left"/>
      <w:lvlText w:val="(%2)"/>
      <w:numFmt w:val="lowerLetter"/>
      <w:start w:val="1"/>
    </w:lvl>
  </w:abstractNum>
  <w:abstractNum w:abstractNumId="24">
    <w:nsid w:val="5C482A97"/>
    <w:multiLevelType w:val="hybridMultilevel"/>
    <w:lvl w:ilvl="0">
      <w:lvlJc w:val="left"/>
      <w:lvlText w:val="%1."/>
      <w:numFmt w:val="decimal"/>
      <w:start w:val="20"/>
    </w:lvl>
  </w:abstractNum>
  <w:abstractNum w:abstractNumId="25">
    <w:nsid w:val="2463B9EA"/>
    <w:multiLevelType w:val="hybridMultilevel"/>
    <w:lvl w:ilvl="0">
      <w:lvlJc w:val="left"/>
      <w:lvlText w:val="%1."/>
      <w:numFmt w:val="decimal"/>
      <w:start w:val="1"/>
    </w:lvl>
    <w:lvl w:ilvl="1">
      <w:lvlJc w:val="left"/>
      <w:lvlText w:val="(%2)"/>
      <w:numFmt w:val="lowerLetter"/>
      <w:start w:val="1"/>
    </w:lvl>
  </w:abstractNum>
  <w:abstractNum w:abstractNumId="26">
    <w:nsid w:val="5E884AD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7">
    <w:nsid w:val="51EAD36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
    </w:lvl>
  </w:abstractNum>
  <w:abstractNum w:abstractNumId="28">
    <w:nsid w:val="2D517796"/>
    <w:multiLevelType w:val="hybridMultilevel"/>
    <w:lvl w:ilvl="0">
      <w:lvlJc w:val="left"/>
      <w:lvlText w:val="(%1)"/>
      <w:numFmt w:val="lowerLetter"/>
      <w:start w:val="3"/>
    </w:lvl>
    <w:lvl w:ilvl="1">
      <w:lvlJc w:val="left"/>
      <w:lvlText w:val="(%2)"/>
      <w:numFmt w:val="lowerLetter"/>
      <w:start w:val="9"/>
    </w:lvl>
  </w:abstractNum>
  <w:abstractNum w:abstractNumId="29">
    <w:nsid w:val="580BD78F"/>
    <w:multiLevelType w:val="hybridMultilevel"/>
    <w:lvl w:ilvl="0">
      <w:lvlJc w:val="left"/>
      <w:lvlText w:val="(%1)"/>
      <w:numFmt w:val="lowerRoman"/>
      <w:start w:val="2"/>
    </w:lvl>
  </w:abstractNum>
  <w:abstractNum w:abstractNumId="30">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31">
    <w:nsid w:val="3855585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32">
    <w:nsid w:val="70A64E2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2"/>
    </w:lvl>
    <w:lvl w:ilvl="3">
      <w:lvlJc w:val="left"/>
      <w:lvlText w:val="%4"/>
      <w:numFmt w:val="lowerRoman"/>
      <w:start w:val="1"/>
    </w:lvl>
  </w:abstractNum>
  <w:abstractNum w:abstractNumId="33">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
    <w:nsid w:val="2A487CB0"/>
    <w:multiLevelType w:val="hybridMultilevel"/>
    <w:lvl w:ilvl="0">
      <w:lvlJc w:val="left"/>
      <w:lvlText w:val="(%1)"/>
      <w:numFmt w:val="decimal"/>
      <w:start w:val="3"/>
    </w:lvl>
    <w:lvl w:ilvl="1">
      <w:lvlJc w:val="left"/>
      <w:lvlText w:val="(%2)"/>
      <w:numFmt w:val="lowerLetter"/>
      <w:start w:val="2"/>
    </w:lvl>
  </w:abstractNum>
  <w:abstractNum w:abstractNumId="35">
    <w:nsid w:val="1D4ED43B"/>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4"/>
    </w:lvl>
  </w:abstractNum>
  <w:abstractNum w:abstractNumId="36">
    <w:nsid w:val="725A06FB"/>
    <w:multiLevelType w:val="hybridMultilevel"/>
    <w:lvl w:ilvl="0">
      <w:lvlJc w:val="left"/>
      <w:lvlText w:val="%1."/>
      <w:numFmt w:val="decimal"/>
      <w:start w:val="8"/>
    </w:lvl>
  </w:abstractNum>
  <w:abstractNum w:abstractNumId="37">
    <w:nsid w:val="2CD89A32"/>
    <w:multiLevelType w:val="hybridMultilevel"/>
    <w:lvl w:ilvl="0">
      <w:lvlJc w:val="left"/>
      <w:lvlText w:val="%1."/>
      <w:numFmt w:val="decimal"/>
      <w:start w:val="10"/>
    </w:lvl>
    <w:lvl w:ilvl="1">
      <w:lvlJc w:val="left"/>
      <w:lvlText w:val="(%2)"/>
      <w:numFmt w:val="lowerLetter"/>
      <w:start w:val="1"/>
    </w:lvl>
  </w:abstractNum>
  <w:abstractNum w:abstractNumId="38">
    <w:nsid w:val="57E4CCAF"/>
    <w:multiLevelType w:val="hybridMultilevel"/>
    <w:lvl w:ilvl="0">
      <w:lvlJc w:val="left"/>
      <w:lvlText w:val="%1"/>
      <w:numFmt w:val="decimal"/>
      <w:start w:val="1"/>
    </w:lvl>
    <w:lvl w:ilvl="1">
      <w:lvlJc w:val="left"/>
      <w:lvlText w:val="(%2)"/>
      <w:numFmt w:val="lowerLetter"/>
      <w:start w:val="2"/>
    </w:lvl>
  </w:abstractNum>
  <w:abstractNum w:abstractNumId="39">
    <w:nsid w:val="7A6D8D3C"/>
    <w:multiLevelType w:val="hybridMultilevel"/>
    <w:lvl w:ilvl="0">
      <w:lvlJc w:val="left"/>
      <w:lvlText w:val="%1."/>
      <w:numFmt w:val="decimal"/>
      <w:start w:val="16"/>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lowerLetter"/>
      <w:start w:val="2"/>
    </w:lvl>
  </w:abstractNum>
  <w:abstractNum w:abstractNumId="41">
    <w:nsid w:val="542289EC"/>
    <w:multiLevelType w:val="hybridMultilevel"/>
    <w:lvl w:ilvl="0">
      <w:lvlJc w:val="left"/>
      <w:lvlText w:val="%1."/>
      <w:numFmt w:val="decimal"/>
      <w:start w:val="3"/>
    </w:lvl>
    <w:lvl w:ilvl="1">
      <w:lvlJc w:val="left"/>
      <w:lvlText w:val="(%2)"/>
      <w:numFmt w:val="lowerLetter"/>
      <w:start w:val="1"/>
    </w:lvl>
  </w:abstractNum>
  <w:abstractNum w:abstractNumId="42">
    <w:nsid w:val="6DE91B18"/>
    <w:multiLevelType w:val="hybridMultilevel"/>
    <w:lvl w:ilvl="0">
      <w:lvlJc w:val="left"/>
      <w:lvlText w:val="%1"/>
      <w:numFmt w:val="decimal"/>
      <w:start w:val="1"/>
    </w:lvl>
    <w:lvl w:ilvl="1">
      <w:lvlJc w:val="left"/>
      <w:lvlText w:val="(%2)"/>
      <w:numFmt w:val="lowerLetter"/>
      <w:start w:val="3"/>
    </w:lvl>
  </w:abstractNum>
  <w:abstractNum w:abstractNumId="43">
    <w:nsid w:val="38437FDB"/>
    <w:multiLevelType w:val="hybridMultilevel"/>
    <w:lvl w:ilvl="0">
      <w:lvlJc w:val="left"/>
      <w:lvlText w:val="%1."/>
      <w:numFmt w:val="decimal"/>
      <w:start w:val="4"/>
    </w:lvl>
    <w:lvl w:ilvl="1">
      <w:lvlJc w:val="left"/>
      <w:lvlText w:val="%2"/>
      <w:numFmt w:val="lowerLetter"/>
      <w:start w:val="1"/>
    </w:lvl>
  </w:abstractNum>
  <w:abstractNum w:abstractNumId="44">
    <w:nsid w:val="7644A45C"/>
    <w:multiLevelType w:val="hybridMultilevel"/>
    <w:lvl w:ilvl="0">
      <w:lvlJc w:val="left"/>
      <w:lvlText w:val="%1."/>
      <w:numFmt w:val="decimal"/>
      <w:start w:val="7"/>
    </w:lvl>
  </w:abstractNum>
  <w:abstractNum w:abstractNumId="45">
    <w:nsid w:val="32FFF902"/>
    <w:multiLevelType w:val="hybridMultilevel"/>
    <w:lvl w:ilvl="0">
      <w:lvlJc w:val="left"/>
      <w:lvlText w:val="%1."/>
      <w:numFmt w:val="decimal"/>
      <w:start w:val="12"/>
    </w:lvl>
    <w:lvl w:ilvl="1">
      <w:lvlJc w:val="left"/>
      <w:lvlText w:val="(%2)"/>
      <w:numFmt w:val="lowerLetter"/>
      <w:start w:val="1"/>
    </w:lvl>
  </w:abstractNum>
  <w:abstractNum w:abstractNumId="46">
    <w:nsid w:val="684A481A"/>
    <w:multiLevelType w:val="hybridMultilevel"/>
    <w:lvl w:ilvl="0">
      <w:lvlJc w:val="left"/>
      <w:lvlText w:val="%1."/>
      <w:numFmt w:val="decimal"/>
      <w:start w:val="1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2019-12-28T11:13:48Z</dcterms:created>
  <dcterms:modified xsi:type="dcterms:W3CDTF">2019-12-28T11:13:48Z</dcterms:modified>
</cp:coreProperties>
</file>