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15(d) OF THE SECURITIES EXCHANGE ACT OF 1934</w:t>
      </w:r>
    </w:p>
    <w:p>
      <w:pPr>
        <w:spacing w:after="0" w:line="21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November 4, 2018</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8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Dave &amp; Buster’s Entertainment,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34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6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35-2382255</w:t>
      </w:r>
    </w:p>
    <w:p>
      <w:pPr>
        <w:spacing w:after="0" w:line="31" w:lineRule="exact"/>
        <w:rPr>
          <w:sz w:val="24"/>
          <w:szCs w:val="24"/>
          <w:color w:val="auto"/>
        </w:rPr>
      </w:pPr>
    </w:p>
    <w:p>
      <w:pPr>
        <w:sectPr>
          <w:pgSz w:w="11900" w:h="16838" w:orient="portrait"/>
          <w:cols w:equalWidth="0" w:num="2">
            <w:col w:w="7400" w:space="720"/>
            <w:col w:w="3100"/>
          </w:cols>
          <w:pgMar w:left="240" w:top="230" w:right="439" w:bottom="343" w:gutter="0" w:footer="0" w:header="0"/>
          <w:type w:val="continuous"/>
        </w:sectPr>
      </w:pPr>
    </w:p>
    <w:p>
      <w:pPr>
        <w:spacing w:after="0" w:line="12" w:lineRule="exact"/>
        <w:rPr>
          <w:sz w:val="24"/>
          <w:szCs w:val="24"/>
          <w:color w:val="auto"/>
        </w:rPr>
      </w:pPr>
    </w:p>
    <w:p>
      <w:pPr>
        <w:ind w:left="2060"/>
        <w:spacing w:after="0"/>
        <w:rPr>
          <w:sz w:val="20"/>
          <w:szCs w:val="20"/>
          <w:color w:val="auto"/>
        </w:rPr>
      </w:pPr>
      <w:r>
        <w:rPr>
          <w:rFonts w:ascii="Arial" w:cs="Arial" w:eastAsia="Arial" w:hAnsi="Arial"/>
          <w:sz w:val="13"/>
          <w:szCs w:val="13"/>
          <w:b w:val="1"/>
          <w:bCs w:val="1"/>
          <w:color w:val="auto"/>
        </w:rPr>
        <w:t>(State or Other Jurisdiction of</w:t>
      </w:r>
    </w:p>
    <w:p>
      <w:pPr>
        <w:ind w:left="20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260" w:space="720"/>
            <w:col w:w="3240"/>
          </w:cols>
          <w:pgMar w:left="240" w:top="230" w:right="439" w:bottom="343" w:gutter="0" w:footer="0" w:header="0"/>
          <w:type w:val="continuous"/>
        </w:sectPr>
      </w:pPr>
    </w:p>
    <w:p>
      <w:pPr>
        <w:spacing w:after="0" w:line="1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2481 Mañana Drive</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Dallas, Texas 75220</w:t>
      </w:r>
    </w:p>
    <w:p>
      <w:pPr>
        <w:jc w:val="center"/>
        <w:ind w:right="-199"/>
        <w:spacing w:after="0" w:line="225" w:lineRule="auto"/>
        <w:rPr>
          <w:sz w:val="20"/>
          <w:szCs w:val="20"/>
          <w:color w:val="auto"/>
        </w:rPr>
      </w:pPr>
      <w:r>
        <w:rPr>
          <w:rFonts w:ascii="Arial" w:cs="Arial" w:eastAsia="Arial" w:hAnsi="Arial"/>
          <w:sz w:val="14"/>
          <w:szCs w:val="14"/>
          <w:b w:val="1"/>
          <w:bCs w:val="1"/>
          <w:color w:val="auto"/>
        </w:rPr>
        <w:t>(Address of principal executive offices)</w:t>
      </w:r>
    </w:p>
    <w:p>
      <w:pPr>
        <w:jc w:val="center"/>
        <w:ind w:right="-199"/>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(214) 357-9588</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242570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343"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checkmark whether the registrant (1) has filed all reports required to be filed by Section 13 or 15(d) of the Securities Exchange Act of</w:t>
      </w:r>
    </w:p>
    <w:p>
      <w:pPr>
        <w:spacing w:after="0" w:line="46" w:lineRule="exact"/>
        <w:rPr>
          <w:sz w:val="24"/>
          <w:szCs w:val="24"/>
          <w:color w:val="auto"/>
        </w:rPr>
      </w:pPr>
    </w:p>
    <w:p>
      <w:pPr>
        <w:ind w:left="20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200" w:right="640" w:firstLine="441"/>
        <w:spacing w:after="0" w:line="287" w:lineRule="auto"/>
        <w:rPr>
          <w:sz w:val="20"/>
          <w:szCs w:val="20"/>
          <w:color w:val="auto"/>
        </w:rPr>
      </w:pPr>
      <w:r>
        <w:rPr>
          <w:rFonts w:ascii="Arial" w:cs="Arial" w:eastAsia="Arial" w:hAnsi="Arial"/>
          <w:sz w:val="16"/>
          <w:szCs w:val="16"/>
          <w:color w:val="auto"/>
        </w:rPr>
        <w:t>Indicate by checkmark whether the registrant has submitted electronically every Interactive Data File required to be submitted pursuant to Rule 405 of Regulation S-T during the preceding 12 months (or for such shorter period that the registrant was required to submit such</w:t>
      </w:r>
    </w:p>
    <w:p>
      <w:pPr>
        <w:spacing w:after="0" w:line="1" w:lineRule="exact"/>
        <w:rPr>
          <w:sz w:val="24"/>
          <w:szCs w:val="24"/>
          <w:color w:val="auto"/>
        </w:rPr>
      </w:pPr>
    </w:p>
    <w:p>
      <w:pPr>
        <w:ind w:left="200"/>
        <w:spacing w:after="0" w:line="207" w:lineRule="exact"/>
        <w:tabs>
          <w:tab w:leader="none" w:pos="780" w:val="left"/>
          <w:tab w:leader="none" w:pos="146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82" w:lineRule="exact"/>
        <w:rPr>
          <w:sz w:val="24"/>
          <w:szCs w:val="24"/>
          <w:color w:val="auto"/>
        </w:rPr>
      </w:pPr>
    </w:p>
    <w:p>
      <w:pPr>
        <w:ind w:left="200" w:right="1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40"/>
        <w:spacing w:after="0" w:line="207" w:lineRule="exact"/>
        <w:tabs>
          <w:tab w:leader="none" w:pos="8920" w:val="left"/>
          <w:tab w:leader="none" w:pos="9620" w:val="left"/>
        </w:tabs>
        <w:rPr>
          <w:sz w:val="20"/>
          <w:szCs w:val="20"/>
          <w:color w:val="auto"/>
        </w:rPr>
      </w:pPr>
      <w:r>
        <w:rPr>
          <w:rFonts w:ascii="Arial" w:cs="Arial" w:eastAsia="Arial" w:hAnsi="Arial"/>
          <w:sz w:val="17"/>
          <w:szCs w:val="17"/>
          <w:color w:val="auto"/>
        </w:rPr>
        <w:t>Indicate by checkmark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As of December 4, 2018, there were 38,643,826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343"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00" w:right="2620"/>
        <w:spacing w:after="0" w:line="266" w:lineRule="auto"/>
        <w:rPr>
          <w:sz w:val="20"/>
          <w:szCs w:val="20"/>
          <w:color w:val="auto"/>
        </w:rPr>
      </w:pPr>
      <w:r>
        <w:rPr>
          <w:rFonts w:ascii="Arial" w:cs="Arial" w:eastAsia="Arial" w:hAnsi="Arial"/>
          <w:sz w:val="18"/>
          <w:szCs w:val="18"/>
          <w:b w:val="1"/>
          <w:bCs w:val="1"/>
          <w:color w:val="auto"/>
        </w:rPr>
        <w:t>DAVE &amp; BUSTER’S ENTERTAINMENT, INC. FORM 10-Q FOR QUARTERLY PERIOD ENDED NOVEMBER 4, 2018 TABLE OF CONTENTS</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8920" w:type="dxa"/>
            <w:vAlign w:val="bottom"/>
            <w:gridSpan w:val="11"/>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980" w:type="dxa"/>
            <w:vAlign w:val="bottom"/>
            <w:vMerge w:val="continue"/>
          </w:tcPr>
          <w:p>
            <w:pPr>
              <w:spacing w:after="0"/>
              <w:rPr>
                <w:sz w:val="13"/>
                <w:szCs w:val="13"/>
                <w:color w:val="auto"/>
              </w:rPr>
            </w:pPr>
          </w:p>
        </w:tc>
        <w:tc>
          <w:tcPr>
            <w:tcW w:w="8920" w:type="dxa"/>
            <w:vAlign w:val="bottom"/>
            <w:gridSpan w:val="11"/>
            <w:vMerge w:val="continue"/>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top w:val="single" w:sz="8" w:color="0000EE"/>
            </w:tcBorders>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540" w:type="dxa"/>
            <w:vAlign w:val="bottom"/>
            <w:gridSpan w:val="4"/>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17">
              <w:r>
                <w:rPr>
                  <w:rFonts w:ascii="Arial" w:cs="Arial" w:eastAsia="Arial" w:hAnsi="Arial"/>
                  <w:sz w:val="18"/>
                  <w:szCs w:val="18"/>
                  <w:color w:val="0000EE"/>
                  <w:w w:val="97"/>
                </w:rPr>
                <w:t>MANAGEMENT’S DISCUSSION AND ANALYSIS OF FINANCIAL CONDITION AND RESULTS OF OPERATIONS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QUANTITATIVE AND QUALITATIVE DISCLOSURES ABOUT MARKET RISK</w:t>
              </w:r>
            </w:hyperlink>
          </w:p>
        </w:tc>
        <w:tc>
          <w:tcPr>
            <w:tcW w:w="27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CONTROLS AND PROCEDURES</w:t>
              </w:r>
            </w:hyperlink>
          </w:p>
        </w:tc>
        <w:tc>
          <w:tcPr>
            <w:tcW w:w="6320" w:type="dxa"/>
            <w:vAlign w:val="bottom"/>
            <w:gridSpan w:val="3"/>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690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LEGAL PROCEEDINGS</w:t>
              </w:r>
            </w:hyperlink>
          </w:p>
        </w:tc>
        <w:tc>
          <w:tcPr>
            <w:tcW w:w="7040" w:type="dxa"/>
            <w:vAlign w:val="bottom"/>
            <w:gridSpan w:val="7"/>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8920" w:type="dxa"/>
            <w:vAlign w:val="bottom"/>
            <w:gridSpan w:val="1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920" w:type="dxa"/>
            <w:vAlign w:val="bottom"/>
            <w:gridSpan w:val="1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820" w:type="dxa"/>
            <w:vAlign w:val="bottom"/>
            <w:tcBorders>
              <w:top w:val="single" w:sz="8" w:color="0000EE"/>
              <w:bottom w:val="single" w:sz="8" w:color="0000EE"/>
            </w:tcBorders>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EXHIBITS</w:t>
              </w:r>
            </w:hyperlink>
          </w:p>
        </w:tc>
        <w:tc>
          <w:tcPr>
            <w:tcW w:w="5240" w:type="dxa"/>
            <w:vAlign w:val="bottom"/>
            <w:tcBorders>
              <w:top w:val="single" w:sz="8" w:color="0000EE"/>
            </w:tcBorders>
            <w:gridSpan w:val="8"/>
          </w:tcPr>
          <w:p>
            <w:pPr>
              <w:spacing w:after="0"/>
              <w:rPr>
                <w:sz w:val="24"/>
                <w:szCs w:val="24"/>
                <w:color w:val="auto"/>
              </w:rPr>
            </w:pPr>
          </w:p>
        </w:tc>
        <w:tc>
          <w:tcPr>
            <w:tcW w:w="2860" w:type="dxa"/>
            <w:vAlign w:val="bottom"/>
            <w:gridSpan w:val="2"/>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SIGNATURES</w:t>
              </w:r>
            </w:hyperlink>
          </w:p>
        </w:tc>
        <w:tc>
          <w:tcPr>
            <w:tcW w:w="7820" w:type="dxa"/>
            <w:vAlign w:val="bottom"/>
            <w:gridSpan w:val="9"/>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5"/>
        </w:trPr>
        <w:tc>
          <w:tcPr>
            <w:tcW w:w="980" w:type="dxa"/>
            <w:vAlign w:val="bottom"/>
          </w:tcPr>
          <w:p>
            <w:pPr>
              <w:spacing w:after="0"/>
              <w:rPr>
                <w:sz w:val="24"/>
                <w:szCs w:val="24"/>
                <w:color w:val="auto"/>
              </w:rPr>
            </w:pPr>
          </w:p>
        </w:tc>
        <w:tc>
          <w:tcPr>
            <w:tcW w:w="6060" w:type="dxa"/>
            <w:vAlign w:val="bottom"/>
            <w:gridSpan w:val="9"/>
          </w:tcPr>
          <w:p>
            <w:pPr>
              <w:ind w:left="44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tab/>
        <w:t>FINANCIAL STATEMENTS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and per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November 4,</w:t>
            </w:r>
          </w:p>
        </w:tc>
        <w:tc>
          <w:tcPr>
            <w:tcW w:w="14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February 4,</w:t>
            </w: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4"/>
              </w:rPr>
              <w:t>(audited)</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102,191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94,907</w:t>
            </w: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Property and equipment (net of $552,563 and $474,330 accumulated depreciation as of November 4, 2018 and</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February 4, 2018, respectively)</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800,724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726,455</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272,625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272,566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deferred charges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1,278,264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1,197,030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installments of long-term debt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54,627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135,161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occupancy costs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184,994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10"/>
        </w:trPr>
        <w:tc>
          <w:tcPr>
            <w:tcW w:w="20" w:type="dxa"/>
            <w:vAlign w:val="bottom"/>
          </w:tcPr>
          <w:p>
            <w:pPr>
              <w:spacing w:after="0"/>
              <w:rPr>
                <w:sz w:val="24"/>
                <w:szCs w:val="24"/>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w w:val="92"/>
              </w:rPr>
              <w:t>Common stock, par value $0.01; authorized: 400,000,000 shares; issued: 43,137,976 shares at November 4, 2018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520"/>
              <w:spacing w:after="0"/>
              <w:rPr>
                <w:sz w:val="20"/>
                <w:szCs w:val="20"/>
                <w:color w:val="auto"/>
              </w:rPr>
            </w:pPr>
            <w:r>
              <w:rPr>
                <w:rFonts w:ascii="Arial" w:cs="Arial" w:eastAsia="Arial" w:hAnsi="Arial"/>
                <w:sz w:val="18"/>
                <w:szCs w:val="18"/>
                <w:color w:val="auto"/>
                <w:w w:val="90"/>
              </w:rPr>
              <w:t>and 42,660,806 shares at February 4, 2018; outstanding: 38,791,237 shares at November 4, 2018 and 40,102,085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520"/>
              <w:spacing w:after="0"/>
              <w:rPr>
                <w:sz w:val="20"/>
                <w:szCs w:val="20"/>
                <w:color w:val="auto"/>
              </w:rPr>
            </w:pPr>
            <w:r>
              <w:rPr>
                <w:rFonts w:ascii="Arial" w:cs="Arial" w:eastAsia="Arial" w:hAnsi="Arial"/>
                <w:sz w:val="18"/>
                <w:szCs w:val="18"/>
                <w:color w:val="auto"/>
              </w:rPr>
              <w:t>shares at February 4, 2018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0"/>
                <w:szCs w:val="20"/>
                <w:color w:val="auto"/>
              </w:rPr>
            </w:pPr>
          </w:p>
        </w:tc>
      </w:tr>
      <w:tr>
        <w:trPr>
          <w:trHeight w:val="108"/>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50,000,000 authorized; none issued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329,394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320,488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Treasury stock, 4,346,739 and 2,558,721 shares as of November 4, 2018 and February 4, 2018, respectively</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(234,081)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(147,331)</w:t>
            </w: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248,311</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421,646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1,278,264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1,197,030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18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(UNAUDITED) </w:t>
      </w:r>
      <w:r>
        <w:rPr>
          <w:rFonts w:ascii="Arial" w:cs="Arial" w:eastAsia="Arial" w:hAnsi="Arial"/>
          <w:sz w:val="18"/>
          <w:szCs w:val="18"/>
          <w:color w:val="auto"/>
        </w:rPr>
        <w:t>(in thousands, except share and per share amounts)</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Thirteen Weeks</w:t>
            </w:r>
          </w:p>
        </w:tc>
        <w:tc>
          <w:tcPr>
            <w:tcW w:w="32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Thirteen Weeks</w:t>
            </w: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500" w:type="dxa"/>
            <w:vAlign w:val="bottom"/>
            <w:gridSpan w:val="4"/>
          </w:tcPr>
          <w:p>
            <w:pPr>
              <w:jc w:val="center"/>
              <w:ind w:left="1574"/>
              <w:spacing w:after="0"/>
              <w:rPr>
                <w:sz w:val="20"/>
                <w:szCs w:val="20"/>
                <w:color w:val="auto"/>
              </w:rPr>
            </w:pPr>
            <w:r>
              <w:rPr>
                <w:rFonts w:ascii="Arial" w:cs="Arial" w:eastAsia="Arial" w:hAnsi="Arial"/>
                <w:sz w:val="14"/>
                <w:szCs w:val="14"/>
                <w:b w:val="1"/>
                <w:bCs w:val="1"/>
                <w:color w:val="auto"/>
                <w:w w:val="94"/>
              </w:rPr>
              <w:t>November 4, 2018</w:t>
            </w:r>
          </w:p>
        </w:tc>
        <w:tc>
          <w:tcPr>
            <w:tcW w:w="1500" w:type="dxa"/>
            <w:vAlign w:val="bottom"/>
            <w:gridSpan w:val="4"/>
          </w:tcPr>
          <w:p>
            <w:pPr>
              <w:ind w:left="320"/>
              <w:spacing w:after="0"/>
              <w:rPr>
                <w:sz w:val="20"/>
                <w:szCs w:val="20"/>
                <w:color w:val="auto"/>
              </w:rPr>
            </w:pPr>
            <w:r>
              <w:rPr>
                <w:rFonts w:ascii="Arial" w:cs="Arial" w:eastAsia="Arial" w:hAnsi="Arial"/>
                <w:sz w:val="14"/>
                <w:szCs w:val="14"/>
                <w:b w:val="1"/>
                <w:bCs w:val="1"/>
                <w:color w:val="auto"/>
              </w:rPr>
              <w:t>October 29, 2017</w:t>
            </w: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2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118,807</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107,690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2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163,332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142,289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282,139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31,163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20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48,734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44,607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96,267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82,766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30,574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25,672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0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Total operating costs</w:t>
            </w:r>
          </w:p>
        </w:tc>
        <w:tc>
          <w:tcPr>
            <w:tcW w:w="2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266,667</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230,053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expense, net</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Loss on debt refinancing</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20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11,856</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loss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r>
      <w:tr>
        <w:trPr>
          <w:trHeight w:val="223"/>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Total comprehensive income</w:t>
            </w:r>
          </w:p>
        </w:tc>
        <w:tc>
          <w:tcPr>
            <w:tcW w:w="20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Basic</w:t>
            </w:r>
          </w:p>
        </w:tc>
        <w:tc>
          <w:tcPr>
            <w:tcW w:w="222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0.30</w:t>
            </w:r>
          </w:p>
        </w:tc>
        <w:tc>
          <w:tcPr>
            <w:tcW w:w="36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2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Weighted average shares used in per share calculations: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38,892,288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41,077,206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39,855,648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42,250,611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222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18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(UNAUDITED) </w:t>
      </w:r>
      <w:r>
        <w:rPr>
          <w:rFonts w:ascii="Arial" w:cs="Arial" w:eastAsia="Arial" w:hAnsi="Arial"/>
          <w:sz w:val="18"/>
          <w:szCs w:val="18"/>
          <w:color w:val="auto"/>
        </w:rPr>
        <w:t>(in thousands, except share and per share amounts)</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520" w:type="dxa"/>
            <w:vAlign w:val="bottom"/>
            <w:gridSpan w:val="4"/>
          </w:tcPr>
          <w:p>
            <w:pPr>
              <w:ind w:left="1920"/>
              <w:spacing w:after="0"/>
              <w:rPr>
                <w:sz w:val="20"/>
                <w:szCs w:val="20"/>
                <w:color w:val="auto"/>
              </w:rPr>
            </w:pPr>
            <w:r>
              <w:rPr>
                <w:rFonts w:ascii="Arial" w:cs="Arial" w:eastAsia="Arial" w:hAnsi="Arial"/>
                <w:sz w:val="14"/>
                <w:szCs w:val="14"/>
                <w:b w:val="1"/>
                <w:bCs w:val="1"/>
                <w:color w:val="auto"/>
              </w:rPr>
              <w:t>Thirty-Nine Weeks</w:t>
            </w:r>
          </w:p>
        </w:tc>
        <w:tc>
          <w:tcPr>
            <w:tcW w:w="1600" w:type="dxa"/>
            <w:vAlign w:val="bottom"/>
            <w:gridSpan w:val="4"/>
          </w:tcPr>
          <w:p>
            <w:pPr>
              <w:ind w:left="360"/>
              <w:spacing w:after="0"/>
              <w:rPr>
                <w:sz w:val="20"/>
                <w:szCs w:val="20"/>
                <w:color w:val="auto"/>
              </w:rPr>
            </w:pPr>
            <w:r>
              <w:rPr>
                <w:rFonts w:ascii="Arial" w:cs="Arial" w:eastAsia="Arial" w:hAnsi="Arial"/>
                <w:sz w:val="14"/>
                <w:szCs w:val="14"/>
                <w:b w:val="1"/>
                <w:bCs w:val="1"/>
                <w:color w:val="auto"/>
                <w:w w:val="99"/>
              </w:rPr>
              <w:t>Thirty-Nine Weeks</w:t>
            </w: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November 4, 2018</w:t>
            </w:r>
          </w:p>
        </w:tc>
        <w:tc>
          <w:tcPr>
            <w:tcW w:w="36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October 29, 2017</w:t>
            </w: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1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388,804</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356,190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1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544,713</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478,688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933,517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101,181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1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161,429</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142,043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217,939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284,432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247,663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87,129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Total operating costs</w:t>
            </w:r>
          </w:p>
        </w:tc>
        <w:tc>
          <w:tcPr>
            <w:tcW w:w="1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813,511</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711,561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expense, net</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9,406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6,073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on debt refinancing</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1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110,600</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116,526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31,217</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87,785</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85,309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gain (loss)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Total comprehensive income</w:t>
            </w:r>
          </w:p>
        </w:tc>
        <w:tc>
          <w:tcPr>
            <w:tcW w:w="19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87,347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85,512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Basic</w:t>
            </w:r>
          </w:p>
        </w:tc>
        <w:tc>
          <w:tcPr>
            <w:tcW w:w="214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w:t>
            </w:r>
          </w:p>
        </w:tc>
        <w:tc>
          <w:tcPr>
            <w:tcW w:w="42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1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Weighted average shares used in per share calculations:</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39,314,271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41,521,802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40,257,231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42,888,659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21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amounts)</w:t>
      </w:r>
    </w:p>
    <w:p>
      <w:pPr>
        <w:spacing w:after="0" w:line="3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60" w:type="dxa"/>
            <w:vAlign w:val="bottom"/>
            <w:gridSpan w:val="3"/>
            <w:vMerge w:val="restart"/>
          </w:tcPr>
          <w:p>
            <w:pPr>
              <w:jc w:val="right"/>
              <w:ind w:right="173"/>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7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ind w:left="640"/>
              <w:spacing w:after="0"/>
              <w:rPr>
                <w:sz w:val="20"/>
                <w:szCs w:val="20"/>
                <w:color w:val="auto"/>
              </w:rPr>
            </w:pPr>
            <w:r>
              <w:rPr>
                <w:rFonts w:ascii="Arial" w:cs="Arial" w:eastAsia="Arial" w:hAnsi="Arial"/>
                <w:sz w:val="14"/>
                <w:szCs w:val="14"/>
                <w:b w:val="1"/>
                <w:bCs w:val="1"/>
                <w:color w:val="auto"/>
              </w:rPr>
              <w:t>At Cost</w:t>
            </w:r>
          </w:p>
        </w:tc>
        <w:tc>
          <w:tcPr>
            <w:tcW w:w="12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Amt.</w:t>
            </w:r>
          </w:p>
        </w:tc>
        <w:tc>
          <w:tcPr>
            <w:tcW w:w="220" w:type="dxa"/>
            <w:vAlign w:val="bottom"/>
          </w:tcPr>
          <w:p>
            <w:pPr>
              <w:spacing w:after="0"/>
              <w:rPr>
                <w:sz w:val="12"/>
                <w:szCs w:val="12"/>
                <w:color w:val="auto"/>
              </w:rPr>
            </w:pPr>
          </w:p>
        </w:tc>
        <w:tc>
          <w:tcPr>
            <w:tcW w:w="70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2"/>
                <w:szCs w:val="12"/>
                <w:color w:val="auto"/>
              </w:rPr>
            </w:pPr>
          </w:p>
        </w:tc>
        <w:tc>
          <w:tcPr>
            <w:tcW w:w="7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Amt.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February 4, 2018 (audited)</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42,660,806</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$427</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$320,488</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2,558,721</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$(147,331)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center"/>
              <w:ind w:left="334"/>
              <w:spacing w:after="0"/>
              <w:rPr>
                <w:sz w:val="20"/>
                <w:szCs w:val="20"/>
                <w:color w:val="auto"/>
              </w:rPr>
            </w:pPr>
            <w:r>
              <w:rPr>
                <w:rFonts w:ascii="Arial" w:cs="Arial" w:eastAsia="Arial" w:hAnsi="Arial"/>
                <w:sz w:val="18"/>
                <w:szCs w:val="18"/>
                <w:color w:val="auto"/>
                <w:w w:val="80"/>
              </w:rPr>
              <w:t>(249)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$ 248,311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$421,646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left="134"/>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87,785</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87,785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7"/>
              </w:rPr>
              <w:t>Unrealized foreign currency translation loss</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5,771</w:t>
            </w:r>
          </w:p>
        </w:tc>
        <w:tc>
          <w:tcPr>
            <w:tcW w:w="22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left="134"/>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477,170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1,788,018</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(86,750)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left="134"/>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(86,750)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($0.15 per share)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(5,842)</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(5,842)</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Balance November 4, 2018 (unaudited)</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43,137,976</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431</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329,394</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4,346,739</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(234,081</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center"/>
              <w:ind w:left="334"/>
              <w:spacing w:after="0"/>
              <w:rPr>
                <w:sz w:val="20"/>
                <w:szCs w:val="20"/>
                <w:color w:val="auto"/>
              </w:rPr>
            </w:pPr>
            <w:r>
              <w:rPr>
                <w:rFonts w:ascii="Arial" w:cs="Arial" w:eastAsia="Arial" w:hAnsi="Arial"/>
                <w:sz w:val="18"/>
                <w:szCs w:val="18"/>
                <w:color w:val="auto"/>
                <w:w w:val="80"/>
              </w:rPr>
              <w:t>(687)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330,254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425,311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380" w:type="dxa"/>
            <w:vAlign w:val="bottom"/>
            <w:gridSpan w:val="4"/>
          </w:tcPr>
          <w:p>
            <w:pPr>
              <w:ind w:left="800"/>
              <w:spacing w:after="0"/>
              <w:rPr>
                <w:sz w:val="20"/>
                <w:szCs w:val="20"/>
                <w:color w:val="auto"/>
              </w:rPr>
            </w:pPr>
            <w:r>
              <w:rPr>
                <w:rFonts w:ascii="Arial" w:cs="Arial" w:eastAsia="Arial" w:hAnsi="Arial"/>
                <w:sz w:val="14"/>
                <w:szCs w:val="14"/>
                <w:b w:val="1"/>
                <w:bCs w:val="1"/>
                <w:color w:val="auto"/>
              </w:rPr>
              <w:t>Thirty-Nine Weeks</w:t>
            </w:r>
          </w:p>
        </w:tc>
        <w:tc>
          <w:tcPr>
            <w:tcW w:w="1660" w:type="dxa"/>
            <w:vAlign w:val="bottom"/>
            <w:gridSpan w:val="4"/>
          </w:tcPr>
          <w:p>
            <w:pPr>
              <w:ind w:left="360"/>
              <w:spacing w:after="0"/>
              <w:rPr>
                <w:sz w:val="20"/>
                <w:szCs w:val="20"/>
                <w:color w:val="auto"/>
              </w:rPr>
            </w:pPr>
            <w:r>
              <w:rPr>
                <w:rFonts w:ascii="Arial" w:cs="Arial" w:eastAsia="Arial" w:hAnsi="Arial"/>
                <w:sz w:val="14"/>
                <w:szCs w:val="14"/>
                <w:b w:val="1"/>
                <w:bCs w:val="1"/>
                <w:color w:val="auto"/>
              </w:rPr>
              <w:t>Thirty-Nine Weeks</w:t>
            </w: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4"/>
              </w:rPr>
              <w:t>November 4, 2018</w:t>
            </w:r>
          </w:p>
        </w:tc>
        <w:tc>
          <w:tcPr>
            <w:tcW w:w="36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October 29, 2017</w:t>
            </w:r>
          </w:p>
        </w:tc>
      </w:tr>
      <w:tr>
        <w:trPr>
          <w:trHeight w:val="196"/>
        </w:trPr>
        <w:tc>
          <w:tcPr>
            <w:tcW w:w="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87,785</w:t>
            </w:r>
          </w:p>
        </w:tc>
        <w:tc>
          <w:tcPr>
            <w:tcW w:w="40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85,309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700"/>
              <w:spacing w:after="0"/>
              <w:rPr>
                <w:sz w:val="20"/>
                <w:szCs w:val="20"/>
                <w:color w:val="auto"/>
              </w:rPr>
            </w:pPr>
            <w:r>
              <w:rPr>
                <w:rFonts w:ascii="Arial" w:cs="Arial" w:eastAsia="Arial" w:hAnsi="Arial"/>
                <w:sz w:val="18"/>
                <w:szCs w:val="18"/>
                <w:color w:val="auto"/>
              </w:rPr>
              <w:t>Depreciation and amortization expense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87,129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74,447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(2,217)</w:t>
            </w:r>
          </w:p>
        </w:tc>
      </w:tr>
      <w:tr>
        <w:trPr>
          <w:trHeight w:val="216"/>
        </w:trPr>
        <w:tc>
          <w:tcPr>
            <w:tcW w:w="20" w:type="dxa"/>
            <w:vAlign w:val="bottom"/>
          </w:tcPr>
          <w:p>
            <w:pPr>
              <w:spacing w:after="0"/>
              <w:rPr>
                <w:sz w:val="18"/>
                <w:szCs w:val="18"/>
                <w:color w:val="auto"/>
              </w:rPr>
            </w:pPr>
          </w:p>
        </w:tc>
        <w:tc>
          <w:tcPr>
            <w:tcW w:w="6980" w:type="dxa"/>
            <w:vAlign w:val="bottom"/>
          </w:tcPr>
          <w:p>
            <w:pPr>
              <w:ind w:left="700"/>
              <w:spacing w:after="0"/>
              <w:rPr>
                <w:sz w:val="20"/>
                <w:szCs w:val="20"/>
                <w:color w:val="auto"/>
              </w:rPr>
            </w:pPr>
            <w:r>
              <w:rPr>
                <w:rFonts w:ascii="Arial" w:cs="Arial" w:eastAsia="Arial" w:hAnsi="Arial"/>
                <w:sz w:val="18"/>
                <w:szCs w:val="18"/>
                <w:color w:val="auto"/>
              </w:rPr>
              <w:t>Loss on debt refinancing</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disposal of fixed assets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700"/>
              <w:spacing w:after="0"/>
              <w:rPr>
                <w:sz w:val="20"/>
                <w:szCs w:val="20"/>
                <w:color w:val="auto"/>
              </w:rPr>
            </w:pPr>
            <w:r>
              <w:rPr>
                <w:rFonts w:ascii="Arial" w:cs="Arial" w:eastAsia="Arial" w:hAnsi="Arial"/>
                <w:sz w:val="18"/>
                <w:szCs w:val="18"/>
                <w:color w:val="auto"/>
              </w:rPr>
              <w:t>Share-based compensation</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5,771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net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(4,247)</w:t>
            </w: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(1,436)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(2,393)</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receivable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(6,610)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(6,647)</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 and deferred charges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5,512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(2,296)</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occupancy costs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201,063</w:t>
            </w:r>
          </w:p>
        </w:tc>
        <w:tc>
          <w:tcPr>
            <w:tcW w:w="120" w:type="dxa"/>
            <w:vAlign w:val="bottom"/>
            <w:shd w:val="clear" w:color="auto" w:fill="CCEEFF"/>
          </w:tcPr>
          <w:p>
            <w:pPr>
              <w:spacing w:after="0"/>
              <w:rPr>
                <w:sz w:val="18"/>
                <w:szCs w:val="18"/>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(163,745)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(150,278)</w:t>
            </w: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Proceeds from sales of property and equipment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insurance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Collections of notes receivable</w:t>
            </w:r>
          </w:p>
        </w:tc>
        <w:tc>
          <w:tcPr>
            <w:tcW w:w="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(163,375)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(147,026)</w:t>
            </w: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debt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Payments of debt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(174,250)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(379,750)</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(2,910)</w:t>
            </w: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treasury stock</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Repurchase of common stock under share repurchase program</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(86,077)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(109,988)</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(5,842)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Repurchases of common stock to satisfy employee withholding tax obligations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(673)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(72,703)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(58,862)</w:t>
            </w: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8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8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20,083</w:t>
            </w:r>
          </w:p>
        </w:tc>
        <w:tc>
          <w:tcPr>
            <w:tcW w:w="120" w:type="dxa"/>
            <w:vAlign w:val="bottom"/>
            <w:shd w:val="clear" w:color="auto" w:fill="CCEEFF"/>
          </w:tcPr>
          <w:p>
            <w:pPr>
              <w:spacing w:after="0"/>
              <w:rPr>
                <w:sz w:val="18"/>
                <w:szCs w:val="18"/>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color w:val="auto"/>
              </w:rPr>
              <w:t>Ending cash and cash equivalents</w:t>
            </w:r>
          </w:p>
        </w:tc>
        <w:tc>
          <w:tcPr>
            <w:tcW w:w="80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Supplemental disclosures of cash flow information:</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Increase (decrease) in fixed asset accounts payable</w:t>
            </w:r>
          </w:p>
        </w:tc>
        <w:tc>
          <w:tcPr>
            <w:tcW w:w="10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(474)</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5,159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 net</w:t>
            </w: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11,661</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31,439</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Cash paid for interest, net</w:t>
            </w:r>
          </w:p>
        </w:tc>
        <w:tc>
          <w:tcPr>
            <w:tcW w:w="10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8,853</w:t>
            </w:r>
          </w:p>
        </w:tc>
        <w:tc>
          <w:tcPr>
            <w:tcW w:w="400" w:type="dxa"/>
            <w:vAlign w:val="bottom"/>
          </w:tcPr>
          <w:p>
            <w:pPr>
              <w:spacing w:after="0"/>
              <w:rPr>
                <w:sz w:val="20"/>
                <w:szCs w:val="20"/>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5,319</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60"/>
        <w:spacing w:after="0" w:line="26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thousands, except share and per share amounts)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b w:val="1"/>
          <w:bCs w:val="1"/>
          <w:i w:val="1"/>
          <w:iCs w:val="1"/>
          <w:color w:val="auto"/>
        </w:rPr>
        <w:t>Basis of presentation</w:t>
      </w:r>
      <w:r>
        <w:rPr>
          <w:rFonts w:ascii="Arial" w:cs="Arial" w:eastAsia="Arial" w:hAnsi="Arial"/>
          <w:sz w:val="16"/>
          <w:szCs w:val="16"/>
          <w:color w:val="auto"/>
        </w:rPr>
        <w:t>— Dave &amp; Buster’s Entertainment, Inc. (“D&amp;B Entertainment”) is a Delaware corporation formed in June 2010. References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“Company”, “we”, “us”, and “our” refer to D&amp;B Entertainment, any predecessor companies, and its wholly-owned subsidiaries, Dave &amp; Buster’s Holdings, Inc. (“D&amp;B Holdings”), a holding company which owns 100% of the outstanding common stock of Dave &amp; Buster’s, Inc. (“D&amp;B Inc”), the operating company. The Company, headquartered in Dallas, Texas, is a leading operator of high-volume entertainment and dining venues (“stores”) in North America for adults and families under the name “Dave &amp; Buster’s”. The Company operates its business as one operating and one reportable segment. As of November 4, 2018, we owned and operated 118 stores located in 38 states, Puerto Rico and one Canadian province.</w:t>
      </w:r>
    </w:p>
    <w:p>
      <w:pPr>
        <w:spacing w:after="0" w:line="165" w:lineRule="exact"/>
        <w:rPr>
          <w:sz w:val="20"/>
          <w:szCs w:val="20"/>
          <w:color w:val="auto"/>
        </w:rPr>
      </w:pPr>
    </w:p>
    <w:p>
      <w:pPr>
        <w:ind w:left="200" w:right="140" w:firstLine="441"/>
        <w:spacing w:after="0" w:line="269" w:lineRule="auto"/>
        <w:rPr>
          <w:sz w:val="20"/>
          <w:szCs w:val="20"/>
          <w:color w:val="auto"/>
        </w:rPr>
      </w:pPr>
      <w:r>
        <w:rPr>
          <w:rFonts w:ascii="Arial" w:cs="Arial" w:eastAsia="Arial" w:hAnsi="Arial"/>
          <w:sz w:val="17"/>
          <w:szCs w:val="17"/>
          <w:color w:val="auto"/>
        </w:rPr>
        <w:t>The accompanying unaudited consolidated financial statements include the accounts of the Company and its wholly-owned subsidiaries. All intercompany accounts and transactions have been eliminated in consolidation. The Company’s financial statements have been prepared in accordance with generally accepted accounting principles (“GAAP”) in the United States for interim financial information as prescribed by the Securities and Exchange Commission (“SEC”). Accordingly, they do not include all of the information and footnotes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The preparation of consolidated financial statements in conformity with GAAP requires us to make certain estimates and assumptions that affect the amounts reported in the consolidated financial statements and accompanying notes. Actual results could differ from those estimates. Operating results for the thirteen and thirty-nine weeks ended November 4, 2018 are not necessarily indicative of results that may be expected for any other interim period or for the fiscal year ending February 3, 2019. Our quarterly financial data should be read in conjunction with the audited financial statements and notes thereto for the year ended February 4, 2018, included in our Annual Report on Form 10-K as filed with the SEC.</w:t>
      </w:r>
    </w:p>
    <w:p>
      <w:pPr>
        <w:spacing w:after="0" w:line="18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operate on a 52 or 53 week fiscal year that ends on the Sunday after the Saturday closest to January 31. Each quarterly period has 13 weeks, except in a 53 week year when the fourth quarter has 14 weeks. Fiscal 2018 and 2017, which end on February 3, 2019 and February 4, 2018, contain 52 and 53 weeks, respectively.</w:t>
      </w:r>
    </w:p>
    <w:p>
      <w:pPr>
        <w:spacing w:after="0" w:line="18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b w:val="1"/>
          <w:bCs w:val="1"/>
          <w:i w:val="1"/>
          <w:iCs w:val="1"/>
          <w:color w:val="auto"/>
        </w:rPr>
        <w:t>Cash and cash equivalents</w:t>
      </w:r>
      <w:r>
        <w:rPr>
          <w:rFonts w:ascii="Arial" w:cs="Arial" w:eastAsia="Arial" w:hAnsi="Arial"/>
          <w:sz w:val="16"/>
          <w:szCs w:val="16"/>
          <w:color w:val="auto"/>
        </w:rPr>
        <w:t>— We consider transaction settlements in process from credit card companies and all highly liquid temporary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with original maturities of three months or less to be cash equivalents. Our cash management system provides for the funding of all major bank disbursement accounts on a daily basis as checks are presented for payment. Under this system, outstanding checks are in excess of the cash balances at certain banks, which creates book overdrafts. Book overdrafts of $7,047 and $3,416 are presented in “Accounts payable” in the Consolidated Balance Sheets as of November 4, 2018 and February 4, 2018, respectively. Changes in the book overdraft position are presented within “Net cash provided by operating activities” within the Consolidated Statements of Cash Flows. As of November 4, 2018, the Company had no restricted cash.</w:t>
      </w:r>
    </w:p>
    <w:p>
      <w:pPr>
        <w:spacing w:after="0" w:line="165"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b w:val="1"/>
          <w:bCs w:val="1"/>
          <w:i w:val="1"/>
          <w:iCs w:val="1"/>
          <w:color w:val="auto"/>
        </w:rPr>
        <w:t>Other current assets</w:t>
      </w:r>
      <w:r>
        <w:rPr>
          <w:rFonts w:ascii="Arial" w:cs="Arial" w:eastAsia="Arial" w:hAnsi="Arial"/>
          <w:sz w:val="16"/>
          <w:szCs w:val="16"/>
          <w:color w:val="auto"/>
        </w:rPr>
        <w:t>— Other current assets includes construction allowance receivables of $19,875 and $14,941 as of November 4, 2018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4, 2018, respectively, related to our new store openings. We consider the concentration of credit risk for tenant improvement allowance receivables from landlords to be minimal due to the payment histories and general financial condition of our landlords.</w:t>
      </w:r>
    </w:p>
    <w:p>
      <w:pPr>
        <w:spacing w:after="0" w:line="14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Fair value is defined as the price we would receive to sell an asset or pay to transfer a liability (exit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 orderly transaction between market participants at the measurement date. In determining fair value, the accounting standards establish a three-level hierarchy for inputs used in measuring fair value as follows: Level One inputs are quoted prices available for identical assets and liabilities in active markets; Level Two inputs are observable for the asset or liability, either directly or indirectly, including quoted prices for similar assets and liabilities in active markets or other inputs that are observable or can be corroborated by observable market data; and Level Three inputs are less observable and reflect our own assumptions.</w:t>
      </w:r>
    </w:p>
    <w:p>
      <w:pPr>
        <w:spacing w:after="0" w:line="19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financial instruments consist of cash and cash equivalents, accounts and notes receivable, accounts payable, and our credit facility. The carrying amount of cash and cash equivalents, accounts and notes receivable and accounts payable approximates fair value because of their short maturities. We believe that the carrying amount of our credit facility approximates its fair value because the interest rates are adjusted regularly based on current market conditions. The fair value of the Company’s credit facility was determined to be a Level Two instrument as defined by GAAP.</w:t>
      </w:r>
    </w:p>
    <w:p>
      <w:pPr>
        <w:spacing w:after="0" w:line="154"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Non-financial assets and liabilities recognized or disclosed at fair value in the consolidated financial statements on a nonrecurring basis include such items as property and equipment, goodwill, tradenames and other assets. These assets are measured at fair value when they were evaluated for impairment. During the thirty-nine weeks ended November 4, 2018, there were no impairments recognized.</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b w:val="1"/>
          <w:bCs w:val="1"/>
          <w:i w:val="1"/>
          <w:iCs w:val="1"/>
          <w:color w:val="auto"/>
        </w:rPr>
        <w:t>Revenue recognition</w:t>
      </w:r>
      <w:r>
        <w:rPr>
          <w:rFonts w:ascii="Arial" w:cs="Arial" w:eastAsia="Arial" w:hAnsi="Arial"/>
          <w:sz w:val="17"/>
          <w:szCs w:val="17"/>
          <w:color w:val="auto"/>
        </w:rPr>
        <w:t>— The Company adopted Revenue from Contracts with Customers (Topic 606) in the first quarter of fiscal 2018 using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modified retrospective method. Based on our evaluation of our revenue streams, the Company has determined that there was not a material impact as of the date of adoption between the new revenue standard and how we previously recognized revenue, and therefore, the adoption did not have a material effect on our consolidated financial statements, and there was no cumulative effect to our retained earnings.</w:t>
      </w:r>
    </w:p>
    <w:p>
      <w:pPr>
        <w:spacing w:after="0" w:line="171"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Certain of our promotional programs include multiple performance obligations that include both a delivered and undelivered component and are discounted from the standalone selling prices of the deliverables. We allocate the entire discount to the amusement deliverable. Revenues are presented net of sales taxes. Sales tax collected is included in “Accrued liabilities” until the taxes are remitted to the appropriate taxing authorities.</w:t>
      </w:r>
    </w:p>
    <w:p>
      <w:pPr>
        <w:spacing w:after="0" w:line="14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Food and beverage revenues are recognized when payment is tendered at the point of sale. Amusement revenues are primarily recognized upon utilization of game play credits on Power Cards purchased and used by customers to activate most of the video and redemption games. We have recognized a liability for the estimated amount of unused game play credits which we believe our customers will utilize in the future based on credits remaining on Power Cards, historic utilization patterns and revenue per game play credit sold. Total deferred amusement revenue is included in “Accrued liabilities” in our Consolidated Balance Sheets. During the thirteen and thirty-nine weeks ended November 4, 2018, we recognized revenue of approximately $2,200 and $16,800, respectively, related to the amount in deferred amusement revenue as of the end of fiscal 2017.</w:t>
      </w:r>
    </w:p>
    <w:p>
      <w:pPr>
        <w:spacing w:after="0" w:line="165"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Proceeds from the sale of gift cards are deferred and recognized as revenue when the holder redeems the card or its likelihood of redemption becomes remote (“breakage”) and the Company determines that there is not a legal obligation to remit the unredeemed gift card balances to the relevant jurisdictions. The determination of the gift card breakage is based on the Company’s specific historical redemption patterns. Recognized gift card breakage revenue is included in “Amusements and other revenues” in the Consolidated Statements of Comprehensive Income. Total deferred revenue related to our gift cards is included in “Accrued liabilities” in our Consolidated Balance Sheets. During the thirteen and thirty-nine weeks ended November 4, 2018, we recognized revenue of approximately $800 and $3,500, respectively, related to the amount in deferred revenue as of the end of fiscal 2017, of which approximately $240 and $630 was gift card breakage revenue.</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b w:val="1"/>
          <w:bCs w:val="1"/>
          <w:i w:val="1"/>
          <w:iCs w:val="1"/>
          <w:color w:val="auto"/>
        </w:rPr>
        <w:t>Stockholders’ equity</w:t>
      </w:r>
      <w:r>
        <w:rPr>
          <w:rFonts w:ascii="Arial" w:cs="Arial" w:eastAsia="Arial" w:hAnsi="Arial"/>
          <w:sz w:val="16"/>
          <w:szCs w:val="16"/>
          <w:color w:val="auto"/>
        </w:rPr>
        <w:t>— Our Board of Directors has approved a share repurchase program, under which the Company may repurchase shares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open market, through privately negotiated transactions, and through trading plans designed to comply with Rule 10b5-1 of the Securities Exchange Act of 1934, as amended. The share repurchase program may be modified, suspended or discontinued at any time. The Company has a total share repurchase authorization of $400,000 which expires at the end of fiscal 2020. During the thirteen and thirty-nine weeks ended November 4, 2018, the Company purchased 436,706 and 1,771,767 shares of common stock at an average cost of $57.24 and $48.58 per share, respectively. Since the inception of the repurchase program, the Company has purchased 4,975,139 shares of common stock at an average cost of $53.63 per share. As of November 4, 2018, we have approximately $133,186 of share repurchase authorization remaining under the current plan.</w:t>
      </w:r>
    </w:p>
    <w:p>
      <w:pPr>
        <w:spacing w:after="0" w:line="16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In our consolidated financial statements, the Company treats shares withheld for tax purposes on behalf of our employees in connection with the vesting of performance restricted stock units as common stock repurchases because they reduce the number of shares that would have been issued upon vesting. These withheld shares of common stock are not considered common stock repurchases under our authorized common stock repurchase plan. During the thirty-nine weeks ended November 4, 2018, we withheld 16,251 shares of common stock to satisfy $673 of employees’ tax obligations.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third quarter of fiscal 2018, we declared and paid dividends of $5,842 to common stock shareholders.</w:t>
      </w:r>
    </w:p>
    <w:p>
      <w:pPr>
        <w:spacing w:after="0" w:line="225"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b w:val="1"/>
          <w:bCs w:val="1"/>
          <w:i w:val="1"/>
          <w:iCs w:val="1"/>
          <w:color w:val="auto"/>
        </w:rPr>
        <w:t>Recent accounting pronouncements</w:t>
      </w:r>
      <w:r>
        <w:rPr>
          <w:rFonts w:ascii="Arial" w:cs="Arial" w:eastAsia="Arial" w:hAnsi="Arial"/>
          <w:sz w:val="16"/>
          <w:szCs w:val="16"/>
          <w:color w:val="auto"/>
        </w:rPr>
        <w:t>— In February 2016, the Financial Accounting Standards Board (“FASB”) issued Accounting Standard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Update (“ASU”) 2016-02, Leases (Topic 842). The new guidance requires the recognition of lease liabilities, representing future minimum lease payments, on a discounted basis, and corresponding right-of-use assets on a balance sheet for most leases, along with requirements for enhanced disclosures to give financial statement users the ability to assess the amount, timing and uncertainty of cash flows arising from leasing arrangements. In July 2018, the FASB issued an alternative method that permits application of the new guidance at the beginning of the year of adoption, recognizing a cumulative-effect adjustment to the opening balance of retained earnings in the period of adoption, in addition to the method of applying the new guidance retrospectively to each prior reporting period presented. The guidance will be effective for us at the beginning of our first quarter of fiscal 2019, using the new transition method, with optional practical expedients. We are currently evaluating the impact of the updated guidance on our consolidated financial statements, and we expect the adoption of this guidance will likely have an insignificant impact on our Consolidated Statements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of Comprehensive Income and will result in a material increase in the assets and liabilities on our Consolidated Balance Sheets. As of November 4, 2018, the Company had an estimated $1,756,886 in undiscounted future minimum lease commitments. The discounted minimum remaining rental payments will be the starting point for determining the right-of-use asset and lease liability. We are substantially complete with our preliminary assessment of the impact of the new standard on equipment leases and do not believe they will have a material impact on our consolidated financial statements. Additionally, we have reviewed most of our current facility leases and extracted the relevant data needed to apply the new guidance. We continue to evaluate the impact of the new standard on our facility leases, and we plan to take advantage of the transition package of practical expedients permitted within the new standard, which will allow us to carry forward the historical lease classification, to not reassess whether any existing contracts are or contain leases and to not reassess initial direct costs for any existing leases. We also plan to make policy elections not to apply the balance sheet recognition requirements for qualifying short-term leases and not to separate non-lease components from lease components, as applicable, to our facility leases. We are currently assessing whether to elect the hindsight practical expedient to determine the reasonably certain lease term for existing leases. Recognition of a lease liability related to operating leases will not impact any covenants related to the Company’s long-term debt because the debt agreements specify that covenant ratios be calculated using GAAP in effect at the time the debt agreements were entered into.</w:t>
      </w:r>
    </w:p>
    <w:p>
      <w:pPr>
        <w:spacing w:after="0" w:line="16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which eliminates the requirement to calculate the implied fair value of goodwill if the fair value of a reporting unit is less than the carrying amount of the reporting unit. Instead, if the carrying amount of a reporting unit exceeds its fair value, an impairment loss will be recognized in an amount equal to that excess, limited to the total amount of goodwill allocated to that reporting unit. The guidance is effective for goodwill impairment tests in fiscal years beginning after December 15, 2019 and should be applied on a prospective basis. The Company does not expect the adoption will have a material impact on our consolidated financial statements when we perform future annual impairment tests.</w:t>
      </w:r>
    </w:p>
    <w:p>
      <w:pPr>
        <w:spacing w:after="0" w:line="193"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In August 2018, the FASB issued ASU 2018-15, Intangibles – Goodwill and Other – Internal Use Software (Subtopic 350-40), which aligns the requirements for capitalizing implementation costs incurred in a cloud computing arrangement that is a service contract with the requirements for capitalizing implementation costs incurred to develop or obtain internal-use software. This update is effective in fiscal years beginning after December 15, 2019 and for interim periods within those fiscal years, with early adoption permitted, including adoption in any interim period. The amendments in this update should be applied either retrospectively or prospectively to all implementation costs incurred after the date of adoption. The Company does not expect the adoption will have a material impact on our consolidated financial statements.</w:t>
      </w:r>
    </w:p>
    <w:p>
      <w:pPr>
        <w:spacing w:after="0" w:line="178" w:lineRule="exact"/>
        <w:rPr>
          <w:sz w:val="20"/>
          <w:szCs w:val="20"/>
          <w:color w:val="auto"/>
        </w:rPr>
      </w:pPr>
    </w:p>
    <w:p>
      <w:pPr>
        <w:ind w:left="200" w:right="360" w:firstLine="441"/>
        <w:spacing w:after="0" w:line="279" w:lineRule="auto"/>
        <w:rPr>
          <w:sz w:val="20"/>
          <w:szCs w:val="20"/>
          <w:color w:val="auto"/>
        </w:rPr>
      </w:pPr>
      <w:r>
        <w:rPr>
          <w:rFonts w:ascii="Arial" w:cs="Arial" w:eastAsia="Arial" w:hAnsi="Arial"/>
          <w:sz w:val="17"/>
          <w:szCs w:val="17"/>
          <w:color w:val="auto"/>
        </w:rPr>
        <w:t>In August 2018, the FASB issued ASU 2018-13, Fair Value Measurement (Topic 820): Disclosure Framework – Changes to the Disclosure Requirements for Fair Value Measurement, which eliminates, modifies and adds disclosure requirements for fair value measurements. The update is effective for fiscal years beginning after December 15, 2019 and for interim periods within those fiscal years, with early adoption permitted. The Company is currently assessing the impact of this new standard on our consolidated financial statements.</w:t>
      </w:r>
    </w:p>
    <w:p>
      <w:pPr>
        <w:spacing w:after="0" w:line="171"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In August 2018, the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 in each caption of stockholders’ equity presented in the consolidated balance sheet must be provided in a note or separate statement. The analysis should present a reconciliation of the beginning balance to the ending balance of each period for which a statement of comprehensive income is required to be filed. The final rules are effective for all filings made on or after November 5, 2018, with the option for filer’s first presentation of the changes in shareholders’ equity to be included in its Form 10-Q for the quarter that begins after the effective date of the amendments. The Company anticipates its first presentation of the expanded disclosure requirements of the changes in stockholders’ equity in its Form 10-Q for the first quarter of fiscal year 2019.</w:t>
      </w:r>
    </w:p>
    <w:p>
      <w:pPr>
        <w:spacing w:after="0" w:line="166"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adoption of ASU 2016-18, Statement of Cash Flows (Topic 230): Restricted Cash and ASU 2016-15, Statement of Cash Flows (Topic 230) during the current fiscal year did not have an impact on our consolidated financial statements.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Accrued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consist of the following as of:</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w w:val="97"/>
              </w:rPr>
              <w:t>November 4, 2018</w:t>
            </w:r>
          </w:p>
        </w:tc>
        <w:tc>
          <w:tcPr>
            <w:tcW w:w="700" w:type="dxa"/>
            <w:vAlign w:val="bottom"/>
          </w:tcPr>
          <w:p>
            <w:pPr>
              <w:spacing w:after="0"/>
              <w:rPr>
                <w:sz w:val="14"/>
                <w:szCs w:val="14"/>
                <w:color w:val="auto"/>
              </w:rPr>
            </w:pP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w w:val="97"/>
              </w:rPr>
              <w:t>February 4, 2018</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amusement revenue</w:t>
            </w:r>
          </w:p>
        </w:tc>
        <w:tc>
          <w:tcPr>
            <w:tcW w:w="1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40,840</w:t>
            </w:r>
          </w:p>
        </w:tc>
        <w:tc>
          <w:tcPr>
            <w:tcW w:w="7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33,806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Amusement redemption liability</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19,581</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19,212</w:t>
            </w:r>
          </w:p>
        </w:tc>
        <w:tc>
          <w:tcPr>
            <w:tcW w:w="70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Rent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18,172</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16,478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9,041</w:t>
            </w:r>
          </w:p>
        </w:tc>
        <w:tc>
          <w:tcPr>
            <w:tcW w:w="70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Customer deposits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7,981</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gift card revenue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6,751</w:t>
            </w:r>
          </w:p>
        </w:tc>
        <w:tc>
          <w:tcPr>
            <w:tcW w:w="70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Current portion of long-term insurance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4,600</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70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Sales and use taxes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3,775</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Inventory liabilities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70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(refer to Note 4)</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12,008</w:t>
            </w: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12,309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162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149,603</w:t>
            </w: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135,161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3: Debt</w:t>
            </w: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8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80" w:type="dxa"/>
            <w:vAlign w:val="bottom"/>
            <w:gridSpan w:val="2"/>
          </w:tcPr>
          <w:p>
            <w:pPr>
              <w:ind w:left="440"/>
              <w:spacing w:after="0"/>
              <w:rPr>
                <w:sz w:val="20"/>
                <w:szCs w:val="20"/>
                <w:color w:val="auto"/>
              </w:rPr>
            </w:pPr>
            <w:r>
              <w:rPr>
                <w:rFonts w:ascii="Arial" w:cs="Arial" w:eastAsia="Arial" w:hAnsi="Arial"/>
                <w:sz w:val="18"/>
                <w:szCs w:val="18"/>
                <w:color w:val="auto"/>
              </w:rPr>
              <w:t>Long-term debt consists of the following as of:</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November 4, 2018</w:t>
            </w:r>
          </w:p>
        </w:tc>
        <w:tc>
          <w:tcPr>
            <w:tcW w:w="1860" w:type="dxa"/>
            <w:vAlign w:val="bottom"/>
            <w:gridSpan w:val="5"/>
          </w:tcPr>
          <w:p>
            <w:pPr>
              <w:ind w:left="700"/>
              <w:spacing w:after="0"/>
              <w:rPr>
                <w:sz w:val="20"/>
                <w:szCs w:val="20"/>
                <w:color w:val="auto"/>
              </w:rPr>
            </w:pPr>
            <w:r>
              <w:rPr>
                <w:rFonts w:ascii="Arial" w:cs="Arial" w:eastAsia="Arial" w:hAnsi="Arial"/>
                <w:sz w:val="14"/>
                <w:szCs w:val="14"/>
                <w:b w:val="1"/>
                <w:bCs w:val="1"/>
                <w:color w:val="auto"/>
              </w:rPr>
              <w:t>February 4, 2018</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 - term</w:t>
            </w:r>
          </w:p>
        </w:tc>
        <w:tc>
          <w:tcPr>
            <w:tcW w:w="1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296,250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Credit facility - revolver</w:t>
            </w:r>
          </w:p>
        </w:tc>
        <w:tc>
          <w:tcPr>
            <w:tcW w:w="1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99,000</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debt outstanding</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384,000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367,250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Less: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installments - term</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w:t>
            </w:r>
          </w:p>
        </w:tc>
        <w:tc>
          <w:tcPr>
            <w:tcW w:w="70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Debt issuance costs - term</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(836)</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4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620" w:type="dxa"/>
            <w:vAlign w:val="bottom"/>
            <w:gridSpan w:val="3"/>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368,164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351,249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On August 17, 2017, we entered into a senior secured credit facility that provides a $300,000 term loan facility and a $500,000 revolving credit facility with a maturity date of August 17, 2022. The $500,000 revolving credit facility includes a $35,000 letter of credit sub-facility and a $15,000 swing loan sub-facility. The revolving credit facility is available to provide financing for general purposes. Principal payments on the term loan facility are $3,750 per quarter through maturity, when the remaining balance is due. Our current credit facility is secured by the assets of D&amp;B Inc and is unconditionally guaranteed by D&amp;B Holdings and each of its direct and indirect domestic wholly-owned subsidiaries. As of November 4, 2018, we had letters of credit outstanding of $5,047 and $395,953 of borrowing available under our credit facility.</w:t>
      </w:r>
    </w:p>
    <w:p>
      <w:pPr>
        <w:spacing w:after="0" w:line="17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interest rates per annum applicable to loans, other than swing loans, under our existing credit facility are currently set based on a defined LIBOR rate plus an applicable margin. Swing loans bear interest at a base rate plus an applicable margin. The loans bear interest subject to a pricing grid based on a total leverage ratio, at LIBOR plus a spread ranging from 1.25% to 2.00% for the term loans and the revolving loans. The stated weighted average interest rate at November 4, 2018 was 3.55%. The year-to-date weighted average effective interest rate was 3.77%. The weighted average effective rate includes amortization of debt issuance costs, commitment and other fees.</w:t>
      </w:r>
    </w:p>
    <w:p>
      <w:pPr>
        <w:spacing w:after="0" w:line="173"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Our credit facility contains restrictive covenants that, among other things, place certain limitations on our ability to: incur additional indebtedness, make loans or advances to subsidiaries and other entities, pay dividends, acquire other businesses or sell assets. In addition, our credit facility requires us to maintain certain financial ratio covenants. As of November 4, 2018, we were in compliance with our restrictive and financial ratio covenants.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 The following tables set forth our recorded interest expense, net for the periods indicated:</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6"/>
              </w:rPr>
              <w:t>Thirteen Weeks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Thirteen Weeks</w:t>
            </w: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5"/>
          </w:tcPr>
          <w:p>
            <w:pPr>
              <w:spacing w:after="0"/>
              <w:rPr>
                <w:sz w:val="20"/>
                <w:szCs w:val="20"/>
                <w:color w:val="auto"/>
              </w:rPr>
            </w:pPr>
            <w:r>
              <w:rPr>
                <w:rFonts w:ascii="Arial" w:cs="Arial" w:eastAsia="Arial" w:hAnsi="Arial"/>
                <w:sz w:val="14"/>
                <w:szCs w:val="14"/>
                <w:b w:val="1"/>
                <w:bCs w:val="1"/>
                <w:color w:val="auto"/>
              </w:rPr>
              <w:t>November 4, 2018</w:t>
            </w:r>
          </w:p>
        </w:tc>
        <w:tc>
          <w:tcPr>
            <w:tcW w:w="380" w:type="dxa"/>
            <w:vAlign w:val="bottom"/>
          </w:tcPr>
          <w:p>
            <w:pPr>
              <w:spacing w:after="0"/>
              <w:rPr>
                <w:sz w:val="14"/>
                <w:szCs w:val="14"/>
                <w:color w:val="auto"/>
              </w:rPr>
            </w:pP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October 29, 2017</w:t>
            </w: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on credit facilities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3,358</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Amortization of issuance cost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Capitalized interest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8"/>
                <w:szCs w:val="18"/>
                <w:color w:val="auto"/>
              </w:rPr>
              <w:t>(192)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cap</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Total interest expense,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3,321</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720" w:type="dxa"/>
            <w:vAlign w:val="bottom"/>
            <w:gridSpan w:val="7"/>
          </w:tcPr>
          <w:p>
            <w:pPr>
              <w:spacing w:after="0"/>
              <w:rPr>
                <w:sz w:val="20"/>
                <w:szCs w:val="20"/>
                <w:color w:val="auto"/>
              </w:rPr>
            </w:pPr>
            <w:r>
              <w:rPr>
                <w:rFonts w:ascii="Arial" w:cs="Arial" w:eastAsia="Arial" w:hAnsi="Arial"/>
                <w:sz w:val="14"/>
                <w:szCs w:val="14"/>
                <w:b w:val="1"/>
                <w:bCs w:val="1"/>
                <w:color w:val="auto"/>
              </w:rPr>
              <w:t>Thirty-nine Weeks</w:t>
            </w:r>
          </w:p>
        </w:tc>
        <w:tc>
          <w:tcPr>
            <w:tcW w:w="16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Thirty-nine Weeks</w:t>
            </w: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right"/>
              <w:ind w:right="940"/>
              <w:spacing w:after="0" w:line="149" w:lineRule="exact"/>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6"/>
          </w:tcPr>
          <w:p>
            <w:pPr>
              <w:spacing w:after="0"/>
              <w:rPr>
                <w:sz w:val="20"/>
                <w:szCs w:val="20"/>
                <w:color w:val="auto"/>
              </w:rPr>
            </w:pPr>
            <w:r>
              <w:rPr>
                <w:rFonts w:ascii="Arial" w:cs="Arial" w:eastAsia="Arial" w:hAnsi="Arial"/>
                <w:sz w:val="14"/>
                <w:szCs w:val="14"/>
                <w:b w:val="1"/>
                <w:bCs w:val="1"/>
                <w:color w:val="auto"/>
              </w:rPr>
              <w:t>November 4, 2018</w:t>
            </w:r>
          </w:p>
        </w:tc>
        <w:tc>
          <w:tcPr>
            <w:tcW w:w="380" w:type="dxa"/>
            <w:vAlign w:val="bottom"/>
          </w:tcPr>
          <w:p>
            <w:pPr>
              <w:spacing w:after="0"/>
              <w:rPr>
                <w:sz w:val="14"/>
                <w:szCs w:val="14"/>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4"/>
              </w:rPr>
              <w:t>October 29, 2017</w:t>
            </w: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on 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Amortization of issuance cost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Capitalized interest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(507)</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cap</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Total interest expense,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Commitments and Contingencies</w:t>
      </w:r>
    </w:p>
    <w:p>
      <w:pPr>
        <w:spacing w:after="0" w:line="121"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We are subject to certain legal proceedings and claims that arise in the ordinary course of our business, including claims alleging violations of federal and state law regarding workplace and employment matters, discrimination and similar matters. In the opinion of management, based upon consultation with legal counsel, the amount of ultimate liability with respect to such legal proceedings and claims will not materially affect the consolidated results of our operations or our financial condition.</w:t>
      </w:r>
    </w:p>
    <w:p>
      <w:pPr>
        <w:spacing w:after="0" w:line="187" w:lineRule="exact"/>
        <w:rPr>
          <w:sz w:val="20"/>
          <w:szCs w:val="20"/>
          <w:color w:val="auto"/>
        </w:rPr>
      </w:pPr>
    </w:p>
    <w:p>
      <w:pPr>
        <w:ind w:left="200" w:right="260" w:firstLine="441"/>
        <w:spacing w:after="0" w:line="270" w:lineRule="auto"/>
        <w:rPr>
          <w:sz w:val="20"/>
          <w:szCs w:val="20"/>
          <w:color w:val="auto"/>
        </w:rPr>
      </w:pPr>
      <w:r>
        <w:rPr>
          <w:rFonts w:ascii="Arial" w:cs="Arial" w:eastAsia="Arial" w:hAnsi="Arial"/>
          <w:sz w:val="17"/>
          <w:szCs w:val="17"/>
          <w:color w:val="auto"/>
        </w:rPr>
        <w:t>On June 30, 2017, we agreed to settle litigation related to alleged violations of the Employee Retirement Income Security Act. The settlement agreement was preliminarily approved by the court on December 7, 2018, and the court has set a hearing concerning final approval for May 9, 2019. The settlement agreement is subject to court approval. To cover the estimated net costs of settlement, including estimated payment to any opt-in members and class attorneys, as well as related settlement administration costs, we recorded a net charge of $2,550 (representing $7,500 of gross settlement costs less $4,950 of insurance recoveries) during the thirteen-week period ended July 30, 2017. The charge was recorded in general and administrative expenses in our Consolidated Statements of Comprehensive Income. No additional settlement liabilities or recoveries related to this litigation were recorded in the thirty-nine week period ended November 4, 2018. The actual amount of any settlement payment could vary from our estimate and will be subject to many factors including approval by the court, the claims process and other matters typically associated with the settlement of litigation.</w:t>
      </w:r>
    </w:p>
    <w:p>
      <w:pPr>
        <w:spacing w:after="0" w:line="18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During the third quarter of fiscal 2017, three major hurricanes made landfall impacting areas where we operate our stores, which negatively impacted store revenues. During the first quarter and third quarter of fiscal 2018, we recognized business interruption insurance recoveries of approximately $500 and $2,195, respectively, related to the events, which are included in “Other store operating expenses” in the Consolidated Statements of Comprehensive Income. During the third quarter of fiscal 2018, we also recognized property insurance recoveries of approximately $540, related to the events, which resulted in a net gain on disposal of fixed assets of approximately $180, which is included in “Other store operating expenses” in the Consolidated Statements of Comprehensive Income. At November 4, 2018, “Other current assets” in our Consolidated Balance Sheets, includes a receivable from our insurance provider of approximately $2,625, which was collected subsequent to the end of our third quarter.</w:t>
      </w:r>
    </w:p>
    <w:p>
      <w:pPr>
        <w:spacing w:after="0" w:line="16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lease certain property and equipment under various non-cancelable operating leases. Some of the leases include options for renewal or extension on various terms. Most of the leases require us to pay property taxes, insurance and maintenance of the leased assets. Certain leases also have provisions for additional contingent rentals based on revenues.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608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440" w:type="dxa"/>
            <w:vAlign w:val="bottom"/>
            <w:gridSpan w:val="3"/>
          </w:tcPr>
          <w:p>
            <w:pPr>
              <w:ind w:left="640"/>
              <w:spacing w:after="0"/>
              <w:rPr>
                <w:sz w:val="20"/>
                <w:szCs w:val="20"/>
                <w:color w:val="auto"/>
              </w:rPr>
            </w:pPr>
            <w:r>
              <w:rPr>
                <w:rFonts w:ascii="Arial" w:cs="Arial" w:eastAsia="Arial" w:hAnsi="Arial"/>
                <w:sz w:val="18"/>
                <w:szCs w:val="18"/>
                <w:color w:val="auto"/>
              </w:rPr>
              <w:t>The following table sets forth our lease commitments as of November 4, 2018:</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620" w:type="dxa"/>
            <w:vAlign w:val="bottom"/>
            <w:vMerge w:val="restart"/>
          </w:tcPr>
          <w:p>
            <w:pPr>
              <w:spacing w:after="0"/>
              <w:rPr>
                <w:sz w:val="21"/>
                <w:szCs w:val="21"/>
                <w:color w:val="auto"/>
              </w:rPr>
            </w:pPr>
          </w:p>
        </w:tc>
        <w:tc>
          <w:tcPr>
            <w:tcW w:w="5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1 year or less</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 years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3 years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4 years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102,380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Thereafter</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1,208,998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future payments</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1,756,886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200" w:right="200" w:firstLine="441"/>
        <w:spacing w:after="0" w:line="264" w:lineRule="auto"/>
        <w:rPr>
          <w:sz w:val="20"/>
          <w:szCs w:val="20"/>
          <w:color w:val="auto"/>
        </w:rPr>
      </w:pPr>
      <w:r>
        <w:rPr>
          <w:rFonts w:ascii="Arial" w:cs="Arial" w:eastAsia="Arial" w:hAnsi="Arial"/>
          <w:sz w:val="18"/>
          <w:szCs w:val="18"/>
          <w:color w:val="auto"/>
        </w:rPr>
        <w:t>As of November 4, 2018, we have signed operating lease agreements for eleven future sites which are expected to open in the fourth quarter of fiscal 2018 and early fiscal 2019. The landlord has fulfilled the obligations to commit us to the lease terms under these agreements and therefore, the future obligations related to these locations are included in the table above.</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of November 4, 2018, we have signed twelve additional operating lease agreements for future sites. Our commitments under these agreements are contingent upon, among other things, the landlord’s delivery of access to the premises for construction. Future obligations related to these agreements are not included in the table above.</w:t>
      </w:r>
    </w:p>
    <w:p>
      <w:pPr>
        <w:spacing w:after="0" w:line="18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During the third quarter of fiscal 2018, we purchased land for a future site in Wichita, Kansas which is expected to open in fiscal 2019. The purchase price of $2,444 in included in property and equipment.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Income Taxes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effective income tax rate for the thirty-nine weeks ended November 4, 2018 was 20.6%, compared to 26.8% for the thirty-nine weeks ended October 29, 2017. This decrease in the effective tax rate primarily reflects a lower U.S. federal corporate tax rate established by the Tax Cuts and Jobs Act (the “Tax Act”) enacted on December 22, 2017, offset by a lower excess tax benefit associated with share-based compensation. Other differences from the statutory rate are due to the FICA tip credits, state income taxes and the impact of certain income and expense items which are not recognized for income tax purposes.</w:t>
      </w:r>
    </w:p>
    <w:p>
      <w:pPr>
        <w:spacing w:after="0" w:line="188"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We believe we have properly estimated our federal and state income tax liabilities for the impacts of the Tax Act, and our accounting for the income tax effects of the Tax Act related to the deferred tax rate change, the effects on executive compensation has been completed and utilization of bonus depreciation. However, given the amount and complexity of the changes in tax law resulting from the Tax Act, including technical amendments and interpretations of regulations by the Department of Treasury and Internal Revenue Service, we may make further refinements to our calculations considering technical guidance that may be published and will record those adjustments in the period the guidance is issued. As of November 4, 2018, we have not changed the provisional estimates recognized in fiscal 2017.</w:t>
      </w:r>
    </w:p>
    <w:p>
      <w:pPr>
        <w:spacing w:after="0" w:line="1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240" w:top="446"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Earnings per share</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Potential dilutive shares consist of the incremental common shares issuable upon the exercise of outstanding stock options (both vested and unvested), unvested time-based restricted stock units (RSU’s) and unvested performance RSU’s to the extent performance measures were attained as of the end of the reporting period, calculated using the treasury-stock method. Potential dilutive shares are excluded from the computation of earnings per share (“EPS”) if their effect is anti-dilutive. Stock options for which the exercise price exceeds the average market price over the period are anti-dilutive and, accordingly, are excluded from the calculation. The weighted average anti-dilutive options excluded from the calculation of common equivalent shares were 11,222 and 60,154 in the thirteen and thirty-nine weeks ended November 4, 2018.</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EPS, basic and diluted for the periods indicated:</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2"/>
              </w:rPr>
              <w:t>Thirteen Weeks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Thirteen Weeks</w:t>
            </w: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294"/>
              <w:spacing w:after="0" w:line="149" w:lineRule="exact"/>
              <w:rPr>
                <w:sz w:val="20"/>
                <w:szCs w:val="20"/>
                <w:color w:val="auto"/>
              </w:rPr>
            </w:pPr>
            <w:r>
              <w:rPr>
                <w:rFonts w:ascii="Arial" w:cs="Arial" w:eastAsia="Arial" w:hAnsi="Arial"/>
                <w:sz w:val="14"/>
                <w:szCs w:val="14"/>
                <w:b w:val="1"/>
                <w:bCs w:val="1"/>
                <w:color w:val="auto"/>
              </w:rPr>
              <w:t>Ended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November 4, 2018</w:t>
            </w:r>
          </w:p>
        </w:tc>
        <w:tc>
          <w:tcPr>
            <w:tcW w:w="720" w:type="dxa"/>
            <w:vAlign w:val="bottom"/>
          </w:tcPr>
          <w:p>
            <w:pPr>
              <w:spacing w:after="0"/>
              <w:rPr>
                <w:sz w:val="14"/>
                <w:szCs w:val="14"/>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October 29, 2017</w:t>
            </w:r>
          </w:p>
        </w:tc>
      </w:tr>
      <w:tr>
        <w:trPr>
          <w:trHeight w:val="196"/>
        </w:trPr>
        <w:tc>
          <w:tcPr>
            <w:tcW w:w="20" w:type="dxa"/>
            <w:vAlign w:val="bottom"/>
          </w:tcPr>
          <w:p>
            <w:pPr>
              <w:spacing w:after="0"/>
              <w:rPr>
                <w:sz w:val="17"/>
                <w:szCs w:val="17"/>
                <w:color w:val="auto"/>
              </w:rPr>
            </w:pPr>
          </w:p>
        </w:tc>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11,856</w:t>
            </w:r>
          </w:p>
        </w:tc>
        <w:tc>
          <w:tcPr>
            <w:tcW w:w="80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12,157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880" w:type="dxa"/>
            <w:vAlign w:val="bottom"/>
          </w:tcPr>
          <w:p>
            <w:pPr>
              <w:ind w:left="340"/>
              <w:spacing w:after="0" w:line="201" w:lineRule="exact"/>
              <w:rPr>
                <w:sz w:val="20"/>
                <w:szCs w:val="20"/>
                <w:color w:val="auto"/>
              </w:rPr>
            </w:pPr>
            <w:r>
              <w:rPr>
                <w:rFonts w:ascii="Arial" w:cs="Arial" w:eastAsia="Arial" w:hAnsi="Arial"/>
                <w:sz w:val="18"/>
                <w:szCs w:val="18"/>
                <w:color w:val="auto"/>
                <w:w w:val="97"/>
              </w:rPr>
              <w:t>Weighted average number of common shares outstanding</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52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38,892,288</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41,077,206</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Weighted average dilutive impact of equity-based awards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963,360</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1,173,405</w:t>
            </w:r>
          </w:p>
        </w:tc>
        <w:tc>
          <w:tcPr>
            <w:tcW w:w="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880" w:type="dxa"/>
            <w:vAlign w:val="bottom"/>
          </w:tcPr>
          <w:p>
            <w:pPr>
              <w:ind w:left="340"/>
              <w:spacing w:after="0" w:line="201" w:lineRule="exact"/>
              <w:rPr>
                <w:sz w:val="20"/>
                <w:szCs w:val="20"/>
                <w:color w:val="auto"/>
              </w:rPr>
            </w:pPr>
            <w:r>
              <w:rPr>
                <w:rFonts w:ascii="Arial" w:cs="Arial" w:eastAsia="Arial" w:hAnsi="Arial"/>
                <w:sz w:val="18"/>
                <w:szCs w:val="18"/>
                <w:color w:val="auto"/>
              </w:rPr>
              <w:t>Weighted average number of common and common</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520"/>
              <w:spacing w:after="0"/>
              <w:rPr>
                <w:sz w:val="20"/>
                <w:szCs w:val="20"/>
                <w:color w:val="auto"/>
              </w:rPr>
            </w:pPr>
            <w:r>
              <w:rPr>
                <w:rFonts w:ascii="Arial" w:cs="Arial" w:eastAsia="Arial" w:hAnsi="Arial"/>
                <w:sz w:val="18"/>
                <w:szCs w:val="18"/>
                <w:color w:val="auto"/>
              </w:rPr>
              <w:t>equivalent shares outstanding (diluted)</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39,855,648</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42,250,611</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Basic</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0.30</w:t>
            </w:r>
          </w:p>
        </w:tc>
        <w:tc>
          <w:tcPr>
            <w:tcW w:w="80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0" w:type="dxa"/>
            <w:vAlign w:val="bottom"/>
            <w:shd w:val="clear" w:color="auto" w:fill="CCEEFF"/>
          </w:tcPr>
          <w:p>
            <w:pPr>
              <w:spacing w:after="0"/>
              <w:rPr>
                <w:sz w:val="18"/>
                <w:szCs w:val="18"/>
                <w:color w:val="auto"/>
              </w:rPr>
            </w:pPr>
          </w:p>
        </w:tc>
      </w:tr>
      <w:tr>
        <w:trPr>
          <w:trHeight w:val="342"/>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560" w:type="dxa"/>
            <w:vAlign w:val="bottom"/>
            <w:gridSpan w:val="3"/>
          </w:tcPr>
          <w:p>
            <w:pPr>
              <w:ind w:left="420"/>
              <w:spacing w:after="0"/>
              <w:rPr>
                <w:sz w:val="20"/>
                <w:szCs w:val="20"/>
                <w:color w:val="auto"/>
              </w:rPr>
            </w:pPr>
            <w:r>
              <w:rPr>
                <w:rFonts w:ascii="Arial" w:cs="Arial" w:eastAsia="Arial" w:hAnsi="Arial"/>
                <w:sz w:val="14"/>
                <w:szCs w:val="14"/>
                <w:b w:val="1"/>
                <w:bCs w:val="1"/>
                <w:color w:val="auto"/>
                <w:w w:val="92"/>
              </w:rPr>
              <w:t>Thirty-nine Weeks</w:t>
            </w:r>
          </w:p>
        </w:tc>
        <w:tc>
          <w:tcPr>
            <w:tcW w:w="1920" w:type="dxa"/>
            <w:vAlign w:val="bottom"/>
            <w:gridSpan w:val="4"/>
          </w:tcPr>
          <w:p>
            <w:pPr>
              <w:ind w:left="720"/>
              <w:spacing w:after="0"/>
              <w:rPr>
                <w:sz w:val="20"/>
                <w:szCs w:val="20"/>
                <w:color w:val="auto"/>
              </w:rPr>
            </w:pPr>
            <w:r>
              <w:rPr>
                <w:rFonts w:ascii="Arial" w:cs="Arial" w:eastAsia="Arial" w:hAnsi="Arial"/>
                <w:sz w:val="14"/>
                <w:szCs w:val="14"/>
                <w:b w:val="1"/>
                <w:bCs w:val="1"/>
                <w:color w:val="auto"/>
                <w:w w:val="97"/>
              </w:rPr>
              <w:t>Thirty-nine Weeks</w:t>
            </w: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294"/>
              <w:spacing w:after="0" w:line="149" w:lineRule="exact"/>
              <w:rPr>
                <w:sz w:val="20"/>
                <w:szCs w:val="20"/>
                <w:color w:val="auto"/>
              </w:rPr>
            </w:pPr>
            <w:r>
              <w:rPr>
                <w:rFonts w:ascii="Arial" w:cs="Arial" w:eastAsia="Arial" w:hAnsi="Arial"/>
                <w:sz w:val="14"/>
                <w:szCs w:val="14"/>
                <w:b w:val="1"/>
                <w:bCs w:val="1"/>
                <w:color w:val="auto"/>
              </w:rPr>
              <w:t>Ended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November 4, 2018</w:t>
            </w:r>
          </w:p>
        </w:tc>
        <w:tc>
          <w:tcPr>
            <w:tcW w:w="720" w:type="dxa"/>
            <w:vAlign w:val="bottom"/>
          </w:tcPr>
          <w:p>
            <w:pPr>
              <w:spacing w:after="0"/>
              <w:rPr>
                <w:sz w:val="14"/>
                <w:szCs w:val="14"/>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October 29, 2017</w:t>
            </w:r>
          </w:p>
        </w:tc>
      </w:tr>
      <w:tr>
        <w:trPr>
          <w:trHeight w:val="196"/>
        </w:trPr>
        <w:tc>
          <w:tcPr>
            <w:tcW w:w="20" w:type="dxa"/>
            <w:vAlign w:val="bottom"/>
          </w:tcPr>
          <w:p>
            <w:pPr>
              <w:spacing w:after="0"/>
              <w:rPr>
                <w:sz w:val="17"/>
                <w:szCs w:val="17"/>
                <w:color w:val="auto"/>
              </w:rPr>
            </w:pPr>
          </w:p>
        </w:tc>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87,785</w:t>
            </w:r>
          </w:p>
        </w:tc>
        <w:tc>
          <w:tcPr>
            <w:tcW w:w="80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85,309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880" w:type="dxa"/>
            <w:vAlign w:val="bottom"/>
          </w:tcPr>
          <w:p>
            <w:pPr>
              <w:ind w:left="340"/>
              <w:spacing w:after="0" w:line="201" w:lineRule="exact"/>
              <w:rPr>
                <w:sz w:val="20"/>
                <w:szCs w:val="20"/>
                <w:color w:val="auto"/>
              </w:rPr>
            </w:pPr>
            <w:r>
              <w:rPr>
                <w:rFonts w:ascii="Arial" w:cs="Arial" w:eastAsia="Arial" w:hAnsi="Arial"/>
                <w:sz w:val="18"/>
                <w:szCs w:val="18"/>
                <w:color w:val="auto"/>
                <w:w w:val="97"/>
              </w:rPr>
              <w:t>Weighted average number of common shares outstanding</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52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39,314,271</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41,521,802</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Weighted average dilutive impact of equity-based awards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942,960</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1,366,857</w:t>
            </w:r>
          </w:p>
        </w:tc>
        <w:tc>
          <w:tcPr>
            <w:tcW w:w="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880" w:type="dxa"/>
            <w:vAlign w:val="bottom"/>
          </w:tcPr>
          <w:p>
            <w:pPr>
              <w:ind w:left="340"/>
              <w:spacing w:after="0" w:line="201" w:lineRule="exact"/>
              <w:rPr>
                <w:sz w:val="20"/>
                <w:szCs w:val="20"/>
                <w:color w:val="auto"/>
              </w:rPr>
            </w:pPr>
            <w:r>
              <w:rPr>
                <w:rFonts w:ascii="Arial" w:cs="Arial" w:eastAsia="Arial" w:hAnsi="Arial"/>
                <w:sz w:val="18"/>
                <w:szCs w:val="18"/>
                <w:color w:val="auto"/>
              </w:rPr>
              <w:t>Weighted average number of common and common</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520"/>
              <w:spacing w:after="0"/>
              <w:rPr>
                <w:sz w:val="20"/>
                <w:szCs w:val="20"/>
                <w:color w:val="auto"/>
              </w:rPr>
            </w:pPr>
            <w:r>
              <w:rPr>
                <w:rFonts w:ascii="Arial" w:cs="Arial" w:eastAsia="Arial" w:hAnsi="Arial"/>
                <w:sz w:val="18"/>
                <w:szCs w:val="18"/>
                <w:color w:val="auto"/>
              </w:rPr>
              <w:t>equivalent shares outstanding (diluted)</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40,257,231</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42,888,659</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Basic</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2.23</w:t>
            </w:r>
          </w:p>
        </w:tc>
        <w:tc>
          <w:tcPr>
            <w:tcW w:w="80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0" w:type="dxa"/>
            <w:vAlign w:val="bottom"/>
            <w:shd w:val="clear" w:color="auto" w:fill="CCEEFF"/>
          </w:tcPr>
          <w:p>
            <w:pPr>
              <w:spacing w:after="0"/>
              <w:rPr>
                <w:sz w:val="18"/>
                <w:szCs w:val="18"/>
                <w:color w:val="auto"/>
              </w:rPr>
            </w:pPr>
          </w:p>
        </w:tc>
      </w:tr>
      <w:tr>
        <w:trPr>
          <w:trHeight w:val="365"/>
        </w:trPr>
        <w:tc>
          <w:tcPr>
            <w:tcW w:w="4900" w:type="dxa"/>
            <w:vAlign w:val="bottom"/>
            <w:gridSpan w:val="2"/>
          </w:tcPr>
          <w:p>
            <w:pPr>
              <w:jc w:val="right"/>
              <w:ind w:right="530"/>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Share-Based Compensation</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Compensation expense related to stock options, time-based and performance-based RSU’s and restricted stock are included in general and administrative expenses and were as follows: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Thirteen Weeks Ended</w:t>
            </w: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Thirty-nine Weeks Ended</w:t>
            </w: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November 4, 2018</w:t>
            </w:r>
          </w:p>
        </w:tc>
        <w:tc>
          <w:tcPr>
            <w:tcW w:w="1740" w:type="dxa"/>
            <w:vAlign w:val="bottom"/>
            <w:gridSpan w:val="3"/>
          </w:tcPr>
          <w:p>
            <w:pPr>
              <w:ind w:left="680"/>
              <w:spacing w:after="0" w:line="142" w:lineRule="exact"/>
              <w:rPr>
                <w:sz w:val="20"/>
                <w:szCs w:val="20"/>
                <w:color w:val="auto"/>
              </w:rPr>
            </w:pPr>
            <w:r>
              <w:rPr>
                <w:rFonts w:ascii="Arial" w:cs="Arial" w:eastAsia="Arial" w:hAnsi="Arial"/>
                <w:sz w:val="14"/>
                <w:szCs w:val="14"/>
                <w:b w:val="1"/>
                <w:bCs w:val="1"/>
                <w:color w:val="auto"/>
                <w:w w:val="92"/>
              </w:rPr>
              <w:t>October 29, 2017</w:t>
            </w:r>
          </w:p>
        </w:tc>
        <w:tc>
          <w:tcPr>
            <w:tcW w:w="68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November 4, 2018</w:t>
            </w:r>
          </w:p>
        </w:tc>
        <w:tc>
          <w:tcPr>
            <w:tcW w:w="17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October 29, 2017</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6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6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7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RSU’s and restricted stock</w:t>
            </w:r>
          </w:p>
        </w:tc>
        <w:tc>
          <w:tcPr>
            <w:tcW w:w="3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6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6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7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share-based compensation expense</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4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Transactions related to stock option awards during the thirty-nine weeks ended November 4, 2018 were as follows: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860" w:type="dxa"/>
            <w:vAlign w:val="bottom"/>
            <w:gridSpan w:val="5"/>
          </w:tcPr>
          <w:p>
            <w:pPr>
              <w:jc w:val="right"/>
              <w:ind w:right="53"/>
              <w:spacing w:after="0"/>
              <w:rPr>
                <w:sz w:val="20"/>
                <w:szCs w:val="20"/>
                <w:color w:val="auto"/>
              </w:rPr>
            </w:pPr>
            <w:r>
              <w:rPr>
                <w:rFonts w:ascii="Arial" w:cs="Arial" w:eastAsia="Arial" w:hAnsi="Arial"/>
                <w:sz w:val="14"/>
                <w:szCs w:val="14"/>
                <w:b w:val="1"/>
                <w:bCs w:val="1"/>
                <w:color w:val="auto"/>
                <w:w w:val="99"/>
              </w:rPr>
              <w:t>2014 Stock Incentive Plan</w:t>
            </w:r>
          </w:p>
        </w:tc>
        <w:tc>
          <w:tcPr>
            <w:tcW w:w="420" w:type="dxa"/>
            <w:vAlign w:val="bottom"/>
          </w:tcPr>
          <w:p>
            <w:pPr>
              <w:spacing w:after="0"/>
              <w:rPr>
                <w:sz w:val="14"/>
                <w:szCs w:val="14"/>
                <w:color w:val="auto"/>
              </w:rPr>
            </w:pPr>
          </w:p>
        </w:tc>
        <w:tc>
          <w:tcPr>
            <w:tcW w:w="1920" w:type="dxa"/>
            <w:vAlign w:val="bottom"/>
            <w:gridSpan w:val="6"/>
          </w:tcPr>
          <w:p>
            <w:pPr>
              <w:ind w:left="140"/>
              <w:spacing w:after="0"/>
              <w:rPr>
                <w:sz w:val="20"/>
                <w:szCs w:val="20"/>
                <w:color w:val="auto"/>
              </w:rPr>
            </w:pPr>
            <w:r>
              <w:rPr>
                <w:rFonts w:ascii="Arial" w:cs="Arial" w:eastAsia="Arial" w:hAnsi="Arial"/>
                <w:sz w:val="14"/>
                <w:szCs w:val="14"/>
                <w:b w:val="1"/>
                <w:bCs w:val="1"/>
                <w:color w:val="auto"/>
              </w:rPr>
              <w:t>2010 Stock Incentive Plan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42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Exercise</w:t>
            </w:r>
          </w:p>
        </w:tc>
        <w:tc>
          <w:tcPr>
            <w:tcW w:w="4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of Options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of Options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February 4,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1,001,403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709,979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205,646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41.65</w:t>
            </w:r>
          </w:p>
        </w:tc>
        <w:tc>
          <w:tcPr>
            <w:tcW w:w="4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(305,997)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(15,030)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46.31</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(4,498)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November 4,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1,136,408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399,484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Exercisable at November 4, 2018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745,267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4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399,484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The total intrinsic value of options exercised during the thirty-nine weeks ended November 4, 2018 was $10,667. The unrecognized expense</w:t>
      </w:r>
    </w:p>
    <w:p>
      <w:pPr>
        <w:spacing w:after="0" w:line="3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related to our stock option plan totaled approximately $2,332 as of November 4, 2018 and will be expensed over a weighted average period of 2.2 years.</w:t>
      </w:r>
    </w:p>
    <w:p>
      <w:pPr>
        <w:spacing w:after="0" w:line="234"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Transactions related to time-based and performance-based RSU’s and restricted stock during the thirty-nine weeks ended November 4, 2018 were as follows: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February 4, 2018</w:t>
            </w:r>
          </w:p>
        </w:tc>
        <w:tc>
          <w:tcPr>
            <w:tcW w:w="30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Granted</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112,574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Change in units based on performance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Vested</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color w:val="auto"/>
              </w:rPr>
              <w:t>(115,562)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(10,405)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Outstanding at November 4, 2018</w:t>
            </w:r>
          </w:p>
        </w:tc>
        <w:tc>
          <w:tcPr>
            <w:tcW w:w="30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20" w:type="dxa"/>
            <w:vAlign w:val="bottom"/>
          </w:tcPr>
          <w:p>
            <w:pPr>
              <w:jc w:val="right"/>
              <w:ind w:right="2090"/>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Fair value of our time-based and performance-based RSU’s and restricted stock is based on our closing stock price on the date of grant. The unrecognized expense related to our time-based and performance-based RSU’s and unvested restricted stock was $6,554 as of November 4, 2018 and will be expensed over a weighted average period of 2.5 years.</w:t>
      </w:r>
    </w:p>
    <w:p>
      <w:pPr>
        <w:spacing w:after="0" w:line="181"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During the thirty-nine weeks ended November 4, 2018 and October 29, 2017, excess tax benefits of $4,555 and $11,419, respectively, were recognized as a benefit in the “Provision for income taxes” in the Consolidated Statement of Comprehensive Income and classified as a source in operating activities in the Consolidated Statement of Cash Flows.</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Forfeitures are estimated at the time of grant and adjusted if necessary, in subsequent periods if actual forfeitures differ from those estimates. The forfeiture rate is based on historical experience.</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240" w:top="459" w:right="5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April 3, 2018. 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April 3, 2018. In addition, even if our results of operations, financial condition and liquidity, and the development of the industry in which we operate are consistent with the forward-looking statements contained in this Form 10-Q, those results or developments may not be indicative of results or developments in subsequent periods.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are offered through a full menu of entrées and appetizers and a full selection of non-alcoholic and alcoholic beverages. Our Play and Watch offerings provide an extensive assortment of entertainment attractions centered around playing games and watching live sports and other televised events. Our customer mix skews moderately to males, primarily between the ages of 21 and 39, and we believe we also serve as an attractive venue for families with children and teenagers. We believe we appeal to a diverse customer base by providing a highly customizable experience in a dynamic and fun setting.</w:t>
      </w:r>
    </w:p>
    <w:p>
      <w:pPr>
        <w:spacing w:after="0" w:line="189" w:lineRule="exact"/>
        <w:rPr>
          <w:sz w:val="20"/>
          <w:szCs w:val="20"/>
          <w:color w:val="auto"/>
        </w:rPr>
      </w:pPr>
    </w:p>
    <w:p>
      <w:pPr>
        <w:ind w:left="200" w:right="600" w:firstLine="441"/>
        <w:spacing w:after="0" w:line="308" w:lineRule="auto"/>
        <w:rPr>
          <w:sz w:val="20"/>
          <w:szCs w:val="20"/>
          <w:color w:val="auto"/>
        </w:rPr>
      </w:pPr>
      <w:r>
        <w:rPr>
          <w:rFonts w:ascii="Arial" w:cs="Arial" w:eastAsia="Arial" w:hAnsi="Arial"/>
          <w:sz w:val="17"/>
          <w:szCs w:val="17"/>
          <w:color w:val="auto"/>
        </w:rPr>
        <w:t>Our stores average 42,000 square feet, range in size between 16,000 and 66,000 square feet and are open seven days a week, with hours of operation typically from 11:30 a.m. to midnight on Sunday through Thursday and 11:30 a.m. to 2:00 a.m. on Friday and Saturday.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Strategies and Outlook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growth is based primarily on the following strategies:</w:t>
      </w:r>
    </w:p>
    <w:p>
      <w:pPr>
        <w:spacing w:after="0" w:line="131" w:lineRule="exact"/>
        <w:rPr>
          <w:sz w:val="20"/>
          <w:szCs w:val="20"/>
          <w:color w:val="auto"/>
        </w:rPr>
      </w:pPr>
    </w:p>
    <w:p>
      <w:pPr>
        <w:ind w:left="1620" w:hanging="43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 great new stores;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Drive our comparable stores sales; and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the Dave &amp; Buster’s brand internationally.</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intend for new store expansion to be a key growth driver. Our long-term plan is to open new stores at an annual rate of at least 10% of our existing stores. During the first thirty-nine weeks of fiscal 2018, the Company opened twelve new stores, compared to nine new store openings in the comparable 2017 period. As of November 4, 2018, there were 118 stores in the United States, Puerto Rico and Canada. We strive to increase comparable store sales by delivering compelling game content in our amusement products, enhancing food and beverage items and improving service to our customers. We utilize national cable advertising and digital media to build customer awareness and drive frequency across each of the “Eat, Drink, Play and Watch” components of our business. We currently anticipate opening fifteen new stores in fiscal 2018.</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308" w:lineRule="auto"/>
        <w:rPr>
          <w:sz w:val="20"/>
          <w:szCs w:val="20"/>
          <w:color w:val="auto"/>
        </w:rPr>
      </w:pPr>
      <w:r>
        <w:rPr>
          <w:rFonts w:ascii="Arial" w:cs="Arial" w:eastAsia="Arial" w:hAnsi="Arial"/>
          <w:sz w:val="17"/>
          <w:szCs w:val="17"/>
          <w:color w:val="auto"/>
        </w:rPr>
        <w:t>We believe that we are well positioned for growth with a corporate infrastructure and national marketing platform that can substantially support a larger store base than we currently have, and that we will continue to benefit from economies of scale as we expand.</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further information about our growth strategies and outlook, see the section entitled “Business – Our Growth Strategies” in our Annual Report on Form 10-K filed with the SEC.</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Measures of Our Performance</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monitor and analyze a number of key performance measures to manage our business and evaluate financial and operating performance. These measures include:</w:t>
      </w:r>
    </w:p>
    <w:p>
      <w:pPr>
        <w:spacing w:after="0" w:line="170" w:lineRule="exact"/>
        <w:rPr>
          <w:sz w:val="20"/>
          <w:szCs w:val="20"/>
          <w:color w:val="auto"/>
        </w:rPr>
      </w:pPr>
    </w:p>
    <w:p>
      <w:pPr>
        <w:jc w:val="both"/>
        <w:ind w:left="200" w:right="100" w:firstLine="441"/>
        <w:spacing w:after="0" w:line="340" w:lineRule="auto"/>
        <w:rPr>
          <w:sz w:val="20"/>
          <w:szCs w:val="20"/>
          <w:color w:val="auto"/>
        </w:rPr>
      </w:pPr>
      <w:r>
        <w:rPr>
          <w:rFonts w:ascii="Arial" w:cs="Arial" w:eastAsia="Arial" w:hAnsi="Arial"/>
          <w:sz w:val="15"/>
          <w:szCs w:val="15"/>
          <w:b w:val="1"/>
          <w:bCs w:val="1"/>
          <w:i w:val="1"/>
          <w:iCs w:val="1"/>
          <w:color w:val="auto"/>
        </w:rPr>
        <w:t xml:space="preserve">Comparable store sales. </w:t>
      </w:r>
      <w:r>
        <w:rPr>
          <w:rFonts w:ascii="Arial" w:cs="Arial" w:eastAsia="Arial" w:hAnsi="Arial"/>
          <w:sz w:val="15"/>
          <w:szCs w:val="15"/>
          <w:color w:val="auto"/>
        </w:rPr>
        <w:t>Comparable store sales are a year-over-year comparison of sales at stores open at the end of the period which have been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open for at least 18 months as of the beginning of each of the fiscal years. It is a key performance indicator used within the industry and is indicative of acceptance of our initiatives as well as local economic and consumer trends. Our comparable store base consisted of 86 stores as of November 4, 2018.</w:t>
      </w:r>
    </w:p>
    <w:p>
      <w:pPr>
        <w:spacing w:after="0" w:line="131"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b w:val="1"/>
          <w:bCs w:val="1"/>
          <w:i w:val="1"/>
          <w:iCs w:val="1"/>
          <w:color w:val="auto"/>
        </w:rPr>
        <w:t xml:space="preserve">New store openings. </w:t>
      </w:r>
      <w:r>
        <w:rPr>
          <w:rFonts w:ascii="Arial" w:cs="Arial" w:eastAsia="Arial" w:hAnsi="Arial"/>
          <w:sz w:val="17"/>
          <w:szCs w:val="17"/>
          <w:color w:val="auto"/>
        </w:rPr>
        <w:t>Our ability to expand our business and reach new customers is influenced by the opening of additional stores in both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existing markets. The success of our new stores is indicative of our brand appeal and the efficacy of our site selection and operating models. Between October 29, 2017 and November 4, 2018, we opened seventeen new stores, nine of which were in new markets.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69"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b w:val="1"/>
          <w:bCs w:val="1"/>
          <w:i w:val="1"/>
          <w:iCs w:val="1"/>
          <w:color w:val="auto"/>
        </w:rPr>
        <w:t>Adjusted EBITDA and Adjusted EBITDA Margin</w:t>
      </w:r>
      <w:r>
        <w:rPr>
          <w:rFonts w:ascii="Arial" w:cs="Arial" w:eastAsia="Arial" w:hAnsi="Arial"/>
          <w:sz w:val="16"/>
          <w:szCs w:val="16"/>
          <w:color w:val="auto"/>
        </w:rPr>
        <w:t>. We define “Adjusted EBITDA” as net income plus interest expense, net, loss on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refinancing, provision for income taxes, depreciation and amortization expense, loss on asset disposal, share-based compensation, pre-opening costs, currency transaction (gains) losses and other costs. “Adjusted EBITDA Margin” is defined as Adjusted EBITDA divided by total revenues.</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81"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b w:val="1"/>
          <w:bCs w:val="1"/>
          <w:i w:val="1"/>
          <w:iCs w:val="1"/>
          <w:color w:val="auto"/>
        </w:rPr>
        <w:t xml:space="preserve">Store Operating Income Before Depreciation and Amortization and Store Operating Income Before Depreciation and Amortization Margin. </w:t>
      </w:r>
      <w:r>
        <w:rPr>
          <w:rFonts w:ascii="Arial" w:cs="Arial" w:eastAsia="Arial" w:hAnsi="Arial"/>
          <w:sz w:val="16"/>
          <w:szCs w:val="16"/>
          <w:color w:val="auto"/>
        </w:rPr>
        <w:t>We define “Store Operating Income Before Depreciation and Amortization” as operating income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We believe that Store Operating Income Before Depreciation and Amortization is another useful measure in evaluating our operating performance because it removes the impact of general and administrative expenses, which are not incurred at the store-level, and the costs of opening new stores, which are non-recurring at the store-level,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Presentation of Operating Results</w:t>
      </w:r>
    </w:p>
    <w:p>
      <w:pPr>
        <w:spacing w:after="0" w:line="121"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We operate on a 52 or 53 week fiscal year that ends on the Sunday after the Saturday closest to January 31. Each quarterly period has 13 weeks, except in a 53 week year when the fourth quarter has 14 weeks. All references to the third quarter of 2018 relate to the 13 week period ended November 4, 2018. All references to the third quarter of 2017 relate to the 13 week period ended October 29, 2017. Fiscal 2018 and fiscal 2017 consist of 52 and 53 weeks, respectively. All dollar amounts are presented in thousands, unless otherwise noted, except share and per share amounts.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Cash Flows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source of cash flow is from our operating activities and availability under the revolving credit facility.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Store-Level Variability, Quarterly Fluctuations, Seasonality and Inflation</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have historically operated stores varying in size and have experienced significant variability among stores in volumes, operating results and net investment costs.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new stores typically open with sales volumes in excess of their expected long term run-rate levels, which we refer to as a “honeymoon” effect. We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spacing w:after="0" w:line="18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5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operating results fluctuate from quarter to quarter as a result of seasonal factors. Typically, we have higher first and fourth quarter revenues associated with the spring and year-end holidays. These quarters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18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increases or wage rate increases are expected to be partially offset by selected menu price increases where competitively appropriate.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Thirteen Weeks Ended November 4, 2018 Compared to Thirteen Weeks Ended October 29, 2017</w:t>
      </w:r>
    </w:p>
    <w:p>
      <w:pPr>
        <w:spacing w:after="0" w:line="12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b w:val="1"/>
          <w:bCs w:val="1"/>
          <w:i w:val="1"/>
          <w:iCs w:val="1"/>
          <w:color w:val="auto"/>
        </w:rPr>
        <w:t xml:space="preserve">Results of operations. </w:t>
      </w:r>
      <w:r>
        <w:rPr>
          <w:rFonts w:ascii="Arial" w:cs="Arial" w:eastAsia="Arial" w:hAnsi="Arial"/>
          <w:sz w:val="16"/>
          <w:szCs w:val="16"/>
          <w:color w:val="auto"/>
        </w:rPr>
        <w:t>The following table sets forth selected data, in thousands of dollars and as a percentage of total revenues (unless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noted) for the periods indicated. All information is derived from the accompanying unaudited consolidated statements of comprehensive income.</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Thirteen Weeks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Thirteen Weeks</w:t>
            </w: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left="253"/>
              <w:spacing w:after="0" w:line="149" w:lineRule="exact"/>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left="27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November 4, 2018</w:t>
            </w: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2"/>
              </w:rPr>
              <w:t>October 29, 2017</w:t>
            </w:r>
          </w:p>
        </w:tc>
        <w:tc>
          <w:tcPr>
            <w:tcW w:w="2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118,807</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107,690</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163,332</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142,289</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282,139</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249,979</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w w:val="99"/>
              </w:rPr>
              <w:t>Cost of food and beverage (as a percentage of food and beverage revenues)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31,163</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28,387</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1"/>
              </w:rPr>
              <w:t>Cost of amusement and other (as a percentage of amusement and other revenues)</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17,571</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16,220</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48,734</w:t>
            </w: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44,607</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71,309</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57,967</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96,267</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82,766</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13,432</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30,574</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25,672</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Total operating costs</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266,667</w:t>
            </w:r>
          </w:p>
        </w:tc>
        <w:tc>
          <w:tcPr>
            <w:tcW w:w="34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230,053</w:t>
            </w:r>
          </w:p>
        </w:tc>
        <w:tc>
          <w:tcPr>
            <w:tcW w:w="32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15,472</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3,321</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2,156</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Loss on debt refinancing</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12,151</w:t>
            </w:r>
          </w:p>
        </w:tc>
        <w:tc>
          <w:tcPr>
            <w:tcW w:w="34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17,052</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11,856</w:t>
            </w:r>
          </w:p>
        </w:tc>
        <w:tc>
          <w:tcPr>
            <w:tcW w:w="3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12,157</w:t>
            </w:r>
          </w:p>
        </w:tc>
        <w:tc>
          <w:tcPr>
            <w:tcW w:w="3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Change in comparable store sales (1)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Company-owned stores open at end of period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 open at end of period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640" w:hanging="436"/>
        <w:spacing w:after="0" w:line="277"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change in comparable store sales in fiscal 2018 has been calculated by shifting forward our 2017 fiscal year comparable store sales results by one week, to account for the fact that our 2017 fiscal year consisted of 53 weeks.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240" w:top="459" w:right="5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reconciles (in dollars and as a percent of total revenues) Net income to Adjusted EBITDA for the periods indicated:</w:t>
      </w:r>
    </w:p>
    <w:p>
      <w:pPr>
        <w:spacing w:after="0" w:line="24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Thirteen Weeks</w:t>
            </w:r>
          </w:p>
        </w:tc>
        <w:tc>
          <w:tcPr>
            <w:tcW w:w="160" w:type="dxa"/>
            <w:vAlign w:val="bottom"/>
          </w:tcPr>
          <w:p>
            <w:pPr>
              <w:spacing w:after="0"/>
              <w:rPr>
                <w:sz w:val="14"/>
                <w:szCs w:val="14"/>
                <w:color w:val="auto"/>
              </w:rPr>
            </w:pPr>
          </w:p>
        </w:tc>
        <w:tc>
          <w:tcPr>
            <w:tcW w:w="15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Thirteen Weeks</w:t>
            </w: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0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left="279"/>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November 4, 2018</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October 29, 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$11,856</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$12,157</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Interest expense, net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3,321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2,156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Loss on debt refinancing</w:t>
            </w:r>
          </w:p>
        </w:tc>
        <w:tc>
          <w:tcPr>
            <w:tcW w:w="20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4,895</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30,574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25,672</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EBITDA</w:t>
            </w:r>
          </w:p>
        </w:tc>
        <w:tc>
          <w:tcPr>
            <w:tcW w:w="20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46,046</w:t>
            </w:r>
          </w:p>
        </w:tc>
        <w:tc>
          <w:tcPr>
            <w:tcW w:w="3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45,598</w:t>
            </w:r>
          </w:p>
        </w:tc>
        <w:tc>
          <w:tcPr>
            <w:tcW w:w="3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18.2%</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Loss on asset disposal</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1,757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2,557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costs (1)</w:t>
            </w:r>
          </w:p>
        </w:tc>
        <w:tc>
          <w:tcPr>
            <w:tcW w:w="20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52,669</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54,131</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21.7%</w:t>
            </w: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5"/>
        </w:numPr>
        <w:rPr>
          <w:rFonts w:ascii="Arial" w:cs="Arial" w:eastAsia="Arial" w:hAnsi="Arial"/>
          <w:sz w:val="15"/>
          <w:szCs w:val="15"/>
          <w:color w:val="auto"/>
        </w:rPr>
      </w:pPr>
      <w:r>
        <w:rPr>
          <w:rFonts w:ascii="Arial" w:cs="Arial" w:eastAsia="Arial" w:hAnsi="Arial"/>
          <w:sz w:val="18"/>
          <w:szCs w:val="18"/>
          <w:color w:val="auto"/>
        </w:rPr>
        <w:t>Primarily represents costs related to currency transaction (gains) or losses.</w:t>
      </w:r>
    </w:p>
    <w:p>
      <w:pPr>
        <w:spacing w:after="0" w:line="333"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to Store Operating Income Before Depreciation and Amortization for the periods indicated:</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Thirteen Weeks</w:t>
            </w:r>
          </w:p>
        </w:tc>
        <w:tc>
          <w:tcPr>
            <w:tcW w:w="160" w:type="dxa"/>
            <w:vAlign w:val="bottom"/>
          </w:tcPr>
          <w:p>
            <w:pPr>
              <w:spacing w:after="0"/>
              <w:rPr>
                <w:sz w:val="14"/>
                <w:szCs w:val="14"/>
                <w:color w:val="auto"/>
              </w:rPr>
            </w:pPr>
          </w:p>
        </w:tc>
        <w:tc>
          <w:tcPr>
            <w:tcW w:w="15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00" w:type="dxa"/>
            <w:vAlign w:val="bottom"/>
            <w:gridSpan w:val="2"/>
          </w:tcPr>
          <w:p>
            <w:pPr>
              <w:jc w:val="center"/>
              <w:ind w:left="301"/>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left="281"/>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November 4, 2018</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October 29, 2017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$15,472</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$19,926</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15,043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13,432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30,574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25,672</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Pre-opening costs</w:t>
            </w:r>
          </w:p>
        </w:tc>
        <w:tc>
          <w:tcPr>
            <w:tcW w:w="2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5"/>
              </w:rPr>
              <w:t>Store Operating Income Before Depreciation and Amortization</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65,829</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64,639</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100" w:type="dxa"/>
            <w:vAlign w:val="bottom"/>
            <w:vMerge w:val="restart"/>
          </w:tcPr>
          <w:p>
            <w:pPr>
              <w:jc w:val="right"/>
              <w:ind w:right="1630"/>
              <w:spacing w:after="0"/>
              <w:rPr>
                <w:sz w:val="20"/>
                <w:szCs w:val="20"/>
                <w:color w:val="auto"/>
              </w:rPr>
            </w:pPr>
            <w:r>
              <w:rPr>
                <w:rFonts w:ascii="Arial" w:cs="Arial" w:eastAsia="Arial" w:hAnsi="Arial"/>
                <w:sz w:val="18"/>
                <w:szCs w:val="18"/>
                <w:color w:val="auto"/>
              </w:rPr>
              <w:t>21</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40" w:top="459" w:right="7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The following table represents total accrual-based additions to property and equipment. Total capital additions do not include any reductions for accrual-based tenant improvement allowances or proceeds from sale-leaseback transactions (collectively, “Payments from landlords”).</w:t>
      </w:r>
    </w:p>
    <w:p>
      <w:pPr>
        <w:spacing w:after="0" w:line="13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Thirteen Weeks</w:t>
            </w:r>
          </w:p>
        </w:tc>
        <w:tc>
          <w:tcPr>
            <w:tcW w:w="800" w:type="dxa"/>
            <w:vAlign w:val="bottom"/>
          </w:tcPr>
          <w:p>
            <w:pPr>
              <w:spacing w:after="0"/>
              <w:rPr>
                <w:sz w:val="14"/>
                <w:szCs w:val="1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Thirteen Weeks</w:t>
            </w: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3"/>
              </w:rPr>
              <w:t>Ended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360" w:type="dxa"/>
            <w:vAlign w:val="bottom"/>
            <w:gridSpan w:val="3"/>
          </w:tcPr>
          <w:p>
            <w:pPr>
              <w:jc w:val="center"/>
              <w:ind w:left="1179"/>
              <w:spacing w:after="0"/>
              <w:rPr>
                <w:sz w:val="20"/>
                <w:szCs w:val="20"/>
                <w:color w:val="auto"/>
              </w:rPr>
            </w:pPr>
            <w:r>
              <w:rPr>
                <w:rFonts w:ascii="Arial" w:cs="Arial" w:eastAsia="Arial" w:hAnsi="Arial"/>
                <w:sz w:val="14"/>
                <w:szCs w:val="14"/>
                <w:b w:val="1"/>
                <w:bCs w:val="1"/>
                <w:color w:val="auto"/>
                <w:w w:val="92"/>
              </w:rPr>
              <w:t>November 4, 2018</w:t>
            </w:r>
          </w:p>
        </w:tc>
        <w:tc>
          <w:tcPr>
            <w:tcW w:w="1900" w:type="dxa"/>
            <w:vAlign w:val="bottom"/>
            <w:gridSpan w:val="4"/>
          </w:tcPr>
          <w:p>
            <w:pPr>
              <w:ind w:left="800"/>
              <w:spacing w:after="0"/>
              <w:rPr>
                <w:sz w:val="20"/>
                <w:szCs w:val="20"/>
                <w:color w:val="auto"/>
              </w:rPr>
            </w:pPr>
            <w:r>
              <w:rPr>
                <w:rFonts w:ascii="Arial" w:cs="Arial" w:eastAsia="Arial" w:hAnsi="Arial"/>
                <w:sz w:val="14"/>
                <w:szCs w:val="14"/>
                <w:b w:val="1"/>
                <w:bCs w:val="1"/>
                <w:color w:val="auto"/>
                <w:w w:val="96"/>
              </w:rPr>
              <w:t>October 29, 2017</w:t>
            </w: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New store and operating initiatives</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43,431</w:t>
            </w: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Games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6,897</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capital</w:t>
            </w:r>
          </w:p>
        </w:tc>
        <w:tc>
          <w:tcPr>
            <w:tcW w:w="1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40" w:type="dxa"/>
            <w:vAlign w:val="bottom"/>
            <w:shd w:val="clear" w:color="auto" w:fill="CCEEFF"/>
          </w:tcPr>
          <w:p>
            <w:pPr>
              <w:spacing w:after="0"/>
              <w:rPr>
                <w:sz w:val="18"/>
                <w:szCs w:val="18"/>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Total capital additions</w:t>
            </w:r>
          </w:p>
        </w:tc>
        <w:tc>
          <w:tcPr>
            <w:tcW w:w="1260" w:type="dxa"/>
            <w:vAlign w:val="bottom"/>
          </w:tcPr>
          <w:p>
            <w:pPr>
              <w:spacing w:after="0"/>
              <w:rPr>
                <w:sz w:val="19"/>
                <w:szCs w:val="19"/>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55,477</w:t>
            </w: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61,135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Payments from landlords</w:t>
            </w:r>
          </w:p>
        </w:tc>
        <w:tc>
          <w:tcPr>
            <w:tcW w:w="148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4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jc w:val="center"/>
        <w:ind w:right="92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jc w:val="center"/>
        <w:ind w:right="92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Total revenues increased $32,160, or 12.9%, to $282,139 in the third quarter of fiscal 2018 compared to total revenues of $249,979 in the third quarter of fiscal 2017. For the thirteen weeks ended November 4, 2018, we derived 28.3% of our total revenue from food sales, 13.8% from beverage sales, 57.1% from amusement sales and 0.8% from other sources. For the thirteen weeks ended October 29, 2017, we derived 29.1% of our total revenue from food sales, 14.0% from beverage sales, 56.1% from amusement sales and 0.8% from other sources.</w:t>
      </w:r>
    </w:p>
    <w:p>
      <w:pPr>
        <w:spacing w:after="0" w:line="17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As a result of the 53 week year in fiscal 2017, our 2018 fiscal year began one week later than our 2017 fiscal year. The comparable store revenue discussion presented below has been prepared by shifting forward our 2017 fiscal year results by one week, in order to provide more useful information to users to better analyze our business. We have estimated that the one week shift would result in total revenues for the comparable 2017 period being $5,494 lower than the total revenues reported in the thirteen week period ended October 29, 2017. We have estimated that 2017 comparable store sales would be $5,011 lower and that 2017 non-comparable stores and other sales would have been $483 lower.</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net increase in revenues for the third quarter of fiscal 2018 compared to the reported third quarter of 2017 were from the following sources:</w:t>
      </w:r>
    </w:p>
    <w:p>
      <w:pPr>
        <w:spacing w:after="0" w:line="290"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 (2,723)</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Comparable stores - shift in week impact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(5,011)</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Non-comparable stores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43,148</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Non-comparable stores - shift in week impact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(444)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a decrease of $39 due to the shift in week impact)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(2,810)</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32,160</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Comparable store revenue decreased $2,723, or 1.3%, in the third quarter of fiscal 2018 compared to the comparable thirteen weeks of fiscal 2017. Comparable store revenue compared to prior year was negatively impacted by increased competitive pressure and sales transfers to new stores that we opened in markets where we operate, partially offset by the absence of catastrophic events similar to those which occurred in the third quarter of fiscal 2017. Comparable walk-in revenues, which accounted for 91.2% of comparable store revenue for the third quarter of fiscal 2018, decreased $1,352, or 0.7% compared to the similar period in fiscal 2017. Comparable store special events revenues, which accounted for 8.8% of comparable store revenue for the second quarter of fiscal 2018, decreased $1,371, or 6.9% compared to the comparable period in fiscal 2017.</w:t>
      </w:r>
    </w:p>
    <w:p>
      <w:pPr>
        <w:spacing w:after="0" w:line="16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Food sales at comparable stores decreased by $3,094, or 5.0%, to $58,670 in the third quarter of fiscal 2018 from $61,764 in the comparable period in fiscal 2017. Beverage sales at comparable stores decreased by $1,479, or 4.9%, to $28,755 in the third quarter of fiscal 2018 from $30,234 in the 2017 comparison period. The decrease in food and beverage unit sales at comparable stores was partially offset by an overall increase in menu prices. Comparable store amusement and other revenues in the third quarter of fiscal 2018 increased by $1,850, or 1.5%, to $121,343 from $119,493 in the comparable 13 weeks of fiscal 2017.</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Non-comparable store revenue increased $42,704, for the third quarter of fiscal 2018 compared to the third quarter of fiscal 2017. The increase in non-comparable store revenue was primarily driven by 221 additional operating store weeks contributed by our thirty-two non-comparable stores, seventeen of which opened subsequent to the third quarter of fiscal 2017.</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decrease in revenue attributable to other non-comparable sources is primarily driven by additional deferral of amusement revenue during the period.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left="200" w:right="600" w:firstLine="441"/>
        <w:spacing w:after="0" w:line="308" w:lineRule="auto"/>
        <w:rPr>
          <w:sz w:val="20"/>
          <w:szCs w:val="20"/>
          <w:color w:val="auto"/>
        </w:rPr>
      </w:pPr>
      <w:r>
        <w:rPr>
          <w:rFonts w:ascii="Arial" w:cs="Arial" w:eastAsia="Arial" w:hAnsi="Arial"/>
          <w:sz w:val="17"/>
          <w:szCs w:val="17"/>
          <w:color w:val="auto"/>
        </w:rPr>
        <w:t>The total cost of products was $48,734 for the third quarter of fiscal 2018 and $44,607 for the third quarter of fiscal 2017. The total cost of products as a percentage of total revenues was 17.3% and 17.8% for the third quarter of fiscal 2018 and fiscal 2017, respectively.</w:t>
      </w:r>
    </w:p>
    <w:p>
      <w:pPr>
        <w:spacing w:after="0" w:line="147"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Cost of food and beverage products increased to $31,163 in the third quarter of fiscal 2018 compared to $28,387 for the third quarter of fiscal 2017 due primarily to the increased sales volume related to new store openings. Cost of food and beverage products, as a percentage of food and beverage revenues, decreased 20 basis points to 26.2% for the third quarter of fiscal 2018 from 26.4% for the third quarter of fiscal 2017. Increases in food and beverage prices and the favorable impact of fewer weeks featuring our “All You Can Eat” wings promotions compared to fiscal 2017, were partially offset by higher meat costs resulting from our upgraded burger product coupled with the impact of our larger non-comparable store group.</w:t>
      </w:r>
    </w:p>
    <w:p>
      <w:pPr>
        <w:spacing w:after="0" w:line="15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Cost of amusement and other increased to $17,571 in the third quarter of fiscal 2018 compared to $16,220 in the third quarter of fiscal 2017. The costs of amusement and other, as a percentage of amusement and other revenues, decreased 60 basis points to 10.8% for the third quarter of fiscal 2018 from 11.4% for the third quarter of fiscal 2017. The decrease in cost of amusement and other as a percentage of revenue was due, in part, to lower expense associated with our estimated amusement redemption liabilities and a slight shift in game play to non-redemption games including our new proprietary virtual reality platform which launched in the second quarter of fiscal 2018.</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Total operating payroll and benefits increased by $13,342, or 23.0%, to $71,309 in the third quarter of fiscal 2018 compared to $57,967 in the third quarter of fiscal 2017. This increase was primarily due to labor associated with the additional operating store weeks of our non-comparable stores. The total cost of operating payroll and benefits, as a percentage of total revenues, increased 210 basis points to 25.3% in the third quarter of fiscal 2018 compared to 23.2% for the third quarter of fiscal 2017. This increase was due to a hourly wage rate increase of approximately 5%, incremental amusements labor related to our new proprietary virtual reality platform, payroll related benefits and taxes which increased 40 basis points and unfavorable leverage on decreased comparable store sales.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Other store operating expenses increased by $13,501, or 16.3%, to $96,267 in the third quarter of fiscal 2018 compared to $82,766 in the third quarter of fiscal 2017, primarily due to new store openings. Other store operating expenses as a percentage of total revenues increased 100 basis points to 34.1% in the third quarter of fiscal 2018 compared to 33.1% in the third quarter of fiscal 2017. This increase was due primarily to higher occupancy costs associated with our non-comparable stores, unfavorable leverage of our occupancy costs on decreased comparable store sales and higher repairs and maintenance expenses associated with our comparable stores partially offset by $2,195 of business interruption insurance recoveries recognized during the third quarter of fiscal 2018.</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General and administrative expenses increased by $1,611, or 12.0%, to $15,043 in the third quarter of fiscal 2018 compared to $13,432 in the third quarter of fiscal 2017. The increase in general and administrative expenses was primarily driven by increased compensation and professional services costs at our corporate headquarters. General and administrative expenses, as a percentage of total revenues remained relatively unchanged at 5.3% in the third quarter of fiscal 2018 compared to 5.4% in the third quarter of fiscal 2017.</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Depreciation and amortization expense increased by $4,902 or 19.1%, to $30,574 in the third quarter of fiscal 2018 compared to $25,672 in the third quarter of fiscal 2017. Increased depreciation due to our 2017 and 2018 capital expenditures for new stores, operating initiatives, including remodels, games and maintenance capital, was partially offset by other assets reaching the end of their depreciable lives.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Pre-opening costs decreased by $869 to $4,740 in the third quarter of fiscal 2018 compared to $5,609 in the third quarter of fiscal 2017 due primarily to the number and timing of new store openings and stores in development</w:t>
      </w:r>
      <w:r>
        <w:rPr>
          <w:rFonts w:ascii="Arial" w:cs="Arial" w:eastAsia="Arial" w:hAnsi="Arial"/>
          <w:sz w:val="18"/>
          <w:szCs w:val="18"/>
          <w:b w:val="1"/>
          <w:bCs w:val="1"/>
          <w:i w:val="1"/>
          <w:iCs w:val="1"/>
          <w:color w:val="auto"/>
        </w:rPr>
        <w: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Interest expense, net increased by $1,165 to $3,321 in the third quarter of fiscal 2018 compared to $2,156 in the third quarter of fiscal 2017 due primarily to higher variable interest rates and an increase in average outstanding debt.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Loss on debt refinancing</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 xml:space="preserve">In connection with the August 17, 2017 debt refinancing (see Note 3, </w:t>
      </w:r>
      <w:r>
        <w:rPr>
          <w:rFonts w:ascii="Arial" w:cs="Arial" w:eastAsia="Arial" w:hAnsi="Arial"/>
          <w:sz w:val="18"/>
          <w:szCs w:val="18"/>
          <w:i w:val="1"/>
          <w:iCs w:val="1"/>
          <w:color w:val="auto"/>
        </w:rPr>
        <w:t>Debt</w:t>
      </w:r>
      <w:r>
        <w:rPr>
          <w:rFonts w:ascii="Arial" w:cs="Arial" w:eastAsia="Arial" w:hAnsi="Arial"/>
          <w:sz w:val="18"/>
          <w:szCs w:val="18"/>
          <w:color w:val="auto"/>
        </w:rPr>
        <w:t>, of Notes to Unaudited Consolidated Financial Statements for further discussion), the Company recorded a charge of $718 during the third quarter of fiscal 2017.</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effective income tax rate decreased to 2.4% in the third quarter of fiscal 2018 compared to 28.7% in the third quarter of fiscal 2017. The decrease reflects a higher excess tax benefit associated with share-based compensation and the lower U.S. federal corporate tax rate established by the Tax Cuts and Jobs Act (the “Tax Act”) enacted on December 22, 2017. Other differences from the statutory rate are due to the FICA tip credits, state income taxes and the impact of certain income and expense items which are not recognized for income tax purposes.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Thirty-nine Weeks Ended November 4, 2018 Compared to Thirty-nine Weeks Ended October 29, 2017</w:t>
      </w:r>
    </w:p>
    <w:p>
      <w:pPr>
        <w:spacing w:after="0" w:line="12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Results of operations </w:t>
      </w:r>
      <w:r>
        <w:rPr>
          <w:rFonts w:ascii="Arial" w:cs="Arial" w:eastAsia="Arial" w:hAnsi="Arial"/>
          <w:sz w:val="18"/>
          <w:szCs w:val="18"/>
          <w:color w:val="auto"/>
        </w:rPr>
        <w:t>— The following table sets forth selected data, in thousands of dollars and as a percentage of total revenues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noted) for the periods indicated. All information is derived from the unaudited accompanying consolidated statements of comprehensive income.</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6"/>
              </w:rPr>
              <w:t>Thirty-nine Weeks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6"/>
              </w:rPr>
              <w:t>Thirty-nine Weeks</w:t>
            </w: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left="27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left="27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61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4"/>
              </w:rPr>
              <w:t>November 4, 2018</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2"/>
              </w:rPr>
              <w:t>October 29, 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388,804</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356,190</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w:t>
            </w: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544,713</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478,688</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933,517</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834,878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w w:val="99"/>
              </w:rPr>
              <w:t>Cost of food and beverage (as a percentage of food and beverage revenues)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101,181</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91,562</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w w:val="92"/>
              </w:rPr>
              <w:t>Cost of amusement and other (as a percentage of amusement and other revenues)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60,248</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50,481</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161,429</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142,043</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217,939</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187,610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284,432</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247,663</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45,461</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45,172</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87,129</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74,447</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17,121</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Total operating costs</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813,511</w:t>
            </w:r>
          </w:p>
        </w:tc>
        <w:tc>
          <w:tcPr>
            <w:tcW w:w="32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711,561</w:t>
            </w:r>
          </w:p>
        </w:tc>
        <w:tc>
          <w:tcPr>
            <w:tcW w:w="32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120,006</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123,317</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9,406</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6,073</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Loss on debt refinancing</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110,600</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116,526</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22,815</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31,217</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87,785</w:t>
            </w:r>
          </w:p>
        </w:tc>
        <w:tc>
          <w:tcPr>
            <w:tcW w:w="3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85,309</w:t>
            </w:r>
          </w:p>
        </w:tc>
        <w:tc>
          <w:tcPr>
            <w:tcW w:w="3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Change in comparable store sales (1)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Company owned stores open at end of period</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 open at end of period</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640" w:hanging="436"/>
        <w:spacing w:after="0" w:line="277" w:lineRule="auto"/>
        <w:tabs>
          <w:tab w:leader="none" w:pos="64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change in comparable store sales in fiscal 2018 has been calculated by shifting forward our 2017 fiscal year comparable store sales results by one week, to account for the fact that our 2017 fiscal year consisted of 53 weeks.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240" w:top="459" w:right="5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reconciles (in dollars and as a percent of total revenues) Net income to Adjusted EBITDA for the periods indicated:</w:t>
      </w:r>
    </w:p>
    <w:p>
      <w:pPr>
        <w:spacing w:after="0" w:line="24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6"/>
              </w:rPr>
              <w:t>Thirty-nine Weeks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Thirty-nine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left="214"/>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left="254"/>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November 4, 2018</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October 29, 2017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87,785</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85,309</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expense, net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6,073</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on debt refinancing</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22,815</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31,217</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87,129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74,447</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207,135</w:t>
            </w:r>
          </w:p>
        </w:tc>
        <w:tc>
          <w:tcPr>
            <w:tcW w:w="3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197,764</w:t>
            </w:r>
          </w:p>
        </w:tc>
        <w:tc>
          <w:tcPr>
            <w:tcW w:w="3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on asset disposal</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5,771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7,006</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17,121</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costs (1)</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(329)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230,967</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220,272</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7"/>
        </w:numPr>
        <w:rPr>
          <w:rFonts w:ascii="Arial" w:cs="Arial" w:eastAsia="Arial" w:hAnsi="Arial"/>
          <w:sz w:val="15"/>
          <w:szCs w:val="15"/>
          <w:color w:val="auto"/>
        </w:rPr>
      </w:pPr>
      <w:r>
        <w:rPr>
          <w:rFonts w:ascii="Arial" w:cs="Arial" w:eastAsia="Arial" w:hAnsi="Arial"/>
          <w:sz w:val="18"/>
          <w:szCs w:val="18"/>
          <w:color w:val="auto"/>
        </w:rPr>
        <w:t>Primarily represents costs related to currency transaction (gains) or losses.</w:t>
      </w:r>
    </w:p>
    <w:p>
      <w:pPr>
        <w:spacing w:after="0" w:line="333"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to Store Operating Income Before Depreciation and Amortization for the periods indicated:</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6"/>
              </w:rPr>
              <w:t>Thirty-nine Weeks</w:t>
            </w:r>
          </w:p>
        </w:tc>
        <w:tc>
          <w:tcPr>
            <w:tcW w:w="180" w:type="dxa"/>
            <w:vAlign w:val="bottom"/>
          </w:tcPr>
          <w:p>
            <w:pPr>
              <w:spacing w:after="0"/>
              <w:rPr>
                <w:sz w:val="14"/>
                <w:szCs w:val="14"/>
                <w:color w:val="auto"/>
              </w:rPr>
            </w:pPr>
          </w:p>
        </w:tc>
        <w:tc>
          <w:tcPr>
            <w:tcW w:w="15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Thirty-nine Weeks</w:t>
            </w: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gridSpan w:val="2"/>
          </w:tcPr>
          <w:p>
            <w:pPr>
              <w:jc w:val="center"/>
              <w:ind w:left="341"/>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left="301"/>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November 4, 2018</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October 29, 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$120,006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$123,317</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45,461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45,172</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87,129</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74,447</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Pre-opening costs</w:t>
            </w:r>
          </w:p>
        </w:tc>
        <w:tc>
          <w:tcPr>
            <w:tcW w:w="10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17,121</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14,626</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 Before Depreciation and Amortization</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269,717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257,562</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table represents total accrual-based additions to property and equipment. Total capital additions do not include any reductions for Payments from landlords.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060" w:type="dxa"/>
            <w:vAlign w:val="bottom"/>
            <w:gridSpan w:val="3"/>
          </w:tcPr>
          <w:p>
            <w:pPr>
              <w:ind w:left="1900"/>
              <w:spacing w:after="0"/>
              <w:rPr>
                <w:sz w:val="20"/>
                <w:szCs w:val="20"/>
                <w:color w:val="auto"/>
              </w:rPr>
            </w:pPr>
            <w:r>
              <w:rPr>
                <w:rFonts w:ascii="Arial" w:cs="Arial" w:eastAsia="Arial" w:hAnsi="Arial"/>
                <w:sz w:val="14"/>
                <w:szCs w:val="14"/>
                <w:b w:val="1"/>
                <w:bCs w:val="1"/>
                <w:color w:val="auto"/>
                <w:w w:val="94"/>
              </w:rPr>
              <w:t>Thirty-nine Weeks</w:t>
            </w:r>
          </w:p>
        </w:tc>
        <w:tc>
          <w:tcPr>
            <w:tcW w:w="2000" w:type="dxa"/>
            <w:vAlign w:val="bottom"/>
            <w:gridSpan w:val="4"/>
          </w:tcPr>
          <w:p>
            <w:pPr>
              <w:ind w:left="800"/>
              <w:spacing w:after="0"/>
              <w:rPr>
                <w:sz w:val="20"/>
                <w:szCs w:val="20"/>
                <w:color w:val="auto"/>
              </w:rPr>
            </w:pPr>
            <w:r>
              <w:rPr>
                <w:rFonts w:ascii="Arial" w:cs="Arial" w:eastAsia="Arial" w:hAnsi="Arial"/>
                <w:sz w:val="14"/>
                <w:szCs w:val="14"/>
                <w:b w:val="1"/>
                <w:bCs w:val="1"/>
                <w:color w:val="auto"/>
                <w:w w:val="97"/>
              </w:rPr>
              <w:t>Thirty-nine Weeks</w:t>
            </w: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293"/>
              <w:spacing w:after="0" w:line="149" w:lineRule="exact"/>
              <w:rPr>
                <w:sz w:val="20"/>
                <w:szCs w:val="20"/>
                <w:color w:val="auto"/>
              </w:rPr>
            </w:pPr>
            <w:r>
              <w:rPr>
                <w:rFonts w:ascii="Arial" w:cs="Arial" w:eastAsia="Arial" w:hAnsi="Arial"/>
                <w:sz w:val="14"/>
                <w:szCs w:val="14"/>
                <w:b w:val="1"/>
                <w:bCs w:val="1"/>
                <w:color w:val="auto"/>
              </w:rPr>
              <w:t>Ended</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November 4, 2018</w:t>
            </w:r>
          </w:p>
        </w:tc>
        <w:tc>
          <w:tcPr>
            <w:tcW w:w="800" w:type="dxa"/>
            <w:vAlign w:val="bottom"/>
          </w:tcPr>
          <w:p>
            <w:pPr>
              <w:spacing w:after="0"/>
              <w:rPr>
                <w:sz w:val="14"/>
                <w:szCs w:val="14"/>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October 29, 2017</w:t>
            </w: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New store and operating initiatives</w:t>
            </w:r>
          </w:p>
        </w:tc>
        <w:tc>
          <w:tcPr>
            <w:tcW w:w="1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121,895</w:t>
            </w: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134,468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Games</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25,501</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10,521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1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15,875</w:t>
            </w:r>
          </w:p>
        </w:tc>
        <w:tc>
          <w:tcPr>
            <w:tcW w:w="8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10,448</w:t>
            </w:r>
          </w:p>
        </w:tc>
        <w:tc>
          <w:tcPr>
            <w:tcW w:w="40" w:type="dxa"/>
            <w:vAlign w:val="bottom"/>
            <w:shd w:val="clear" w:color="auto" w:fill="CCEEFF"/>
          </w:tcPr>
          <w:p>
            <w:pPr>
              <w:spacing w:after="0"/>
              <w:rPr>
                <w:sz w:val="18"/>
                <w:szCs w:val="18"/>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Total capital additions</w:t>
            </w:r>
          </w:p>
        </w:tc>
        <w:tc>
          <w:tcPr>
            <w:tcW w:w="190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163,271</w:t>
            </w:r>
          </w:p>
        </w:tc>
        <w:tc>
          <w:tcPr>
            <w:tcW w:w="80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155,437</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Payments from landlords</w:t>
            </w:r>
          </w:p>
        </w:tc>
        <w:tc>
          <w:tcPr>
            <w:tcW w:w="214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33,097</w:t>
            </w: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24,292</w:t>
            </w:r>
          </w:p>
        </w:tc>
        <w:tc>
          <w:tcPr>
            <w:tcW w:w="4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00" w:type="dxa"/>
            <w:vAlign w:val="bottom"/>
          </w:tcPr>
          <w:p>
            <w:pPr>
              <w:jc w:val="right"/>
              <w:ind w:right="856"/>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00"/>
          </w:cols>
          <w:pgMar w:left="24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20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jc w:val="center"/>
        <w:ind w:right="920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Total revenues increased $98,639, or 11.8%, to $933,517 in the thirty-nine week period ended November 4, 2018 compared to total revenues of $834,878 in the thirty-nine week period ended October 29, 2017. For the thirty-nine weeks ended November 4, 2018, we derived 28.5% of our total revenue from food sales, 13.1% from beverage sales, 57.7% from amusement sales and 0.7% from other sources. For the thirty-nine weeks ended October 29, 2017, we derived 29.1% of our total revenue from food sales, 13.6% from beverage sales, 56.6% from amusement sales and 0.7% from other sources.</w:t>
      </w:r>
    </w:p>
    <w:p>
      <w:pPr>
        <w:spacing w:after="0" w:line="18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As a result of the 53 week year in fiscal 2017, our 2018 fiscal year began one week later than our 2017 fiscal year. The comparable store revenue discussion presented below has been prepared by shifting forward our 2017 fiscal year results by one week, in order to provide more useful information to investors to better analyze our business. We have estimated that the one week shift would result in total revenues for the comparable 2017 period being $1,206 lower than the total revenues reported in the thirty-nine week period ended October 29, 2017. We have estimated that 2017 comparable store sales would be $2,060 lower and that 2017 non-comparable stores and other sales would have been $854 higher.</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net increase in revenues for the thirty-nine weeks ended November 4, 2018 compared to the reported thirty-nine week period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October 29, 2017 were from the following sources:</w:t>
      </w:r>
    </w:p>
    <w:p>
      <w:pPr>
        <w:spacing w:after="0" w:line="25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(22,114)</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Comparable stores - shift in week impact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(2,060)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Non-comparable stores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126,713</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Non-comparable stores - shift in week impact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a decrease of $33 due to the shift in week impact)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(4,787)</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98,639</w:t>
            </w:r>
          </w:p>
        </w:tc>
        <w:tc>
          <w:tcPr>
            <w:tcW w:w="10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Comparable store revenue decreased $22,114, or 3.0%, in the thirty-nine weeks ended November 4, 2018 compared to the comparable thirty-nine weeks of fiscal 2017. Comparable store revenue compared to prior year was, in part, negatively impacted by increased competitive pressure and sales transfers to new stores that we opened in markets where we operate. Comparable walk-in revenues, which accounted for 91.3% of comparable store revenue for the thirty-nine weeks ended November 4, 2018, decreased $19,385, or 2.9% compared to the similar period in fiscal 2017. Comparable store special events revenues, which accounted for 8.7% of comparable store revenue for the thirty-nine weeks ended November 4, 2018, decreased $2,729, or 4.2% compared to the comparable period in fiscal 2017.</w:t>
      </w:r>
    </w:p>
    <w:p>
      <w:pPr>
        <w:spacing w:after="0" w:line="17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Food sales at comparable stores decreased by $10,726, or 5.1%, to $201,442 in the thirty-nine weeks ended November 4, 2018 from $212,168 in the comparable period in fiscal 2017. Beverage sales at comparable stores decreased by $5,165, or 5.2%, to $93,224 in the thirty-nine weeks ended November 4, 2018 from $98,389 in the 2017 comparison period. The decrease in food and beverage unit sales at comparable stores was partially offset by an overall increase in menu prices. Comparable store amusement and other revenues in the thirty-nine weeks ended November 4, 2018 decreased by $6,223, or 1.5%, to $416,159 from $422,382 in the comparable thirty-nine weeks of fiscal 2017.</w:t>
      </w:r>
    </w:p>
    <w:p>
      <w:pPr>
        <w:spacing w:after="0" w:line="173"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Non-comparable store revenue increased $127,600, for the thirty-nine week period ended November 4, 2018 compared to the thirty-nine week period ended October 29, 2017. The increase in non-comparable store revenue was primarily driven by 625 additional operating store weeks contributed by our thirty-two non-comparable stores, seventeen of which opened subsequent to the third quarter of fiscal 2017.</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decrease in revenue attributable to other non-comparable sources is primarily driven by additional deferral of amusement revenue during the period.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total cost of products was $161,429 for the thirty-nine week period ended November 4, 2018 and $142,043 for the thirty-nine week period ended October 29, 2017. The total cost of products as a percentage of total revenues was 17.3% and 17.0% for the thirty-nine weeks ended November 4, 2018 and the thirty-nine week period ended October 29, 2017, respectively.</w:t>
      </w:r>
    </w:p>
    <w:p>
      <w:pPr>
        <w:spacing w:after="0" w:line="181"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Cost of food and beverage products increased to $101,181 in the thirty-nine week period ended November 4, 2018 compared to $91,562 in the thirty-nine week period ended October 29, 2017 due primarily to the increased sales volume. Cost of food and beverage products, as a percentage of</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food and beverage revenues, increased 30 basis points to 26.0% for the thirty-nine week period ended November 4, 2018 from 25.7% for the thirty-nine weeks ended October 29, 2017. The increase in cost of food and beverage as a percentage of revenue was driven by higher meat costs resulting from our upgraded burger product, higher commodity costs in our poultry and potato items as well as the impact of our larger non-comparable store group, partially offset by increases in food and beverage prices.</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Cost of amusement and other increased to $60,248 in the thirty-nine week period ended November 4, 2018 compared to $50,481 in the thirty-nine week period ended October 29, 2017. The costs of amusement and other, as a percentage of amusement and other revenues increased 60 basis points to 11.1% for the thirty-nine weeks ended November 4, 2018 from 10.5% for the thirty-nine weeks ended October 29, 2017. This increase was due primarily to a $2,531, or 50 basis point, amusement cost reduction in the thirty-nine week period ended October 29, 2017, for the favorable settlement of a multi-year use tax audit by the state of Texas. This cost reduction represents the excess use tax on redemption items during the period from July 2011 through January 2017.</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Total operating payroll and benefits increased by $30,329, or 16.2%, to $217,939 in the thirty-nine week period ended November 4, 2018 compared to $187,610 in the thirty-nine week period ended October 29, 2017. This increase was primarily due to labor associated with additional operating store weeks of our non-comparable stores. The total cost of operating payroll and benefits, as a percent of total revenues, increased 80 basis points to 23.3% for the thirty-nine weeks ended November 4, 2018 from 22.5% in the thirty-nine weeks ended October 29, 2017. This increase was primarily due to an hourly wage rate increase of approximately 4%, incremental amusement labor related to our new proprietary virtual reality platform and unfavorable leverage on decreased comparable store sales.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Other store operating expenses increased by $36,769, or 14.8%, to $284,432, in the thirty-nine week period ended November 4, 2018 compared to $247,663 in the thirty-nine week period ended October 29, 2017, primarily due to new store openings. Other store operating expenses, as a percentage of total revenues, increased 90 basis points to 30.5% in the thirty-nine weeks ended November 4, 2018 compared to 29.6% in the thirty-nine week period ended October 29, 2017. This increase was due primarily to unfavorable leverage of our occupancy costs on decreased comparable store sales and increased margin pressure on occupancy costs associated with our recent store openings.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General and administrative expenses increased by $289, or 0.6%, to $45,461 in the thirty-nine week period ended November 4, 2018 compared to $45,172 in the thirty-nine week period ended October 29, 2017. Increases in labor and professional services costs were partially offset by the absence of a prior year $2,550 charge for litigation settlement costs and lower incremental compensation costs related to our share-based awards. General and administrative expenses, as a percentage of total revenues, decreased 50 basis points to 4.9% in the thirty-nine weeks ended November 4, 2018 compared to 5.4% in the thirty-nine week period ended October 29, 2017, for the same reasons above offset by favorable leverage on revenue increases.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Depreciation and amortization expense increased by $12,682, or 17.0%, to $87,129 in the thirty-nine week period ended November 4, 2018 compared to $74,447 in the thirty-nine week period ended October 29, 2017. Increased depreciation due to our 2017 and 2018 capital expenditures for new stores, operating initiatives, including remodels, games and maintenance capital, was partially offset by other assets reaching the end of their depreciable lives.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Pre-opening costs increased by $2,495 to $17,121 in the thirty-nine week period ended November 4, 2018 compared to $14,626 in the thirty-nine week period ended October 29, 2017 due primarily to the number and timing of new store openings and stores in development.</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Interest expense, net increased by $3,333 to $9,406 in the thirty-nine week period ended November 4, 2018 compared to $6,073 in the thirty-nine week period ended October 29, 2017 due primarily to higher variable interest rates and an increase in average outstanding debt.</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Loss on debt refinancing</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 xml:space="preserve">In connection with the August 17, 2017 debt refinancing (see Note 3, </w:t>
      </w:r>
      <w:r>
        <w:rPr>
          <w:rFonts w:ascii="Arial" w:cs="Arial" w:eastAsia="Arial" w:hAnsi="Arial"/>
          <w:sz w:val="18"/>
          <w:szCs w:val="18"/>
          <w:i w:val="1"/>
          <w:iCs w:val="1"/>
          <w:color w:val="auto"/>
        </w:rPr>
        <w:t>Debt</w:t>
      </w:r>
      <w:r>
        <w:rPr>
          <w:rFonts w:ascii="Arial" w:cs="Arial" w:eastAsia="Arial" w:hAnsi="Arial"/>
          <w:sz w:val="18"/>
          <w:szCs w:val="18"/>
          <w:color w:val="auto"/>
        </w:rPr>
        <w:t>, of Notes to Unaudited Consolidated Financial Statements for further discussion), the Company recorded a charge of $718 during the third quarter of fiscal 2017.</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effective income tax rate for the thirty-nine weeks ended November 4, 2018 was 20.6%, compared to 26.8% for the thirty-nine weeks ended October 29, 2017. This decrease in the effective tax rate primarily reflects a lower U.S. federal corporate tax rate established by the Tax Act, offset by a lower excess tax benefit associated with share-based compensation. Other differences from the statutory rate are due to the FICA tip credits, state income taxes and the impact of certain income and expense items which are not recognized for income tax purposes.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We finance our activities through cash flow from operations and availability under our existing credit facility. As of November 4, 2018, we had cash and cash equivalents of $19,717, net working capital deficit of $126,195 and outstanding debt obligations of $384,000. We also had $395,953 in borrowing availability under our existing credit facility.</w:t>
      </w:r>
    </w:p>
    <w:p>
      <w:pPr>
        <w:spacing w:after="0" w:line="18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Board of Directors approved a share repurchase program, under which the Company may repurchase shares on the open market, through privately negotiated transactions, and through trading plans designed to comply with Rule 10b5-1 of the Exchange Act. The share repurchase program may be modified, suspended or discontinued at any time. As of November 4, 2018, we had approximately $133,186 remaining of a total $400,000 share repurchase authorization. The existing share repurchase program expires at the end of fiscal 2020. Our Board of Directors may authorize additional share repurchases or other capital allocation initiatives, including additional dividends, to return value to shareholders as allowable under our existing credit facility.</w:t>
      </w:r>
    </w:p>
    <w:p>
      <w:pPr>
        <w:spacing w:after="0" w:line="19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currently have, and anticipate that in the future we may continue to have, negative working capital balances. We are able to operate with a working capital deficit because cash from sales is usually received before related liabilities for product, supplies, labor and services become due. Funds available from sales not needed immediately to pay for operating expenses have typically been used for capital expenditures and payment of long-term debt obligations.</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b w:val="1"/>
          <w:bCs w:val="1"/>
          <w:i w:val="1"/>
          <w:iCs w:val="1"/>
          <w:color w:val="auto"/>
        </w:rPr>
        <w:t xml:space="preserve">Short-term liquidity requirements. </w:t>
      </w:r>
      <w:r>
        <w:rPr>
          <w:rFonts w:ascii="Arial" w:cs="Arial" w:eastAsia="Arial" w:hAnsi="Arial"/>
          <w:sz w:val="18"/>
          <w:szCs w:val="18"/>
          <w:color w:val="auto"/>
        </w:rPr>
        <w:t>We generally consider our short-term liquidity requirements to consist of those items that are expected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within the next twelve months and believe those requirements to consist primarily of funds necessary to pay operating expenses, interest and principal payments on our debt, capital expenditures related to the new store construction and other expenditures associated with acquiring new games, remodeling facilities and recurring replacement of equipment and improvements.</w:t>
      </w:r>
    </w:p>
    <w:p>
      <w:pPr>
        <w:spacing w:after="0" w:line="18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b w:val="1"/>
          <w:bCs w:val="1"/>
          <w:i w:val="1"/>
          <w:iCs w:val="1"/>
          <w:color w:val="auto"/>
        </w:rPr>
        <w:t>Long-term liquidity requirements</w:t>
      </w:r>
      <w:r>
        <w:rPr>
          <w:rFonts w:ascii="Arial" w:cs="Arial" w:eastAsia="Arial" w:hAnsi="Arial"/>
          <w:sz w:val="18"/>
          <w:szCs w:val="18"/>
          <w:color w:val="auto"/>
        </w:rPr>
        <w:t>. We generally consider our long-term liquidity requirements to consist of those items that are expected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beyond the next twelve months and believe these requirements consist primarily of funds necessary for new store development and construction, replacement of games and equipment, performance-necessary renovations and other capital expenditures that need to be made periodically to our stores, principal and interest payments on our outstanding term loan and scheduled lease obligation payments. We intend to satisfy our long-term liquidity requirements through various sources of capital, including our existing cash on hand, cash provided by operations, and borrowings under the revolving portion of our credit facility.</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Based on our current business plan, we believe the cash flows from operations, together with our existing cash balances and availability of borrowings under the revolving portion of our credit facility will be sufficient to meet our anticipated cash needs for working capital, capital expenditures, debt service needs, and share repurchases in the foreseeable future. Our ability to make scheduled principal and interest payments, or to refinance our indebtedness, or to fund planned capital expenditures, will depend on future performance, which is subject to general economic conditions, competitive environment and other factors.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a summary of our net cash provided by (used in) operating, investing and financing activities: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9"/>
              </w:rPr>
              <w:t>Thirty-nine Weeks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Thirty-nine Weeks</w:t>
            </w: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00" w:type="dxa"/>
            <w:vAlign w:val="bottom"/>
            <w:gridSpan w:val="4"/>
          </w:tcPr>
          <w:p>
            <w:pPr>
              <w:ind w:left="920"/>
              <w:spacing w:after="0"/>
              <w:rPr>
                <w:sz w:val="20"/>
                <w:szCs w:val="20"/>
                <w:color w:val="auto"/>
              </w:rPr>
            </w:pPr>
            <w:r>
              <w:rPr>
                <w:rFonts w:ascii="Arial" w:cs="Arial" w:eastAsia="Arial" w:hAnsi="Arial"/>
                <w:sz w:val="14"/>
                <w:szCs w:val="14"/>
                <w:b w:val="1"/>
                <w:bCs w:val="1"/>
                <w:color w:val="auto"/>
              </w:rPr>
              <w:t>Ended November 4, 2018</w:t>
            </w:r>
          </w:p>
        </w:tc>
        <w:tc>
          <w:tcPr>
            <w:tcW w:w="2040" w:type="dxa"/>
            <w:vAlign w:val="bottom"/>
            <w:gridSpan w:val="4"/>
          </w:tcPr>
          <w:p>
            <w:pPr>
              <w:ind w:left="460"/>
              <w:spacing w:after="0"/>
              <w:rPr>
                <w:sz w:val="20"/>
                <w:szCs w:val="20"/>
                <w:color w:val="auto"/>
              </w:rPr>
            </w:pPr>
            <w:r>
              <w:rPr>
                <w:rFonts w:ascii="Arial" w:cs="Arial" w:eastAsia="Arial" w:hAnsi="Arial"/>
                <w:sz w:val="14"/>
                <w:szCs w:val="14"/>
                <w:b w:val="1"/>
                <w:bCs w:val="1"/>
                <w:color w:val="auto"/>
                <w:w w:val="98"/>
              </w:rPr>
              <w:t>Ended October 29, 2017</w:t>
            </w: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(used in):</w:t>
            </w: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0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237,000</w:t>
            </w:r>
          </w:p>
        </w:tc>
        <w:tc>
          <w:tcPr>
            <w:tcW w:w="520" w:type="dxa"/>
            <w:vAlign w:val="bottom"/>
          </w:tcPr>
          <w:p>
            <w:pPr>
              <w:spacing w:after="0"/>
              <w:rPr>
                <w:sz w:val="18"/>
                <w:szCs w:val="18"/>
                <w:color w:val="auto"/>
              </w:rPr>
            </w:pP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201,063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(163,375)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(147,026)</w:t>
            </w: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460"/>
              <w:spacing w:after="0"/>
              <w:rPr>
                <w:sz w:val="20"/>
                <w:szCs w:val="20"/>
                <w:color w:val="auto"/>
              </w:rPr>
            </w:pPr>
            <w:r>
              <w:rPr>
                <w:rFonts w:ascii="Arial" w:cs="Arial" w:eastAsia="Arial" w:hAnsi="Arial"/>
                <w:sz w:val="18"/>
                <w:szCs w:val="18"/>
                <w:color w:val="auto"/>
              </w:rPr>
              <w:t>(72,703)</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(58,862)</w:t>
            </w:r>
          </w:p>
        </w:tc>
      </w:tr>
    </w:tbl>
    <w:p>
      <w:pPr>
        <w:spacing w:after="0" w:line="18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Net cash provided by operating activities was $237,000 for the thirty-nine weeks ended November 4, 2018 compared to $201,063 for the thirty-nine weeks ended October 29, 2017. Increased cash flows from operations were driven primarily by increased cash flows from additional non-comparable store sales offset by decreased comparable store sales and lower operating margins.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cash used in investing activities was $163,375 for the thirty-nine weeks ended November 4, 2018 compared to $147,026 for the thirty-nine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weeks ended October 29, 2017. Capital expenditures increased $13,467 to $163,745 (excluding the decrease in fixed asset accounts payable of $474)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thirty-nine weeks ended November 4, 2018 from $150,278 in the thirty-nine weeks ended October 29, 2017. During the thirty-nine weeks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November 4, 2018, the Company spent $121,584 ($88,487 net of payments from landlords) for new store construction and operating improvement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initiatives, $25,411 for game refreshment and $16,750 for maintenance capital. During the thirty-nine weeks ended October 29, 2017, we spent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$129,488 ($105,196 net of payments from landlords) for new store construction and operating improvement initiatives including major remodel projects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four existing stores, $11,024 for game refreshment and $9,766 for maintenance capital.</w:t>
      </w:r>
    </w:p>
    <w:p>
      <w:pPr>
        <w:spacing w:after="0" w:line="21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Net cash used in financing activities increased by $13,841 to $72,703 in the thirty-nine weeks ended November 4, 2018 compared to $58,862 for the thirty-nine weeks ended October 29, 2017. The increase in cash used in financing activities was primarily due to net borrowings of debt of approximately $16,750 in the thirty-nine weeks ended November 4, 2018 compared to net borrowings of approximately $51,250 in the thirty-nine weeks ended October 29, 2017 and the payment of dividends of $5,842 during the thirty-nine weeks ended October 29, 2017, offset by lower repurchases of common stock during the thirty-nine weeks ended November 4, 2018 compared to the thirty-nine weeks ended October 29, 2017.</w:t>
      </w:r>
    </w:p>
    <w:p>
      <w:pPr>
        <w:spacing w:after="0" w:line="15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plan on financing future growth through existing cash on hand, future operating cash flows, debt facilities and payments from landlords. We expect to spend between $229,000 and $239,000 ($179,000 to $189,000 net of payments from landlord) in capital additions during fiscal 2018. The fiscal 2018 additions are expected to include approximately $176,000 to $186,000 ($126,000 to $136,000 net of payments from landlords) for new store construction and operating improvement initiatives, $27,000 for game refreshment and $26,000 in maintenance capital. A portion of the 2018 new store spend is related to stores that will be under construction in 2018 but will not be open until 2019.</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our expected future annual contractual obligations and commercial commitments as of November 4, 2018:</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2-3 Years</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4-5 Years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After 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 (1)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384,000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$339,000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Interest requirements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48,479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13,528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25,446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1,756,886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119,033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227,082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1,208,998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2,189,365</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147,561</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282,528</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550,278</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1,208,998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160" w:hanging="436"/>
        <w:spacing w:after="0" w:line="258" w:lineRule="auto"/>
        <w:tabs>
          <w:tab w:leader="none" w:pos="64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Credit Facility includes a $300,000 term loan facility and $500,000 revolving credit facility. As of November 4, 2018, we had borrowings of $285,000 under the term loan facility and borrowings of $99,000 under the revolving credit facility.</w:t>
      </w:r>
    </w:p>
    <w:p>
      <w:pPr>
        <w:spacing w:after="0" w:line="1" w:lineRule="exact"/>
        <w:rPr>
          <w:rFonts w:ascii="Arial" w:cs="Arial" w:eastAsia="Arial" w:hAnsi="Arial"/>
          <w:sz w:val="15"/>
          <w:szCs w:val="15"/>
          <w:color w:val="auto"/>
        </w:rPr>
      </w:pPr>
    </w:p>
    <w:p>
      <w:pPr>
        <w:ind w:left="640" w:hanging="436"/>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7"/>
          <w:szCs w:val="17"/>
          <w:color w:val="auto"/>
        </w:rPr>
        <w:t>The cash obligations for interest requirements consist of variable rate debt obligations at rates in effect on November 4, 2018 of 3.55%.</w:t>
      </w:r>
    </w:p>
    <w:p>
      <w:pPr>
        <w:spacing w:after="0" w:line="20" w:lineRule="exact"/>
        <w:rPr>
          <w:rFonts w:ascii="Arial" w:cs="Arial" w:eastAsia="Arial" w:hAnsi="Arial"/>
          <w:sz w:val="14"/>
          <w:szCs w:val="14"/>
          <w:color w:val="auto"/>
        </w:rPr>
      </w:pPr>
    </w:p>
    <w:p>
      <w:pPr>
        <w:ind w:left="640" w:right="500" w:hanging="436"/>
        <w:spacing w:after="0" w:line="277" w:lineRule="auto"/>
        <w:tabs>
          <w:tab w:leader="none" w:pos="640" w:val="left"/>
        </w:tabs>
        <w:numPr>
          <w:ilvl w:val="0"/>
          <w:numId w:val="8"/>
        </w:numPr>
        <w:rPr>
          <w:rFonts w:ascii="Arial" w:cs="Arial" w:eastAsia="Arial" w:hAnsi="Arial"/>
          <w:sz w:val="14"/>
          <w:szCs w:val="14"/>
          <w:color w:val="auto"/>
        </w:rPr>
      </w:pPr>
      <w:r>
        <w:rPr>
          <w:rFonts w:ascii="Arial" w:cs="Arial" w:eastAsia="Arial" w:hAnsi="Arial"/>
          <w:sz w:val="17"/>
          <w:szCs w:val="17"/>
          <w:color w:val="auto"/>
        </w:rPr>
        <w:t>Our operating leases generally provide for one or more renewal options. These renewal options allow us to extend the term of the lease for a specified time at an established annual lease payment. Future obligations related to lease renewal options that have been exercised or were reasonably assured to be exercised as of the lease origination date, have been included in the table above.</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Form10-K filed with the SEC on April 3, 2018.</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 xml:space="preserve">Refer to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Notes to Unaudited Consolidated Financial Statements for information regarding new accounting pronouncements.</w:t>
      </w:r>
    </w:p>
    <w:p>
      <w:pPr>
        <w:spacing w:after="0" w:line="315" w:lineRule="exact"/>
        <w:rPr>
          <w:sz w:val="20"/>
          <w:szCs w:val="20"/>
          <w:color w:val="auto"/>
        </w:rPr>
      </w:pPr>
    </w:p>
    <w:p>
      <w:pPr>
        <w:ind w:left="200" w:right="368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Commodity Price Risk</w:t>
      </w:r>
    </w:p>
    <w:p>
      <w:pPr>
        <w:ind w:left="200" w:right="40" w:firstLine="441"/>
        <w:spacing w:after="0" w:line="293" w:lineRule="auto"/>
        <w:rPr>
          <w:sz w:val="20"/>
          <w:szCs w:val="20"/>
          <w:color w:val="auto"/>
        </w:rPr>
      </w:pPr>
      <w:r>
        <w:rPr>
          <w:rFonts w:ascii="Arial" w:cs="Arial" w:eastAsia="Arial" w:hAnsi="Arial"/>
          <w:sz w:val="16"/>
          <w:szCs w:val="16"/>
          <w:color w:val="auto"/>
        </w:rPr>
        <w:t>We are exposed to market price fluctuation in food and beverage product prices.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At this time, we do not use financial instruments to hedge our commodity risk.</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exposed to interest rate risk arising from changes in interest rates due to the variable rate indebtedness under our credit facility. Borrowings pursuant to our credit facility bear interest at a floating rate based on LIBOR, plus an applicable margin. Accordingly, fluctuations in market interest rates may increase or decrease our interest expense which will, in turn, increase or decrease our net income and cash flow. We estimate that a hypothetical 25 basis point increase in one-month LIBOR would increase our annualized interest expense in the next year by approximately $1,000, assuming no change in the balance of the revolving portion of the credit facility.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primary inflationary factors affecting our operations are food, labor costs, and energy costs. Many of our leases require us to pay taxes, maintenance, repairs, insurance and utilities, all of which are generally subject to inflationary increases. Finally, the cost of constructing our stores is subject to inflationary increases in the costs of labor and material.</w:t>
      </w:r>
    </w:p>
    <w:p>
      <w:pPr>
        <w:spacing w:after="0" w:line="18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We have a substantial number of hourly employees who are paid wage rates at or based on the applicable federal, state or city minimum wage and increases in the minimum wage will increase our labor costs. Several states and local jurisdictions in which we operate have enacted legislation to increase the minimum wage and/or minimum tipped wage rates by varying amounts, with more planned increases in the future.</w:t>
      </w:r>
    </w:p>
    <w:p>
      <w:pPr>
        <w:spacing w:after="0" w:line="166"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general, we have been able to partially offset cost increases resulting from inflation by increasing menu prices, improving productivity, or other operating changes. We may or may not be able to offset cost increases in the future.</w:t>
      </w:r>
    </w:p>
    <w:p>
      <w:pPr>
        <w:spacing w:after="0" w:line="315"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the Chief Executive Officer and Interim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Chief Executive Officer and Interim Chief Financial Officer have concluded that these disclosure controls and procedures are effective.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There were no significant changes in our internal control over financial reporting (as defined in the Exchange Act Rules 13a-15(f) and 15d-15(f)) that occurred during our third quarter ended November 4, 2018, that have materially affected, or are reasonably likely to materially affect, our internal control over financial reporting.</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Information regarding legal proceedings is incorporated by reference from Note 4 to our Unaudited Consolidated Financial Statements set forth in Part I of this report.</w:t>
      </w:r>
    </w:p>
    <w:p>
      <w:pPr>
        <w:spacing w:after="0" w:line="315"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have been no material changes in the risk factors previously disclosed in our Annual Report as filed on Form 10-K on April 3, 2018.</w:t>
      </w:r>
    </w:p>
    <w:p>
      <w:pPr>
        <w:spacing w:after="0" w:line="16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60"/>
          </w:cols>
          <w:pgMar w:left="24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Information regarding repurchase of our common stock, in thousands, except share and per share amounts, during the thirteen weeks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4, 2018:</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 Number</w:t>
            </w:r>
          </w:p>
        </w:tc>
        <w:tc>
          <w:tcPr>
            <w:tcW w:w="66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Average Price</w:t>
            </w:r>
          </w:p>
        </w:tc>
        <w:tc>
          <w:tcPr>
            <w:tcW w:w="660" w:type="dxa"/>
            <w:vAlign w:val="bottom"/>
          </w:tcPr>
          <w:p>
            <w:pPr>
              <w:spacing w:after="0"/>
              <w:rPr>
                <w:sz w:val="14"/>
                <w:szCs w:val="14"/>
                <w:color w:val="auto"/>
              </w:rPr>
            </w:pPr>
          </w:p>
        </w:tc>
        <w:tc>
          <w:tcPr>
            <w:tcW w:w="1760" w:type="dxa"/>
            <w:vAlign w:val="bottom"/>
          </w:tcPr>
          <w:p>
            <w:pPr>
              <w:jc w:val="right"/>
              <w:ind w:right="68"/>
              <w:spacing w:after="0"/>
              <w:rPr>
                <w:sz w:val="20"/>
                <w:szCs w:val="20"/>
                <w:color w:val="auto"/>
              </w:rPr>
            </w:pPr>
            <w:r>
              <w:rPr>
                <w:rFonts w:ascii="Arial" w:cs="Arial" w:eastAsia="Arial" w:hAnsi="Arial"/>
                <w:sz w:val="14"/>
                <w:szCs w:val="14"/>
                <w:b w:val="1"/>
                <w:bCs w:val="1"/>
                <w:color w:val="auto"/>
              </w:rPr>
              <w:t>Total Number of Shares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2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 (1)</w:t>
            </w:r>
          </w:p>
        </w:tc>
        <w:tc>
          <w:tcPr>
            <w:tcW w:w="52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of Shares</w:t>
            </w:r>
          </w:p>
        </w:tc>
        <w:tc>
          <w:tcPr>
            <w:tcW w:w="6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Repurchased as Part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58"/>
        </w:trPr>
        <w:tc>
          <w:tcPr>
            <w:tcW w:w="206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2"/>
              </w:rPr>
              <w:t>Repurchased</w:t>
            </w:r>
          </w:p>
        </w:tc>
        <w:tc>
          <w:tcPr>
            <w:tcW w:w="1580" w:type="dxa"/>
            <w:vAlign w:val="bottom"/>
            <w:gridSpan w:val="3"/>
          </w:tcPr>
          <w:p>
            <w:pPr>
              <w:ind w:left="660"/>
              <w:spacing w:after="0" w:line="158" w:lineRule="exact"/>
              <w:rPr>
                <w:sz w:val="20"/>
                <w:szCs w:val="20"/>
                <w:color w:val="auto"/>
              </w:rPr>
            </w:pPr>
            <w:r>
              <w:rPr>
                <w:rFonts w:ascii="Arial" w:cs="Arial" w:eastAsia="Arial" w:hAnsi="Arial"/>
                <w:sz w:val="14"/>
                <w:szCs w:val="14"/>
                <w:b w:val="1"/>
                <w:bCs w:val="1"/>
                <w:color w:val="auto"/>
                <w:w w:val="91"/>
              </w:rPr>
              <w:t>Paid per Share</w:t>
            </w:r>
          </w:p>
        </w:tc>
        <w:tc>
          <w:tcPr>
            <w:tcW w:w="24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Publicly Announced Plan (2)</w:t>
            </w:r>
          </w:p>
        </w:tc>
        <w:tc>
          <w:tcPr>
            <w:tcW w:w="2700" w:type="dxa"/>
            <w:vAlign w:val="bottom"/>
            <w:gridSpan w:val="4"/>
          </w:tcPr>
          <w:p>
            <w:pPr>
              <w:ind w:left="660"/>
              <w:spacing w:after="0" w:line="158" w:lineRule="exact"/>
              <w:rPr>
                <w:sz w:val="20"/>
                <w:szCs w:val="20"/>
                <w:color w:val="auto"/>
              </w:rPr>
            </w:pPr>
            <w:r>
              <w:rPr>
                <w:rFonts w:ascii="Arial" w:cs="Arial" w:eastAsia="Arial" w:hAnsi="Arial"/>
                <w:sz w:val="14"/>
                <w:szCs w:val="14"/>
                <w:b w:val="1"/>
                <w:bCs w:val="1"/>
                <w:color w:val="auto"/>
                <w:w w:val="95"/>
              </w:rPr>
              <w:t>Repurchased Under the Plan (2)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August 6, 2018 –</w:t>
            </w: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September 2, 2018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179,604</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179,604</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48,728</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September 4, 2018 -</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October 7, 2018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132,102</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61.00</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132,102</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140,670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October 8, 2018 –</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November 4, 2018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133,186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5"/>
          <w:szCs w:val="15"/>
          <w:color w:val="auto"/>
        </w:rPr>
      </w:pPr>
      <w:r>
        <w:rPr>
          <w:rFonts w:ascii="Arial" w:cs="Arial" w:eastAsia="Arial" w:hAnsi="Arial"/>
          <w:sz w:val="18"/>
          <w:szCs w:val="18"/>
          <w:color w:val="auto"/>
        </w:rPr>
        <w:t>Monthly information is presented by reference to our fiscal periods during the thirteen weeks ended November 4, 2018.</w:t>
      </w:r>
    </w:p>
    <w:p>
      <w:pPr>
        <w:spacing w:after="0" w:line="23" w:lineRule="exact"/>
        <w:rPr>
          <w:rFonts w:ascii="Arial" w:cs="Arial" w:eastAsia="Arial" w:hAnsi="Arial"/>
          <w:sz w:val="15"/>
          <w:szCs w:val="15"/>
          <w:color w:val="auto"/>
        </w:rPr>
      </w:pPr>
    </w:p>
    <w:p>
      <w:pPr>
        <w:jc w:val="both"/>
        <w:ind w:left="640" w:hanging="436"/>
        <w:spacing w:after="0" w:line="277" w:lineRule="auto"/>
        <w:tabs>
          <w:tab w:leader="none" w:pos="640" w:val="left"/>
        </w:tabs>
        <w:numPr>
          <w:ilvl w:val="0"/>
          <w:numId w:val="9"/>
        </w:numPr>
        <w:rPr>
          <w:rFonts w:ascii="Arial" w:cs="Arial" w:eastAsia="Arial" w:hAnsi="Arial"/>
          <w:sz w:val="14"/>
          <w:szCs w:val="14"/>
          <w:color w:val="auto"/>
        </w:rPr>
      </w:pPr>
      <w:r>
        <w:rPr>
          <w:rFonts w:ascii="Arial" w:cs="Arial" w:eastAsia="Arial" w:hAnsi="Arial"/>
          <w:sz w:val="17"/>
          <w:szCs w:val="17"/>
          <w:color w:val="auto"/>
        </w:rPr>
        <w:t>Our Board of Directors approved a share repurchase program, under which the Company may repurchase shares on the open market, through privately negotiated transactions, and through trading plans designed to comply with Rule 10b5-1 of the Securities Exchange Act of 1934, as amended. The share repurchase program may be modified, suspended or discontinued at any time.</w:t>
      </w:r>
    </w:p>
    <w:p>
      <w:pPr>
        <w:spacing w:after="0" w:line="1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00"/>
          </w:cols>
          <w:pgMar w:left="240" w:top="459" w:right="8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940" w:type="dxa"/>
            <w:vAlign w:val="bottom"/>
            <w:gridSpan w:val="7"/>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1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0"/>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20" w:type="dxa"/>
            <w:vAlign w:val="bottom"/>
            <w:gridSpan w:val="4"/>
          </w:tcPr>
          <w:p>
            <w:pPr>
              <w:ind w:left="320"/>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Certification of Brian A. Jenkins, Chief Executive Officer of the Registrant, pursuant to 17 CFR 240.13a-14(a) or 17 CFR 240.15d-14(a).</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gridSpan w:val="7"/>
          </w:tcPr>
          <w:p>
            <w:pPr>
              <w:spacing w:after="0"/>
              <w:rPr>
                <w:sz w:val="20"/>
                <w:szCs w:val="20"/>
                <w:color w:val="auto"/>
              </w:rPr>
            </w:pPr>
            <w:r>
              <w:rPr>
                <w:rFonts w:ascii="Arial" w:cs="Arial" w:eastAsia="Arial" w:hAnsi="Arial"/>
                <w:sz w:val="18"/>
                <w:szCs w:val="18"/>
                <w:color w:val="0000EE"/>
                <w:w w:val="98"/>
              </w:rPr>
              <w:t>Certification of Joe DeProspero, Interim Chief Financial Officer of the Registrant, pursuant to 17 CFR 240.13a-14(a) or 17 CFR</w:t>
            </w:r>
          </w:p>
        </w:tc>
      </w:tr>
      <w:tr>
        <w:trPr>
          <w:trHeight w:val="196"/>
        </w:trPr>
        <w:tc>
          <w:tcPr>
            <w:tcW w:w="1040" w:type="dxa"/>
            <w:vAlign w:val="bottom"/>
          </w:tcPr>
          <w:p>
            <w:pPr>
              <w:spacing w:after="0"/>
              <w:rPr>
                <w:sz w:val="17"/>
                <w:szCs w:val="17"/>
                <w:color w:val="auto"/>
              </w:rPr>
            </w:pPr>
          </w:p>
        </w:tc>
        <w:tc>
          <w:tcPr>
            <w:tcW w:w="10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240.</w:t>
            </w:r>
            <w:r>
              <w:rPr>
                <w:rFonts w:ascii="Arial" w:cs="Arial" w:eastAsia="Arial" w:hAnsi="Arial"/>
                <w:sz w:val="18"/>
                <w:szCs w:val="18"/>
                <w:u w:val="single" w:color="auto"/>
                <w:color w:val="0000EE"/>
                <w:w w:val="89"/>
              </w:rPr>
              <w:t>15d</w:t>
            </w:r>
            <w:r>
              <w:rPr>
                <w:rFonts w:ascii="Arial" w:cs="Arial" w:eastAsia="Arial" w:hAnsi="Arial"/>
                <w:sz w:val="18"/>
                <w:szCs w:val="18"/>
                <w:color w:val="0000EE"/>
                <w:w w:val="89"/>
              </w:rPr>
              <w:t>-14(a).</w:t>
            </w:r>
          </w:p>
        </w:tc>
        <w:tc>
          <w:tcPr>
            <w:tcW w:w="8200" w:type="dxa"/>
            <w:vAlign w:val="bottom"/>
            <w:tcBorders>
              <w:top w:val="single" w:sz="8" w:color="0000EE"/>
            </w:tcBorders>
            <w:gridSpan w:val="3"/>
          </w:tcPr>
          <w:p>
            <w:pPr>
              <w:spacing w:after="0"/>
              <w:rPr>
                <w:sz w:val="17"/>
                <w:szCs w:val="17"/>
                <w:color w:val="auto"/>
              </w:rPr>
            </w:pPr>
          </w:p>
        </w:tc>
        <w:tc>
          <w:tcPr>
            <w:tcW w:w="660" w:type="dxa"/>
            <w:vAlign w:val="bottom"/>
            <w:gridSpan w:val="3"/>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gridSpan w:val="7"/>
          </w:tcPr>
          <w:p>
            <w:pPr>
              <w:spacing w:after="0"/>
              <w:rPr>
                <w:sz w:val="20"/>
                <w:szCs w:val="20"/>
                <w:color w:val="auto"/>
              </w:rPr>
            </w:pPr>
            <w:r>
              <w:rPr>
                <w:rFonts w:ascii="Arial" w:cs="Arial" w:eastAsia="Arial" w:hAnsi="Arial"/>
                <w:sz w:val="18"/>
                <w:szCs w:val="18"/>
                <w:color w:val="0000EE"/>
                <w:w w:val="92"/>
              </w:rPr>
              <w:t>Certification of Brian A. Jenkins, Chief Executive Officer of the Registrant, pursuant to 18 U.S.C. Section 1350, as adopted pursuant to</w:t>
            </w:r>
          </w:p>
        </w:tc>
      </w:tr>
      <w:tr>
        <w:trPr>
          <w:trHeight w:val="196"/>
        </w:trPr>
        <w:tc>
          <w:tcPr>
            <w:tcW w:w="1040" w:type="dxa"/>
            <w:vAlign w:val="bottom"/>
          </w:tcPr>
          <w:p>
            <w:pPr>
              <w:spacing w:after="0"/>
              <w:rPr>
                <w:sz w:val="17"/>
                <w:szCs w:val="17"/>
                <w:color w:val="auto"/>
              </w:rPr>
            </w:pPr>
          </w:p>
        </w:tc>
        <w:tc>
          <w:tcPr>
            <w:tcW w:w="97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1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9940" w:type="dxa"/>
            <w:vAlign w:val="bottom"/>
            <w:gridSpan w:val="7"/>
          </w:tcPr>
          <w:p>
            <w:pPr>
              <w:spacing w:after="0"/>
              <w:rPr>
                <w:sz w:val="20"/>
                <w:szCs w:val="20"/>
                <w:color w:val="auto"/>
              </w:rPr>
            </w:pPr>
            <w:r>
              <w:rPr>
                <w:rFonts w:ascii="Arial" w:cs="Arial" w:eastAsia="Arial" w:hAnsi="Arial"/>
                <w:sz w:val="18"/>
                <w:szCs w:val="18"/>
                <w:color w:val="0000EE"/>
                <w:w w:val="96"/>
              </w:rPr>
              <w:t>Certification of Joe DeProspero, Interim Chief Financial Officer of the Registrant, pursuant to 18 U.S.C. Section 1350, as adopted</w:t>
            </w:r>
          </w:p>
        </w:tc>
      </w:tr>
      <w:tr>
        <w:trPr>
          <w:trHeight w:val="196"/>
        </w:trPr>
        <w:tc>
          <w:tcPr>
            <w:tcW w:w="104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pursuant to Section 906 of the Sarbanes-Oxley Act of 2002.</w:t>
            </w:r>
          </w:p>
        </w:tc>
        <w:tc>
          <w:tcPr>
            <w:tcW w:w="5040" w:type="dxa"/>
            <w:vAlign w:val="bottom"/>
            <w:tcBorders>
              <w:top w:val="single" w:sz="8" w:color="0000EE"/>
            </w:tcBorders>
            <w:gridSpan w:val="2"/>
          </w:tcPr>
          <w:p>
            <w:pPr>
              <w:spacing w:after="0"/>
              <w:rPr>
                <w:sz w:val="17"/>
                <w:szCs w:val="17"/>
                <w:color w:val="auto"/>
              </w:rPr>
            </w:pPr>
          </w:p>
        </w:tc>
        <w:tc>
          <w:tcPr>
            <w:tcW w:w="580" w:type="dxa"/>
            <w:vAlign w:val="bottom"/>
            <w:gridSpan w:val="2"/>
          </w:tcPr>
          <w:p>
            <w:pPr>
              <w:spacing w:after="0"/>
              <w:rPr>
                <w:sz w:val="17"/>
                <w:szCs w:val="17"/>
                <w:color w:val="auto"/>
              </w:rPr>
            </w:pPr>
          </w:p>
        </w:tc>
      </w:tr>
    </w:tbl>
    <w:p>
      <w:pPr>
        <w:spacing w:after="0" w:line="121" w:lineRule="exact"/>
        <w:rPr>
          <w:sz w:val="20"/>
          <w:szCs w:val="20"/>
          <w:color w:val="auto"/>
        </w:rPr>
      </w:pPr>
    </w:p>
    <w:p>
      <w:pPr>
        <w:ind w:left="200" w:right="7900" w:firstLine="4"/>
        <w:spacing w:after="0" w:line="446"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XBRL Interactive Data files * Filed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-255905</wp:posOffset>
            </wp:positionV>
            <wp:extent cx="694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DAVE &amp; BUSTER’S ENTERTAINMENT, INC.,</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200"/>
        <w:spacing w:after="0"/>
        <w:tabs>
          <w:tab w:leader="none" w:pos="5860" w:val="left"/>
        </w:tabs>
        <w:rPr>
          <w:sz w:val="20"/>
          <w:szCs w:val="20"/>
          <w:color w:val="auto"/>
        </w:rPr>
      </w:pPr>
      <w:r>
        <w:rPr>
          <w:rFonts w:ascii="Arial" w:cs="Arial" w:eastAsia="Arial" w:hAnsi="Arial"/>
          <w:sz w:val="18"/>
          <w:szCs w:val="18"/>
          <w:color w:val="auto"/>
        </w:rPr>
        <w:t>Date: December 11, 2018</w:t>
      </w:r>
      <w:r>
        <w:rPr>
          <w:sz w:val="20"/>
          <w:szCs w:val="20"/>
          <w:color w:val="auto"/>
        </w:rPr>
        <w:tab/>
      </w:r>
      <w:r>
        <w:rPr>
          <w:rFonts w:ascii="Arial" w:cs="Arial" w:eastAsia="Arial" w:hAnsi="Arial"/>
          <w:sz w:val="17"/>
          <w:szCs w:val="17"/>
          <w:color w:val="auto"/>
        </w:rPr>
        <w:t>By:  /s/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Brian A. Jenkins</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200"/>
        <w:spacing w:after="0"/>
        <w:tabs>
          <w:tab w:leader="none" w:pos="5860" w:val="left"/>
        </w:tabs>
        <w:rPr>
          <w:sz w:val="20"/>
          <w:szCs w:val="20"/>
          <w:color w:val="auto"/>
        </w:rPr>
      </w:pPr>
      <w:r>
        <w:rPr>
          <w:rFonts w:ascii="Arial" w:cs="Arial" w:eastAsia="Arial" w:hAnsi="Arial"/>
          <w:sz w:val="18"/>
          <w:szCs w:val="18"/>
          <w:color w:val="auto"/>
        </w:rPr>
        <w:t>Date: December 11, 2018</w:t>
      </w:r>
      <w:r>
        <w:rPr>
          <w:sz w:val="20"/>
          <w:szCs w:val="20"/>
          <w:color w:val="auto"/>
        </w:rPr>
        <w:tab/>
      </w:r>
      <w:r>
        <w:rPr>
          <w:rFonts w:ascii="Arial" w:cs="Arial" w:eastAsia="Arial" w:hAnsi="Arial"/>
          <w:sz w:val="16"/>
          <w:szCs w:val="16"/>
          <w:color w:val="auto"/>
        </w:rPr>
        <w:t>By:  /s/ Joe DeProspero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Joe DeProspero</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Interim Chief Financial Officer</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240" w:top="459" w:right="5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A. Jenkins, Chief Executive Officer of Dave &amp; Buster’s Entertainment, Inc., certify that:</w:t>
      </w:r>
    </w:p>
    <w:p>
      <w:pPr>
        <w:spacing w:after="0" w:line="131" w:lineRule="exact"/>
        <w:rPr>
          <w:sz w:val="20"/>
          <w:szCs w:val="20"/>
          <w:color w:val="auto"/>
        </w:rPr>
      </w:pPr>
    </w:p>
    <w:p>
      <w:pPr>
        <w:ind w:left="440" w:hanging="43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60" w:hanging="424"/>
        <w:spacing w:after="0" w:line="264"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20" w:hanging="424"/>
        <w:spacing w:after="0" w:line="264"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860" w:right="660" w:hanging="424"/>
        <w:spacing w:after="0" w:line="342" w:lineRule="auto"/>
        <w:tabs>
          <w:tab w:leader="none" w:pos="8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December 11, 2018</w:t>
      </w:r>
      <w:r>
        <w:rPr>
          <w:sz w:val="20"/>
          <w:szCs w:val="20"/>
          <w:color w:val="auto"/>
        </w:rPr>
        <w:tab/>
      </w:r>
      <w:r>
        <w:rPr>
          <w:rFonts w:ascii="Arial" w:cs="Arial" w:eastAsia="Arial" w:hAnsi="Arial"/>
          <w:sz w:val="16"/>
          <w:szCs w:val="16"/>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Brian A. Jenkins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 DeProspero, Interim Chief Financial Officer of Dave &amp; Buster’s Entertainment, Inc., certify that:</w:t>
      </w:r>
    </w:p>
    <w:p>
      <w:pPr>
        <w:spacing w:after="0" w:line="131" w:lineRule="exact"/>
        <w:rPr>
          <w:sz w:val="20"/>
          <w:szCs w:val="20"/>
          <w:color w:val="auto"/>
        </w:rPr>
      </w:pPr>
    </w:p>
    <w:p>
      <w:pPr>
        <w:ind w:left="440" w:hanging="43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60" w:hanging="424"/>
        <w:spacing w:after="0" w:line="264" w:lineRule="auto"/>
        <w:tabs>
          <w:tab w:leader="none" w:pos="8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20" w:hanging="424"/>
        <w:spacing w:after="0" w:line="264" w:lineRule="auto"/>
        <w:tabs>
          <w:tab w:leader="none" w:pos="8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860" w:right="660" w:hanging="424"/>
        <w:spacing w:after="0" w:line="342" w:lineRule="auto"/>
        <w:tabs>
          <w:tab w:leader="none" w:pos="8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December 11, 2018</w:t>
      </w:r>
      <w:r>
        <w:rPr>
          <w:sz w:val="20"/>
          <w:szCs w:val="20"/>
          <w:color w:val="auto"/>
        </w:rPr>
        <w:tab/>
      </w:r>
      <w:r>
        <w:rPr>
          <w:rFonts w:ascii="Arial" w:cs="Arial" w:eastAsia="Arial" w:hAnsi="Arial"/>
          <w:sz w:val="15"/>
          <w:szCs w:val="15"/>
          <w:color w:val="auto"/>
        </w:rPr>
        <w:t>/s/ Joe DeProspero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Joe DeProspero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020"/>
          </w:cols>
          <w:pgMar w:left="440" w:top="121"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November 4, 2018 as filed with the Securities and Exchange Commission on the date hereof (the “Report”), I, Brian A. Jenkins, Chief Executive Officer of the Company, certify, pursuant to 18 U.S.C. Section 1350, that:</w:t>
      </w:r>
    </w:p>
    <w:p>
      <w:pPr>
        <w:spacing w:after="0" w:line="87" w:lineRule="exact"/>
        <w:rPr>
          <w:sz w:val="20"/>
          <w:szCs w:val="20"/>
          <w:color w:val="auto"/>
        </w:rPr>
      </w:pPr>
    </w:p>
    <w:p>
      <w:pPr>
        <w:ind w:left="860" w:right="20" w:hanging="424"/>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Brian A. Jenkins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November 4, 2018 as filed with the Securities and Exchange Commission on the date hereof (the “Report”), I, Joe DeProspero, Interim Chief Financial Officer of the Company, certify, pursuant to 18 U.S.C. Section 1350, that:</w:t>
      </w:r>
    </w:p>
    <w:p>
      <w:pPr>
        <w:spacing w:after="0" w:line="87" w:lineRule="exact"/>
        <w:rPr>
          <w:sz w:val="20"/>
          <w:szCs w:val="20"/>
          <w:color w:val="auto"/>
        </w:rPr>
      </w:pPr>
    </w:p>
    <w:p>
      <w:pPr>
        <w:ind w:left="860" w:right="20" w:hanging="424"/>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Joe DeProspero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Joe DeProspero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Interim Chief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0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2019-12-28T17:26:55Z</dcterms:created>
  <dcterms:modified xsi:type="dcterms:W3CDTF">2019-12-28T17:26:55Z</dcterms:modified>
</cp:coreProperties>
</file>