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206375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240665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4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SECTION 13 OR 15(d) OF THE SECURITIES EXCHANGE ACT OF 1934</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August 4, 2019</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3740" w:type="dxa"/>
            <w:vAlign w:val="bottom"/>
            <w:gridSpan w:val="2"/>
          </w:tcPr>
          <w:p>
            <w:pPr>
              <w:jc w:val="center"/>
              <w:ind w:left="1699"/>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ind w:right="1662"/>
              <w:spacing w:after="0"/>
              <w:rPr>
                <w:sz w:val="20"/>
                <w:szCs w:val="20"/>
                <w:color w:val="auto"/>
              </w:rPr>
            </w:pPr>
            <w:r>
              <w:rPr>
                <w:rFonts w:ascii="Arial" w:cs="Arial" w:eastAsia="Arial" w:hAnsi="Arial"/>
                <w:sz w:val="18"/>
                <w:szCs w:val="18"/>
                <w:b w:val="1"/>
                <w:bCs w:val="1"/>
                <w:color w:val="auto"/>
                <w:w w:val="89"/>
              </w:rPr>
              <w:t>35-2382255</w:t>
            </w:r>
          </w:p>
        </w:tc>
        <w:tc>
          <w:tcPr>
            <w:tcW w:w="0" w:type="dxa"/>
            <w:vAlign w:val="bottom"/>
          </w:tcPr>
          <w:p>
            <w:pPr>
              <w:spacing w:after="0"/>
              <w:rPr>
                <w:sz w:val="1"/>
                <w:szCs w:val="1"/>
                <w:color w:val="auto"/>
              </w:rPr>
            </w:pPr>
          </w:p>
        </w:tc>
      </w:tr>
      <w:tr>
        <w:trPr>
          <w:trHeight w:val="149"/>
        </w:trPr>
        <w:tc>
          <w:tcPr>
            <w:tcW w:w="3740" w:type="dxa"/>
            <w:vAlign w:val="bottom"/>
            <w:gridSpan w:val="2"/>
          </w:tcPr>
          <w:p>
            <w:pPr>
              <w:jc w:val="center"/>
              <w:ind w:left="17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jc w:val="center"/>
              <w:ind w:right="1662"/>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740" w:type="dxa"/>
            <w:vAlign w:val="bottom"/>
            <w:gridSpan w:val="2"/>
          </w:tcPr>
          <w:p>
            <w:pPr>
              <w:jc w:val="center"/>
              <w:ind w:left="1719"/>
              <w:spacing w:after="0"/>
              <w:rPr>
                <w:sz w:val="20"/>
                <w:szCs w:val="20"/>
                <w:color w:val="auto"/>
              </w:rPr>
            </w:pPr>
            <w:r>
              <w:rPr>
                <w:rFonts w:ascii="Arial" w:cs="Arial" w:eastAsia="Arial" w:hAnsi="Arial"/>
                <w:sz w:val="14"/>
                <w:szCs w:val="14"/>
                <w:b w:val="1"/>
                <w:bCs w:val="1"/>
                <w:color w:val="auto"/>
                <w:w w:val="95"/>
              </w:rPr>
              <w:t>Incorporation or Organization)</w:t>
            </w:r>
          </w:p>
        </w:tc>
        <w:tc>
          <w:tcPr>
            <w:tcW w:w="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jc w:val="center"/>
              <w:ind w:right="166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2481 Mañana Drive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8"/>
              </w:rPr>
              <w:t>Dallas, Texas 75220</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(Zip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2"/>
          </w:tcPr>
          <w:p>
            <w:pPr>
              <w:jc w:val="center"/>
              <w:ind w:left="542"/>
              <w:spacing w:after="0"/>
              <w:rPr>
                <w:sz w:val="20"/>
                <w:szCs w:val="20"/>
                <w:color w:val="auto"/>
              </w:rPr>
            </w:pPr>
            <w:r>
              <w:rPr>
                <w:rFonts w:ascii="Arial" w:cs="Arial" w:eastAsia="Arial" w:hAnsi="Arial"/>
                <w:sz w:val="18"/>
                <w:szCs w:val="18"/>
                <w:b w:val="1"/>
                <w:bCs w:val="1"/>
                <w:color w:val="auto"/>
                <w:w w:val="90"/>
              </w:rPr>
              <w:t>(214) 357-9588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4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7380" w:type="dxa"/>
            <w:vAlign w:val="bottom"/>
            <w:gridSpan w:val="6"/>
          </w:tcPr>
          <w:p>
            <w:pPr>
              <w:ind w:left="420"/>
              <w:spacing w:after="0"/>
              <w:rPr>
                <w:sz w:val="20"/>
                <w:szCs w:val="20"/>
                <w:color w:val="auto"/>
              </w:rPr>
            </w:pPr>
            <w:r>
              <w:rPr>
                <w:rFonts w:ascii="Arial" w:cs="Arial" w:eastAsia="Arial" w:hAnsi="Arial"/>
                <w:sz w:val="18"/>
                <w:szCs w:val="18"/>
                <w:color w:val="auto"/>
              </w:rPr>
              <w:t>Securities registered pursuant to Section 12(b) of the Act: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7"/>
                <w:szCs w:val="17"/>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9"/>
              </w:rPr>
              <w:t>PLAY</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125730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200"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jc w:val="both"/>
        <w:ind w:left="200" w:right="200" w:firstLine="441"/>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33" w:lineRule="exact"/>
        <w:rPr>
          <w:sz w:val="24"/>
          <w:szCs w:val="24"/>
          <w:color w:val="auto"/>
        </w:rPr>
      </w:pPr>
    </w:p>
    <w:p>
      <w:pPr>
        <w:ind w:left="200"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640" w:right="1120"/>
        <w:spacing w:after="0" w:line="273"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September 4, 2019, the registrant had 30,831,297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43815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QUARTERLY PERIOD ENDED August 4,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60" w:type="dxa"/>
            <w:vAlign w:val="bottom"/>
            <w:gridSpan w:val="5"/>
            <w:vMerge w:val="restart"/>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40" w:type="dxa"/>
            <w:vAlign w:val="bottom"/>
            <w:vMerge w:val="continue"/>
          </w:tcPr>
          <w:p>
            <w:pPr>
              <w:spacing w:after="0"/>
              <w:rPr>
                <w:sz w:val="14"/>
                <w:szCs w:val="14"/>
                <w:color w:val="auto"/>
              </w:rPr>
            </w:pPr>
          </w:p>
        </w:tc>
        <w:tc>
          <w:tcPr>
            <w:tcW w:w="2400" w:type="dxa"/>
            <w:vAlign w:val="bottom"/>
            <w:tcBorders>
              <w:bottom w:val="single" w:sz="8" w:color="0000EE"/>
            </w:tcBorders>
            <w:gridSpan w:val="7"/>
            <w:vMerge w:val="continue"/>
          </w:tcPr>
          <w:p>
            <w:pPr>
              <w:spacing w:after="0"/>
              <w:rPr>
                <w:sz w:val="14"/>
                <w:szCs w:val="14"/>
                <w:color w:val="auto"/>
              </w:rPr>
            </w:pPr>
          </w:p>
        </w:tc>
        <w:tc>
          <w:tcPr>
            <w:tcW w:w="686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FINANCIAL STATEMENTS</w:t>
              </w:r>
            </w:hyperlink>
          </w:p>
        </w:tc>
        <w:tc>
          <w:tcPr>
            <w:tcW w:w="7100" w:type="dxa"/>
            <w:vAlign w:val="bottom"/>
            <w:gridSpan w:val="6"/>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 OF OPERATIONS</w:t>
              </w:r>
            </w:hyperlink>
          </w:p>
        </w:tc>
        <w:tc>
          <w:tcPr>
            <w:tcW w:w="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3.</w:t>
            </w:r>
          </w:p>
        </w:tc>
        <w:tc>
          <w:tcPr>
            <w:tcW w:w="92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120" w:type="dxa"/>
            <w:vAlign w:val="bottom"/>
            <w:gridSpan w:val="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b w:val="1"/>
                <w:bCs w:val="1"/>
                <w:color w:val="auto"/>
              </w:rPr>
              <w:t>PART II</w:t>
            </w:r>
          </w:p>
        </w:tc>
        <w:tc>
          <w:tcPr>
            <w:tcW w:w="260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66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1.</w:t>
            </w:r>
          </w:p>
        </w:tc>
        <w:tc>
          <w:tcPr>
            <w:tcW w:w="1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LEGAL PROCEEDINGS</w:t>
              </w:r>
            </w:hyperlink>
          </w:p>
        </w:tc>
        <w:tc>
          <w:tcPr>
            <w:tcW w:w="140" w:type="dxa"/>
            <w:vAlign w:val="bottom"/>
            <w:tcBorders>
              <w:top w:val="single" w:sz="8" w:color="0000EE"/>
            </w:tcBorders>
          </w:tcPr>
          <w:p>
            <w:pPr>
              <w:spacing w:after="0"/>
              <w:rPr>
                <w:sz w:val="24"/>
                <w:szCs w:val="24"/>
                <w:color w:val="auto"/>
              </w:rPr>
            </w:pPr>
          </w:p>
        </w:tc>
        <w:tc>
          <w:tcPr>
            <w:tcW w:w="7240" w:type="dxa"/>
            <w:vAlign w:val="bottom"/>
            <w:gridSpan w:val="7"/>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RISK FACTORS</w:t>
              </w:r>
            </w:hyperlink>
          </w:p>
        </w:tc>
        <w:tc>
          <w:tcPr>
            <w:tcW w:w="8000" w:type="dxa"/>
            <w:vAlign w:val="bottom"/>
            <w:gridSpan w:val="9"/>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UNREGISTERED SALES OF EQUITY SECURITIES AND USE OF PROCEEDS</w:t>
              </w:r>
            </w:hyperlink>
          </w:p>
        </w:tc>
        <w:tc>
          <w:tcPr>
            <w:tcW w:w="3180" w:type="dxa"/>
            <w:vAlign w:val="bottom"/>
            <w:gridSpan w:val="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0"/>
              <w:spacing w:after="0"/>
              <w:rPr>
                <w:sz w:val="20"/>
                <w:szCs w:val="20"/>
                <w:color w:val="auto"/>
              </w:rPr>
            </w:pPr>
            <w:r>
              <w:rPr>
                <w:rFonts w:ascii="Arial" w:cs="Arial" w:eastAsia="Arial" w:hAnsi="Arial"/>
                <w:sz w:val="18"/>
                <w:szCs w:val="18"/>
                <w:color w:val="auto"/>
              </w:rPr>
              <w:t>ITEM 6.</w:t>
            </w:r>
          </w:p>
        </w:tc>
        <w:tc>
          <w:tcPr>
            <w:tcW w:w="926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60" w:type="dxa"/>
            <w:vAlign w:val="bottom"/>
            <w:gridSpan w:val="1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4"/>
                <w:szCs w:val="24"/>
                <w:color w:val="auto"/>
              </w:rPr>
            </w:pPr>
          </w:p>
        </w:tc>
        <w:tc>
          <w:tcPr>
            <w:tcW w:w="926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4980" w:type="dxa"/>
            <w:vAlign w:val="bottom"/>
            <w:gridSpan w:val="7"/>
          </w:tcPr>
          <w:p>
            <w:pPr>
              <w:jc w:val="right"/>
              <w:ind w:right="15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6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240" w:type="dxa"/>
            <w:vAlign w:val="bottom"/>
            <w:tcBorders>
              <w:bottom w:val="single" w:sz="8" w:color="999999"/>
            </w:tcBorders>
          </w:tcPr>
          <w:p>
            <w:pPr>
              <w:spacing w:after="0"/>
              <w:rPr>
                <w:sz w:val="18"/>
                <w:szCs w:val="18"/>
                <w:color w:val="auto"/>
              </w:rPr>
            </w:pPr>
          </w:p>
        </w:tc>
        <w:tc>
          <w:tcPr>
            <w:tcW w:w="200" w:type="dxa"/>
            <w:vAlign w:val="bottom"/>
            <w:tcBorders>
              <w:bottom w:val="single" w:sz="8" w:color="999999"/>
            </w:tcBorders>
          </w:tcPr>
          <w:p>
            <w:pPr>
              <w:spacing w:after="0"/>
              <w:rPr>
                <w:sz w:val="18"/>
                <w:szCs w:val="18"/>
                <w:color w:val="auto"/>
              </w:rPr>
            </w:pPr>
          </w:p>
        </w:tc>
        <w:tc>
          <w:tcPr>
            <w:tcW w:w="348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27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3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640" w:type="dxa"/>
            <w:vAlign w:val="bottom"/>
          </w:tcPr>
          <w:p>
            <w:pPr>
              <w:jc w:val="center"/>
              <w:ind w:left="99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40" w:type="dxa"/>
            <w:vAlign w:val="bottom"/>
          </w:tcPr>
          <w:p>
            <w:pPr>
              <w:jc w:val="center"/>
              <w:ind w:left="970"/>
              <w:spacing w:after="0"/>
              <w:rPr>
                <w:sz w:val="20"/>
                <w:szCs w:val="20"/>
                <w:color w:val="auto"/>
              </w:rPr>
            </w:pPr>
            <w:r>
              <w:rPr>
                <w:rFonts w:ascii="Arial" w:cs="Arial" w:eastAsia="Arial" w:hAnsi="Arial"/>
                <w:sz w:val="18"/>
                <w:szCs w:val="18"/>
                <w:b w:val="1"/>
                <w:bCs w:val="1"/>
                <w:color w:val="auto"/>
              </w:rPr>
              <w:t>DAVE &amp; BUSTER’S ENTERTAINMENT, INC.</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40" w:type="dxa"/>
            <w:vAlign w:val="bottom"/>
          </w:tcPr>
          <w:p>
            <w:pPr>
              <w:jc w:val="center"/>
              <w:ind w:left="970"/>
              <w:spacing w:after="0"/>
              <w:rPr>
                <w:sz w:val="20"/>
                <w:szCs w:val="20"/>
                <w:color w:val="auto"/>
              </w:rPr>
            </w:pPr>
            <w:r>
              <w:rPr>
                <w:rFonts w:ascii="Arial" w:cs="Arial" w:eastAsia="Arial" w:hAnsi="Arial"/>
                <w:sz w:val="18"/>
                <w:szCs w:val="18"/>
                <w:color w:val="auto"/>
                <w:w w:val="87"/>
              </w:rPr>
              <w:t>(in thousands, except share and per share amounts)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August 4,</w:t>
            </w:r>
          </w:p>
        </w:tc>
        <w:tc>
          <w:tcPr>
            <w:tcW w:w="1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February 3,</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4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5"/>
              </w:rPr>
              <w:t>Current assets:</w:t>
            </w:r>
          </w:p>
        </w:tc>
        <w:tc>
          <w:tcPr>
            <w:tcW w:w="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Property and equipment (net of $627,036 and $578,178 accumulated depreciation as of August 4, 2019 and February 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2019,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924,461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Tradenames</w:t>
            </w:r>
          </w:p>
        </w:tc>
        <w:tc>
          <w:tcPr>
            <w:tcW w:w="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assets and deferred charges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2,234,077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1,273,187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40" w:type="dxa"/>
            <w:vAlign w:val="bottom"/>
            <w:vMerge w:val="restart"/>
          </w:tcPr>
          <w:p>
            <w:pPr>
              <w:jc w:val="center"/>
              <w:ind w:right="109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Current installments of long-term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256,641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Deferred occupancy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w w:val="91"/>
              </w:rPr>
              <w:t>Common stock, par value $0.01; authorized: 400,000,000 shares; issued: 43,337,125 shares at August 4, 2019 and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520"/>
              <w:spacing w:after="0"/>
              <w:rPr>
                <w:sz w:val="20"/>
                <w:szCs w:val="20"/>
                <w:color w:val="auto"/>
              </w:rPr>
            </w:pPr>
            <w:r>
              <w:rPr>
                <w:rFonts w:ascii="Arial" w:cs="Arial" w:eastAsia="Arial" w:hAnsi="Arial"/>
                <w:sz w:val="18"/>
                <w:szCs w:val="18"/>
                <w:color w:val="auto"/>
                <w:w w:val="90"/>
              </w:rPr>
              <w:t>43,177,476 shares at February 3, 2019; outstanding: 32,978,834 shares at August 4, 2019 and 37,522,085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780" w:type="dxa"/>
            <w:vAlign w:val="bottom"/>
            <w:gridSpan w:val="3"/>
          </w:tcPr>
          <w:p>
            <w:pPr>
              <w:ind w:left="520"/>
              <w:spacing w:after="0"/>
              <w:rPr>
                <w:sz w:val="20"/>
                <w:szCs w:val="20"/>
                <w:color w:val="auto"/>
              </w:rPr>
            </w:pPr>
            <w:r>
              <w:rPr>
                <w:rFonts w:ascii="Arial" w:cs="Arial" w:eastAsia="Arial" w:hAnsi="Arial"/>
                <w:sz w:val="18"/>
                <w:szCs w:val="18"/>
                <w:color w:val="auto"/>
              </w:rPr>
              <w:t>at February 3, 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Treasury stock, 10,358,291 and 5,655,391 shares as of August 4, 2019 and February 3, 2019, respectively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(497,862)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(297,129)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7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2,234,077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1,273,187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51"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500" w:type="dxa"/>
            <w:vAlign w:val="bottom"/>
            <w:gridSpan w:val="4"/>
          </w:tcPr>
          <w:p>
            <w:pPr>
              <w:ind w:left="2300"/>
              <w:spacing w:after="0"/>
              <w:rPr>
                <w:sz w:val="20"/>
                <w:szCs w:val="20"/>
                <w:color w:val="auto"/>
              </w:rPr>
            </w:pPr>
            <w:r>
              <w:rPr>
                <w:rFonts w:ascii="Arial" w:cs="Arial" w:eastAsia="Arial" w:hAnsi="Arial"/>
                <w:sz w:val="14"/>
                <w:szCs w:val="14"/>
                <w:b w:val="1"/>
                <w:bCs w:val="1"/>
                <w:color w:val="auto"/>
              </w:rPr>
              <w:t>Thirteen Weeks</w:t>
            </w: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4, 2019</w:t>
            </w:r>
          </w:p>
        </w:tc>
        <w:tc>
          <w:tcPr>
            <w:tcW w:w="18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August 5,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206,678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298,385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tax</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loss</w:t>
            </w:r>
          </w:p>
        </w:tc>
        <w:tc>
          <w:tcPr>
            <w:tcW w:w="2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2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80" w:type="dxa"/>
            <w:vAlign w:val="bottom"/>
            <w:vMerge w:val="continue"/>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Basic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35,407,965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39,355,105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36,015,710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40,280,301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500" w:type="dxa"/>
            <w:vAlign w:val="bottom"/>
            <w:gridSpan w:val="4"/>
          </w:tcPr>
          <w:p>
            <w:pPr>
              <w:ind w:left="2060"/>
              <w:spacing w:after="0"/>
              <w:rPr>
                <w:sz w:val="20"/>
                <w:szCs w:val="20"/>
                <w:color w:val="auto"/>
              </w:rPr>
            </w:pPr>
            <w:r>
              <w:rPr>
                <w:rFonts w:ascii="Arial" w:cs="Arial" w:eastAsia="Arial" w:hAnsi="Arial"/>
                <w:sz w:val="14"/>
                <w:szCs w:val="14"/>
                <w:b w:val="1"/>
                <w:bCs w:val="1"/>
                <w:color w:val="auto"/>
              </w:rPr>
              <w:t>Twenty-Six Weeks</w:t>
            </w:r>
          </w:p>
        </w:tc>
        <w:tc>
          <w:tcPr>
            <w:tcW w:w="150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August 4,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August 5,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286,142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2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422,039</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75,688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121,348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210,621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2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604,217</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2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20,504</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Unrealized foreign currency translation loss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tax</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loss</w:t>
            </w:r>
          </w:p>
        </w:tc>
        <w:tc>
          <w:tcPr>
            <w:tcW w:w="20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2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68,835</w:t>
            </w:r>
          </w:p>
        </w:tc>
        <w:tc>
          <w:tcPr>
            <w:tcW w:w="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Basic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36,117,815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39,525,263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36,803,001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2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 OF STOCKHOLDERS’ EQUITY (UNAUDITED) </w:t>
      </w:r>
      <w:r>
        <w:rPr>
          <w:rFonts w:ascii="Arial" w:cs="Arial" w:eastAsia="Arial" w:hAnsi="Arial"/>
          <w:sz w:val="18"/>
          <w:szCs w:val="18"/>
          <w:color w:val="auto"/>
        </w:rPr>
        <w:t>(in thousands, except share amounts)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4"/>
                <w:szCs w:val="14"/>
                <w:b w:val="1"/>
                <w:bCs w:val="1"/>
                <w:color w:val="auto"/>
                <w:w w:val="98"/>
              </w:rPr>
              <w:t>Thirteen Weeks Ended August 4, 2019</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2"/>
                <w:szCs w:val="12"/>
                <w:color w:val="auto"/>
              </w:rPr>
            </w:pPr>
          </w:p>
        </w:tc>
        <w:tc>
          <w:tcPr>
            <w:tcW w:w="20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2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Amt.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May 5, 2019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43,323,049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433</w:t>
            </w:r>
          </w:p>
        </w:tc>
        <w:tc>
          <w:tcPr>
            <w:tcW w:w="9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$333,515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6,958,291</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$(361,186)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(3,408)</w:t>
            </w:r>
          </w:p>
        </w:tc>
        <w:tc>
          <w:tcPr>
            <w:tcW w:w="8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$390,771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$ 360,125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32,356</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foreign currency translation</w:t>
            </w:r>
          </w:p>
        </w:tc>
        <w:tc>
          <w:tcPr>
            <w:tcW w:w="160" w:type="dxa"/>
            <w:vAlign w:val="bottom"/>
            <w:shd w:val="clear" w:color="auto" w:fill="CCEEFF"/>
          </w:tcPr>
          <w:p>
            <w:pPr>
              <w:spacing w:after="0"/>
              <w:rPr>
                <w:sz w:val="17"/>
                <w:szCs w:val="17"/>
                <w:color w:val="auto"/>
              </w:rPr>
            </w:pPr>
          </w:p>
        </w:tc>
        <w:tc>
          <w:tcPr>
            <w:tcW w:w="8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w:t>
            </w:r>
          </w:p>
        </w:tc>
        <w:tc>
          <w:tcPr>
            <w:tcW w:w="160" w:type="dxa"/>
            <w:vAlign w:val="bottom"/>
            <w:shd w:val="clear" w:color="auto" w:fill="CCEEFF"/>
          </w:tcPr>
          <w:p>
            <w:pPr>
              <w:spacing w:after="0"/>
              <w:rPr>
                <w:sz w:val="20"/>
                <w:szCs w:val="20"/>
                <w:color w:val="auto"/>
              </w:rPr>
            </w:pPr>
          </w:p>
        </w:tc>
        <w:tc>
          <w:tcPr>
            <w:tcW w:w="88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3"/>
              </w:rPr>
              <w:t>134</w:t>
            </w: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5"/>
              </w:rPr>
              <w:t>Change in fair value of derivatives, net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88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88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(136,676)</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(136,676)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Dividends declared ($0.15 per share)</w:t>
            </w:r>
          </w:p>
        </w:tc>
        <w:tc>
          <w:tcPr>
            <w:tcW w:w="1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(5,348)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August 4, 2019</w:t>
            </w:r>
          </w:p>
        </w:tc>
        <w:tc>
          <w:tcPr>
            <w:tcW w:w="160" w:type="dxa"/>
            <w:vAlign w:val="bottom"/>
            <w:shd w:val="clear" w:color="auto" w:fill="CCEEFF"/>
          </w:tcPr>
          <w:p>
            <w:pPr>
              <w:spacing w:after="0" w:line="20" w:lineRule="exact"/>
              <w:rPr>
                <w:sz w:val="1"/>
                <w:szCs w:val="1"/>
                <w:color w:val="auto"/>
              </w:rPr>
            </w:pPr>
          </w:p>
        </w:tc>
        <w:tc>
          <w:tcPr>
            <w:tcW w:w="8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43,337,125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433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335,599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10,358,291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(497,862)</w:t>
            </w:r>
          </w:p>
        </w:tc>
        <w:tc>
          <w:tcPr>
            <w:tcW w:w="3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(6,647)</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417,779</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$ 249,302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4"/>
                <w:szCs w:val="14"/>
                <w:b w:val="1"/>
                <w:bCs w:val="1"/>
                <w:color w:val="auto"/>
                <w:w w:val="97"/>
              </w:rPr>
              <w:t>Thirteen Weeks Ended August 5, 2018</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2"/>
                <w:szCs w:val="12"/>
                <w:color w:val="auto"/>
              </w:rPr>
            </w:pPr>
          </w:p>
        </w:tc>
        <w:tc>
          <w:tcPr>
            <w:tcW w:w="20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At 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Amt.</w:t>
            </w: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Amt.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May 6, 2018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42,801,006</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6"/>
              </w:rPr>
              <w:t>428</w:t>
            </w:r>
          </w:p>
        </w:tc>
        <w:tc>
          <w:tcPr>
            <w:tcW w:w="9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$ 323,211</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3,181,280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$(175,372)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8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$290,461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33,779</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foreign currency translation</w:t>
            </w:r>
          </w:p>
        </w:tc>
        <w:tc>
          <w:tcPr>
            <w:tcW w:w="160" w:type="dxa"/>
            <w:vAlign w:val="bottom"/>
            <w:shd w:val="clear" w:color="auto" w:fill="CCEEFF"/>
          </w:tcPr>
          <w:p>
            <w:pPr>
              <w:spacing w:after="0"/>
              <w:rPr>
                <w:sz w:val="17"/>
                <w:szCs w:val="17"/>
                <w:color w:val="auto"/>
              </w:rPr>
            </w:pPr>
          </w:p>
        </w:tc>
        <w:tc>
          <w:tcPr>
            <w:tcW w:w="8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CEEFF"/>
          </w:tcPr>
          <w:p>
            <w:pPr>
              <w:spacing w:after="0"/>
              <w:rPr>
                <w:sz w:val="20"/>
                <w:szCs w:val="20"/>
                <w:color w:val="auto"/>
              </w:rPr>
            </w:pPr>
          </w:p>
        </w:tc>
        <w:tc>
          <w:tcPr>
            <w:tcW w:w="880" w:type="dxa"/>
            <w:vAlign w:val="bottom"/>
            <w:tcBorders>
              <w:left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2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136,982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7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728,753</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August 5, 2018</w:t>
            </w:r>
          </w:p>
        </w:tc>
        <w:tc>
          <w:tcPr>
            <w:tcW w:w="16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42,937,988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6"/>
              </w:rPr>
              <w:t>429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$ 325,951</w:t>
            </w:r>
          </w:p>
        </w:tc>
        <w:tc>
          <w:tcPr>
            <w:tcW w:w="26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3,910,033</w:t>
            </w:r>
          </w:p>
        </w:tc>
        <w:tc>
          <w:tcPr>
            <w:tcW w:w="260" w:type="dxa"/>
            <w:vAlign w:val="bottom"/>
            <w:tcBorders>
              <w:right w:val="single" w:sz="8" w:color="CCEEFF"/>
            </w:tcBorders>
            <w:vMerge w:val="continue"/>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(209,084</w:t>
            </w:r>
          </w:p>
        </w:tc>
        <w:tc>
          <w:tcPr>
            <w:tcW w:w="140" w:type="dxa"/>
            <w:vAlign w:val="bottom"/>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vMerge w:val="continue"/>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324,240</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440,925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65"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2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 OF STOCKHOLDERS’ EQUITY (UNAUDITED) </w:t>
      </w:r>
      <w:r>
        <w:rPr>
          <w:rFonts w:ascii="Arial" w:cs="Arial" w:eastAsia="Arial" w:hAnsi="Arial"/>
          <w:sz w:val="18"/>
          <w:szCs w:val="18"/>
          <w:color w:val="auto"/>
        </w:rPr>
        <w:t>(in thousands, except share amounts)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Twenty-Six Weeks Ended August 4, 2019</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20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2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At 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Amt.</w:t>
            </w: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Amt.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3,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43,177,476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5,655,391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$(297,129)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$353,962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Cumulative effect of a change in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accounting principle, net of tax</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(145)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74,799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Unrealized foreign currency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 in fair value of derivatives, net</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6"/>
              </w:rPr>
              <w:t>612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4,702,900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(200,733)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($0.30 per 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(10,837)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August 4,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43,337,125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433</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335,599</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10,358,291</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(497,862</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$ 249,302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Twenty-Six Weeks Ended August 5, 2018</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20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12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At 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Amt.</w:t>
            </w: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Amt.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4,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42,660,806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2,558,721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$(147,331)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$ 248,311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75,929</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foreign currency translation</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4,014</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1,351,312</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(61,753)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5,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42,937,988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325,951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3,910,033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(209,084)</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324,240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$ 440,925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365"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40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91"/>
              </w:rPr>
              <w:t>Twenty-Six Weeks</w:t>
            </w:r>
          </w:p>
        </w:tc>
        <w:tc>
          <w:tcPr>
            <w:tcW w:w="1540" w:type="dxa"/>
            <w:vAlign w:val="bottom"/>
            <w:gridSpan w:val="4"/>
          </w:tcPr>
          <w:p>
            <w:pPr>
              <w:jc w:val="center"/>
              <w:ind w:left="134"/>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August 4, 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August 5,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74,799</w:t>
            </w:r>
          </w:p>
        </w:tc>
        <w:tc>
          <w:tcPr>
            <w:tcW w:w="3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63,886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Loss on disposal of fixed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20"/>
              <w:spacing w:after="0"/>
              <w:rPr>
                <w:sz w:val="20"/>
                <w:szCs w:val="20"/>
                <w:color w:val="auto"/>
              </w:rPr>
            </w:pPr>
            <w:r>
              <w:rPr>
                <w:rFonts w:ascii="Arial" w:cs="Arial" w:eastAsia="Arial" w:hAnsi="Arial"/>
                <w:sz w:val="18"/>
                <w:szCs w:val="18"/>
                <w:color w:val="auto"/>
              </w:rPr>
              <w:t>Other assets and deferred charges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20"/>
              <w:spacing w:after="0"/>
              <w:rPr>
                <w:sz w:val="20"/>
                <w:szCs w:val="20"/>
                <w:color w:val="auto"/>
              </w:rPr>
            </w:pPr>
            <w:r>
              <w:rPr>
                <w:rFonts w:ascii="Arial" w:cs="Arial" w:eastAsia="Arial" w:hAnsi="Arial"/>
                <w:sz w:val="18"/>
                <w:szCs w:val="18"/>
                <w:color w:val="auto"/>
              </w:rPr>
              <w:t>Deferred occupancy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156,690</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(117,875)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(117,500)</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Proceeds from debt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 under share repurchase program</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(10,837)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(37,457)</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cash and cash equivalents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21,585</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1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fixed asset accounts payable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Cash paid for income taxes, net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22,850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 net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Leases (note 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621"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8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Dave &amp; Buster’s Entertainment, Inc. (“D&amp;B Entertainment”) is a Delaware corporation formed in June 2010. References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first half of fiscal 2019, we opened ten stores and permanently closed one store in Duluth (Atlanta), Georgia on March 3, 2019. As of August 4, 2019, we owned and operated 130 stores located in 39 states, Puerto Rico and one Canadian province.</w:t>
      </w:r>
    </w:p>
    <w:p>
      <w:pPr>
        <w:spacing w:after="0" w:line="16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twenty-six weeks ended August 4, 2019 are not necessarily indicative of results that may be expected for any other interim period or for the fiscal year ending February 2, 2020. Our quarterly financial data should be read in conjunction with the audited financial statements and notes thereto for the year ended February 3, 2019, included in our Annual Report on Form 10-K as filed with the SEC.</w:t>
      </w:r>
    </w:p>
    <w:p>
      <w:pPr>
        <w:spacing w:after="0" w:line="18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operate on a 52 or 53-week fiscal year that ends on the Sunday after the Saturday closest to January 31. Each quarterly period reported has 13 weeks. Fiscal 2019 and 2018, which end on February 2, 2020 and February 3, 2019, contain 52 weeks.</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We consider transaction settlements in process from credit card companies and all highly-liquid investments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$12,757 and $12,782 are presented in “Accounts payable” in the Consolidated Balance Sheets as of August 4, 2019 and February 3, 2019, respectively. Changes in the book overdraft position are presented within “Net cash provided by operating activities” within the Consolidated Statements of Cash Flows.</w:t>
      </w:r>
    </w:p>
    <w:p>
      <w:pPr>
        <w:spacing w:after="0" w:line="193"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5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when they were evaluated for impairment. During the twenty-six weeks ended August 4, 2019, there were no impairments recognized.</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 entered into three interest rate swap agreements to manage our exposure to interest rate movements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rate credit facility. The agreements entitle the Company to receive at specified intervals, a variable rate of interest based on one-month LIBOR in exchange for the payment of a fixed rate of interest throughout the life of the agreements. The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notional amount of the swap agreements total $350,000 and the fixed rate of interest for all agreements is 2.47% plus the applicable spread. The agreements became effective on February 28, 2019 and mature on August 17, 2022, which is the maturity date of our credit facility. The Company has designated its interest rate swap agreements as a cash flow hedge and accounts for the underlying activity in accordance with hedge accounting. To the extent that the swaps are effective in offsetting the variability of the hedged cash flows, changes in the fair value of the derivatives are not included in earnings but are included in other comprehensive loss. These changes in fair value are subsequently reclassified into net earnings as a component of interest expense as the hedged interest payments are made on our variable rate debt. Cash flows related to the interest rate swaps are included as component of interest expense and in operating activities. Any portion of the fair value of the swaps determined to be ineffective will be recognized currently in earnings.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derivative instruments were outstanding as of the end of the period:</w:t>
      </w:r>
    </w:p>
    <w:p>
      <w:pPr>
        <w:spacing w:after="0" w:line="217"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5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August 4, 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5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tcPr>
          <w:p>
            <w:pPr>
              <w:spacing w:after="0"/>
              <w:rPr>
                <w:sz w:val="18"/>
                <w:szCs w:val="18"/>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Accrued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4"/>
              </w:rPr>
              <w:t>(1,977)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4"/>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(6,151)</w:t>
            </w:r>
          </w:p>
        </w:tc>
        <w:tc>
          <w:tcPr>
            <w:tcW w:w="0" w:type="dxa"/>
            <w:vAlign w:val="bottom"/>
          </w:tcPr>
          <w:p>
            <w:pPr>
              <w:spacing w:after="0"/>
              <w:rPr>
                <w:sz w:val="1"/>
                <w:szCs w:val="1"/>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Total derivatives</w:t>
            </w: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0"/>
              </w:rPr>
              <w:t>(8,128)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activity in accumulated other comprehensive loss related to our interest rate swap derivative instruments:</w:t>
      </w:r>
    </w:p>
    <w:p>
      <w:pPr>
        <w:spacing w:after="0" w:line="22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Thirteen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Twenty-six</w:t>
            </w: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Weeks Ended</w:t>
            </w:r>
          </w:p>
        </w:tc>
        <w:tc>
          <w:tcPr>
            <w:tcW w:w="3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Weeks Ended</w:t>
            </w: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60" w:type="dxa"/>
            <w:vAlign w:val="bottom"/>
            <w:gridSpan w:val="4"/>
          </w:tcPr>
          <w:p>
            <w:pPr>
              <w:ind w:left="360"/>
              <w:spacing w:after="0"/>
              <w:rPr>
                <w:sz w:val="20"/>
                <w:szCs w:val="20"/>
                <w:color w:val="auto"/>
              </w:rPr>
            </w:pPr>
            <w:r>
              <w:rPr>
                <w:rFonts w:ascii="Arial" w:cs="Arial" w:eastAsia="Arial" w:hAnsi="Arial"/>
                <w:sz w:val="14"/>
                <w:szCs w:val="14"/>
                <w:b w:val="1"/>
                <w:bCs w:val="1"/>
                <w:color w:val="auto"/>
              </w:rPr>
              <w:t>August 4, 2019</w:t>
            </w:r>
          </w:p>
        </w:tc>
        <w:tc>
          <w:tcPr>
            <w:tcW w:w="1320" w:type="dxa"/>
            <w:vAlign w:val="bottom"/>
            <w:gridSpan w:val="4"/>
          </w:tcPr>
          <w:p>
            <w:pPr>
              <w:ind w:left="320"/>
              <w:spacing w:after="0"/>
              <w:rPr>
                <w:sz w:val="20"/>
                <w:szCs w:val="20"/>
                <w:color w:val="auto"/>
              </w:rPr>
            </w:pPr>
            <w:r>
              <w:rPr>
                <w:rFonts w:ascii="Arial" w:cs="Arial" w:eastAsia="Arial" w:hAnsi="Arial"/>
                <w:sz w:val="14"/>
                <w:szCs w:val="14"/>
                <w:b w:val="1"/>
                <w:bCs w:val="1"/>
                <w:color w:val="auto"/>
                <w:w w:val="99"/>
              </w:rPr>
              <w:t>August 4, 2019</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recognized in accumulated other comprehensive loss</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line="201" w:lineRule="exact"/>
              <w:rPr>
                <w:sz w:val="20"/>
                <w:szCs w:val="20"/>
                <w:color w:val="auto"/>
              </w:rPr>
            </w:pPr>
            <w:r>
              <w:rPr>
                <w:rFonts w:ascii="Arial" w:cs="Arial" w:eastAsia="Arial" w:hAnsi="Arial"/>
                <w:sz w:val="18"/>
                <w:szCs w:val="18"/>
                <w:color w:val="auto"/>
                <w:w w:val="96"/>
              </w:rPr>
              <w:t>Loss reclassified from accumulated other comprehensive loss into net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earnings (1)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tax (expense) benefit of interest rate swaps on accumulated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20"/>
                <w:szCs w:val="20"/>
                <w:color w:val="auto"/>
              </w:rPr>
            </w:pPr>
          </w:p>
        </w:tc>
      </w:tr>
    </w:tbl>
    <w:p>
      <w:pPr>
        <w:spacing w:after="0" w:line="2" w:lineRule="exact"/>
        <w:rPr>
          <w:sz w:val="20"/>
          <w:szCs w:val="20"/>
          <w:color w:val="auto"/>
        </w:rPr>
      </w:pPr>
    </w:p>
    <w:p>
      <w:pPr>
        <w:ind w:left="640" w:hanging="436"/>
        <w:spacing w:after="0"/>
        <w:tabs>
          <w:tab w:leader="none" w:pos="6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Amounts reclassified into net earnings included in “Interest expense, net” in the Consolidated Statements of Comprehensive Income.</w:t>
      </w:r>
    </w:p>
    <w:p>
      <w:pPr>
        <w:spacing w:after="0" w:line="20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Amusement revenues are primarily recognized upon utilization of game play credits on power cards purchased and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customers to activate most of the video and redemption games. We have deferred a portion of revenues for the estimated unfulfilled performance obligations related to unused game play credits which we believe our customers will utilize in the future. During the thirteen weeks and twenty-six weeks ended August 4, 2019, we recognized revenue of approximately $5,000 and $17,000, respectively, related to the amount in deferred amusement revenue as of the end of fiscal 2018.</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twenty-six weeks ended August 4, 2019, we recognized revenue of approximately $200 and $1,300, respectively, related to the amount in deferred gift card revenue as of the end of fiscal 2018, of which approximately $140 and $430 was gift card breakage revenue.</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Stockholders’ equity </w:t>
      </w:r>
      <w:r>
        <w:rPr>
          <w:rFonts w:ascii="Arial" w:cs="Arial" w:eastAsia="Arial" w:hAnsi="Arial"/>
          <w:sz w:val="17"/>
          <w:szCs w:val="17"/>
          <w:color w:val="auto"/>
        </w:rPr>
        <w:t>— Our Board of Directors has approved a share repurchase program under which the Company may repurchase shares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open market, through privately negotiated transactions and through trading plans. The share repurchase program may be modified, suspended or discontinued at any time. On July 12, 2019, the Company increased its share repurchase authorization to $800,000. The share repurchase authorization expires at the end of fiscal 2020. During the thirteen and twenty-six weeks ended August 4, 2019, the Company purchased 3,400,000 and 4,691,564 shares of common stock at an average cost of $40.20 and $42.66 per share, respectively. Since the inception of the repurchase program, the Company has purchased 10,975,355 shares of common stock at an average cost of $48.29 per share. As of August 4, 2019, we have approximately $269,990 of share repurchase authorization remaining under the current plan.</w:t>
      </w:r>
    </w:p>
    <w:p>
      <w:pPr>
        <w:spacing w:after="0" w:line="17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our consolidated financial statements, 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twenty-six weeks ended August 4, 2019, we withheld 11,336 shares of common stock to satisfy $586 of employees’ tax obligations.</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364"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b w:val="1"/>
          <w:bCs w:val="1"/>
          <w:i w:val="1"/>
          <w:iCs w:val="1"/>
          <w:color w:val="auto"/>
        </w:rPr>
        <w:t xml:space="preserve">Recently adopted accounting guidance </w:t>
      </w:r>
      <w:r>
        <w:rPr>
          <w:rFonts w:ascii="Arial" w:cs="Arial" w:eastAsia="Arial" w:hAnsi="Arial"/>
          <w:sz w:val="16"/>
          <w:szCs w:val="16"/>
          <w:color w:val="auto"/>
        </w:rPr>
        <w:t>— On February 4, 2019, we adopted Accounting Standard Update (“ASU”) 2016-02, Leases (Topic 842).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new guidance requires the recognition of lease liabilities, representing future minimum lease payments on a discounted basis, and corresponding right-of-use (“ROU”) assets on the balance sheet for most leases. We adopted this standard using a modified retrospective approach, and we elected the transition method that allows us to initially apply the new standard at the adoption date and recognize a cumulative-effect adjustment to the opening balance of retained earnings in the period of adoption. The comparative period information had not been restated.</w:t>
      </w:r>
    </w:p>
    <w:p>
      <w:pPr>
        <w:spacing w:after="0" w:line="158"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Upon adoption of ASU 2016-02, we applied the package of practical expedients, which eliminated the requirements to reassess prior conclusions about lease identification, lease classification and initial direct costs. We also elected a short-term lease exception policy and an accounting policy to not separate non-lease components from lease components for our facility leases. The adoption of this guidance resulted in the recognition of ROU assets related to our operating leases of $877,714 and operating lease liabilities of $1,116,252. At the date of adoption, all lease-related balances consisting of $239,416 of deferred occupancy costs (including unfavorable lease liabilities) and $878 of favorable lease assets have been eliminated as an adjustment to ROU assets. We also recorded a cumulative effect reduction to the opening balance of retained earnings of $145, net of tax, from adoption of this guidance. There was no significant impact to our results of operations or cash flows.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 In January 2017, the Financial Accounting Standards Board (“FASB”) issued ASU 2017-04, Intangibles</w:t>
      </w:r>
    </w:p>
    <w:p>
      <w:pPr>
        <w:spacing w:after="0" w:line="46" w:lineRule="exact"/>
        <w:rPr>
          <w:sz w:val="20"/>
          <w:szCs w:val="20"/>
          <w:color w:val="auto"/>
        </w:rPr>
      </w:pPr>
    </w:p>
    <w:p>
      <w:pPr>
        <w:ind w:left="200" w:right="260"/>
        <w:spacing w:after="0" w:line="292" w:lineRule="auto"/>
        <w:rPr>
          <w:sz w:val="20"/>
          <w:szCs w:val="20"/>
          <w:color w:val="auto"/>
        </w:rPr>
      </w:pPr>
      <w:r>
        <w:rPr>
          <w:rFonts w:ascii="Arial" w:cs="Arial" w:eastAsia="Arial" w:hAnsi="Arial"/>
          <w:sz w:val="16"/>
          <w:szCs w:val="16"/>
          <w:color w:val="auto"/>
        </w:rPr>
        <w:t>–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49" w:lineRule="exact"/>
        <w:rPr>
          <w:sz w:val="20"/>
          <w:szCs w:val="20"/>
          <w:color w:val="auto"/>
        </w:rPr>
      </w:pPr>
    </w:p>
    <w:p>
      <w:pPr>
        <w:ind w:left="200" w:right="560" w:firstLine="441"/>
        <w:spacing w:after="0" w:line="279"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eliminates, modifies and adds disclosure requirements for fair value measurements. The update is effective for fiscal years beginning after December 15, 2019 and for interim periods within those fiscal years, with early adoption permitted. The Company is currently assessing the impact of this new standard on our consolidated financial statements.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August 4, 2019</w:t>
            </w:r>
          </w:p>
        </w:tc>
        <w:tc>
          <w:tcPr>
            <w:tcW w:w="1820" w:type="dxa"/>
            <w:vAlign w:val="bottom"/>
            <w:gridSpan w:val="4"/>
          </w:tcPr>
          <w:p>
            <w:pPr>
              <w:ind w:left="680"/>
              <w:spacing w:after="0"/>
              <w:rPr>
                <w:sz w:val="20"/>
                <w:szCs w:val="20"/>
                <w:color w:val="auto"/>
              </w:rPr>
            </w:pPr>
            <w:r>
              <w:rPr>
                <w:rFonts w:ascii="Arial" w:cs="Arial" w:eastAsia="Arial" w:hAnsi="Arial"/>
                <w:sz w:val="14"/>
                <w:szCs w:val="14"/>
                <w:b w:val="1"/>
                <w:bCs w:val="1"/>
                <w:color w:val="auto"/>
              </w:rPr>
              <w:t>February 3, 2019</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net (refer to Note 4)</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portion of deferred occupancy costs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15,737</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48,939</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44,232</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24,555</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Amusement redemption liability</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19,911</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taxes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Customer deposits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4,373</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Inventory liabilities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2,876</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Variable rent liabilities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portion of derivatives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1,977</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(refer to Note 5)</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12,266</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183,306</w:t>
            </w: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157,164</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81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999999"/>
            </w:tcBorders>
          </w:tcPr>
          <w:p>
            <w:pPr>
              <w:spacing w:after="0"/>
              <w:rPr>
                <w:sz w:val="18"/>
                <w:szCs w:val="18"/>
                <w:color w:val="auto"/>
              </w:rPr>
            </w:pPr>
          </w:p>
        </w:tc>
        <w:tc>
          <w:tcPr>
            <w:tcW w:w="5140" w:type="dxa"/>
            <w:vAlign w:val="bottom"/>
            <w:tcBorders>
              <w:bottom w:val="single" w:sz="8" w:color="999999"/>
            </w:tcBorders>
          </w:tcPr>
          <w:p>
            <w:pPr>
              <w:spacing w:after="0"/>
              <w:rPr>
                <w:sz w:val="18"/>
                <w:szCs w:val="18"/>
                <w:color w:val="auto"/>
              </w:rPr>
            </w:pPr>
          </w:p>
        </w:tc>
        <w:tc>
          <w:tcPr>
            <w:tcW w:w="480" w:type="dxa"/>
            <w:vAlign w:val="bottom"/>
            <w:tcBorders>
              <w:bottom w:val="single" w:sz="8" w:color="999999"/>
            </w:tcBorders>
          </w:tcPr>
          <w:p>
            <w:pPr>
              <w:spacing w:after="0"/>
              <w:rPr>
                <w:sz w:val="18"/>
                <w:szCs w:val="18"/>
                <w:color w:val="auto"/>
              </w:rPr>
            </w:pPr>
          </w:p>
        </w:tc>
        <w:tc>
          <w:tcPr>
            <w:tcW w:w="20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260" w:type="dxa"/>
            <w:vAlign w:val="bottom"/>
            <w:tcBorders>
              <w:bottom w:val="single" w:sz="8" w:color="999999"/>
            </w:tcBorders>
          </w:tcPr>
          <w:p>
            <w:pPr>
              <w:spacing w:after="0"/>
              <w:rPr>
                <w:sz w:val="18"/>
                <w:szCs w:val="18"/>
                <w:color w:val="auto"/>
              </w:rPr>
            </w:pPr>
          </w:p>
        </w:tc>
        <w:tc>
          <w:tcPr>
            <w:tcW w:w="78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15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12" w:name="page13"/>
    <w:bookmarkEnd w:id="12"/>
    <w:p>
      <w:pPr>
        <w:jc w:val="center"/>
        <w:ind w:right="986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consists of the following as of:</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40" w:type="dxa"/>
            <w:vAlign w:val="bottom"/>
            <w:gridSpan w:val="4"/>
          </w:tcPr>
          <w:p>
            <w:pPr>
              <w:ind w:left="1640"/>
              <w:spacing w:after="0"/>
              <w:rPr>
                <w:sz w:val="20"/>
                <w:szCs w:val="20"/>
                <w:color w:val="auto"/>
              </w:rPr>
            </w:pPr>
            <w:r>
              <w:rPr>
                <w:rFonts w:ascii="Arial" w:cs="Arial" w:eastAsia="Arial" w:hAnsi="Arial"/>
                <w:sz w:val="14"/>
                <w:szCs w:val="14"/>
                <w:b w:val="1"/>
                <w:bCs w:val="1"/>
                <w:color w:val="auto"/>
              </w:rPr>
              <w:t>August 4, 2019</w:t>
            </w:r>
          </w:p>
        </w:tc>
        <w:tc>
          <w:tcPr>
            <w:tcW w:w="1460" w:type="dxa"/>
            <w:vAlign w:val="bottom"/>
            <w:gridSpan w:val="4"/>
          </w:tcPr>
          <w:p>
            <w:pPr>
              <w:ind w:left="320"/>
              <w:spacing w:after="0"/>
              <w:rPr>
                <w:sz w:val="20"/>
                <w:szCs w:val="20"/>
                <w:color w:val="auto"/>
              </w:rPr>
            </w:pPr>
            <w:r>
              <w:rPr>
                <w:rFonts w:ascii="Arial" w:cs="Arial" w:eastAsia="Arial" w:hAnsi="Arial"/>
                <w:sz w:val="14"/>
                <w:szCs w:val="14"/>
                <w:b w:val="1"/>
                <w:bCs w:val="1"/>
                <w:color w:val="auto"/>
              </w:rPr>
              <w:t>February 3, 2019</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273,750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facility - revolver</w:t>
            </w:r>
          </w:p>
        </w:tc>
        <w:tc>
          <w:tcPr>
            <w:tcW w:w="1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294,000</w:t>
            </w: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113,000</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 term</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Debt issuance costs - term</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552,079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378,469</w:t>
            </w:r>
          </w:p>
        </w:tc>
        <w:tc>
          <w:tcPr>
            <w:tcW w:w="80" w:type="dxa"/>
            <w:vAlign w:val="bottom"/>
            <w:tcBorders>
              <w:top w:val="single" w:sz="8" w:color="CCEEFF"/>
            </w:tcBorders>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August 4, 2019, we had letters of credit outstanding of $8,147 and $197,853 of borrowing available under our credit facility.</w:t>
      </w:r>
    </w:p>
    <w:p>
      <w:pPr>
        <w:spacing w:after="0" w:line="20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one-month LIBOR plus a spread ranging from 1.25% to 2.00% for the term loans and the revolving loans. The interest rate at August 4, 2019 was based on one-month LIBOR plus 1.25%. As of August 4, 2019, the Company’s weighted average interest rate on outstanding borrowings was 4.11%, including the impact of the interest rate swap agreements. The weighted average effective rate includes amortization of debt issuance costs, commitment and other fees.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August 4, 2019, we were in compliance with our restrictive and financial ratio covenants of our credit facility.</w:t>
      </w:r>
    </w:p>
    <w:p>
      <w:pPr>
        <w:sectPr>
          <w:pgSz w:w="11900" w:h="16838" w:orient="portrait"/>
          <w:cols w:equalWidth="0" w:num="1">
            <w:col w:w="11220"/>
          </w:cols>
          <w:pgMar w:left="240" w:top="365" w:right="4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40" w:type="dxa"/>
            <w:vAlign w:val="bottom"/>
            <w:gridSpan w:val="4"/>
          </w:tcPr>
          <w:p>
            <w:pPr>
              <w:ind w:left="1340"/>
              <w:spacing w:after="0"/>
              <w:rPr>
                <w:sz w:val="20"/>
                <w:szCs w:val="20"/>
                <w:color w:val="auto"/>
              </w:rPr>
            </w:pPr>
            <w:r>
              <w:rPr>
                <w:rFonts w:ascii="Arial" w:cs="Arial" w:eastAsia="Arial" w:hAnsi="Arial"/>
                <w:sz w:val="14"/>
                <w:szCs w:val="14"/>
                <w:b w:val="1"/>
                <w:bCs w:val="1"/>
                <w:color w:val="auto"/>
              </w:rPr>
              <w:t>Thirteen Weeks</w:t>
            </w: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4, 2019</w:t>
            </w:r>
          </w:p>
        </w:tc>
        <w:tc>
          <w:tcPr>
            <w:tcW w:w="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5, 2018</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Capitalized interest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1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8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180"/>
          </w:cols>
          <w:pgMar w:left="240" w:top="338" w:right="4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Interest expense on credit facilities</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Amortization of issuance cost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Capitalized interest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Change in fair value of interest rate cap</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interest expense,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4"/>
          </w:tcPr>
          <w:p>
            <w:pPr>
              <w:spacing w:after="0"/>
              <w:rPr>
                <w:sz w:val="20"/>
                <w:szCs w:val="20"/>
                <w:color w:val="auto"/>
              </w:rPr>
            </w:pPr>
            <w:r>
              <w:rPr>
                <w:rFonts w:ascii="Arial" w:cs="Arial" w:eastAsia="Arial" w:hAnsi="Arial"/>
                <w:sz w:val="14"/>
                <w:szCs w:val="14"/>
                <w:b w:val="1"/>
                <w:bCs w:val="1"/>
                <w:color w:val="auto"/>
              </w:rPr>
              <w:t>Twenty-six Weeks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6"/>
              </w:rPr>
              <w:t>Twenty-six Weeks</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1"/>
              </w:rPr>
              <w:t>August 4,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August 5, 2018</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8,915</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6,278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-882650</wp:posOffset>
            </wp:positionV>
            <wp:extent cx="531685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6855" cy="14605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-599440</wp:posOffset>
            </wp:positionV>
            <wp:extent cx="531685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-325120</wp:posOffset>
            </wp:positionV>
            <wp:extent cx="531685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460"/>
          </w:cols>
          <w:pgMar w:left="240" w:top="338" w:right="479" w:bottom="1440" w:gutter="0" w:footer="0" w:header="0"/>
          <w:type w:val="continuous"/>
        </w:sectPr>
      </w:pP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 Contingent rent and other variable rent are included as variable lease costs in the table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expense consisted of the following:</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0"/>
              </w:rPr>
              <w:t>Thirteen Weeks</w:t>
            </w:r>
          </w:p>
        </w:tc>
        <w:tc>
          <w:tcPr>
            <w:tcW w:w="196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91"/>
              </w:rPr>
              <w:t>Twenty-six Weeks</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August 4, 2019</w:t>
            </w: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4, 2019</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Variable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31,338</w:t>
            </w:r>
          </w:p>
        </w:tc>
        <w:tc>
          <w:tcPr>
            <w:tcW w:w="7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Store lease expense is included in “Other store operating expenses” or “Pre-opening costs,” accordingly, and corporate lease expense is included in “General and administrative expenses” in the Consolidated Statements of Comprehensive Income.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Operating leases are included within the “Operating lease right of use assets”, “Accrued liabilities” and “Operating lease liabilities” in the Consolidated Balance Sheets. Operating lease ROU assets and lease liabilities are recognized at commencement date based on the present value of lease payments over the lease term and include both facility and equipment leases. The operating lease ROU asset is reduced by leasehold improvement incentives as the incentives are earned. As of August 4, 2019, the balance of leasehold improvement incentive receivables was $17,482 and is reflected as a reduction of the current portion of operating lease liabilities. The Company uses its incremental borrowing rate at commencement date in determining the present value of lease payments. The Company uses judgment in determining its incremental borrowing rate, which includes selecting a yield curve based on a hypothetical credit rating.</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38" w:right="4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information related to leases is as follows: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900" w:type="dxa"/>
            <w:vAlign w:val="bottom"/>
            <w:gridSpan w:val="6"/>
          </w:tcPr>
          <w:p>
            <w:pPr>
              <w:ind w:left="620"/>
              <w:spacing w:after="0"/>
              <w:rPr>
                <w:sz w:val="20"/>
                <w:szCs w:val="20"/>
                <w:color w:val="auto"/>
              </w:rPr>
            </w:pPr>
            <w:r>
              <w:rPr>
                <w:rFonts w:ascii="Arial" w:cs="Arial" w:eastAsia="Arial" w:hAnsi="Arial"/>
                <w:sz w:val="14"/>
                <w:szCs w:val="14"/>
                <w:b w:val="1"/>
                <w:bCs w:val="1"/>
                <w:color w:val="auto"/>
              </w:rPr>
              <w:t>Twenty-six Weeks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5"/>
          </w:tcPr>
          <w:p>
            <w:pPr>
              <w:ind w:left="3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4"/>
                <w:szCs w:val="14"/>
                <w:b w:val="1"/>
                <w:bCs w:val="1"/>
                <w:color w:val="auto"/>
              </w:rPr>
              <w:t>August 4, 2019</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liabities</w:t>
            </w:r>
          </w:p>
        </w:tc>
        <w:tc>
          <w:tcPr>
            <w:tcW w:w="6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9"/>
        </w:trPr>
        <w:tc>
          <w:tcPr>
            <w:tcW w:w="6920" w:type="dxa"/>
            <w:vAlign w:val="bottom"/>
            <w:gridSpan w:val="2"/>
          </w:tcPr>
          <w:p>
            <w:pPr>
              <w:spacing w:after="0"/>
              <w:rPr>
                <w:sz w:val="20"/>
                <w:szCs w:val="20"/>
                <w:color w:val="auto"/>
              </w:rPr>
            </w:pPr>
            <w:r>
              <w:rPr>
                <w:rFonts w:ascii="Arial" w:cs="Arial" w:eastAsia="Arial" w:hAnsi="Arial"/>
                <w:sz w:val="18"/>
                <w:szCs w:val="18"/>
                <w:color w:val="auto"/>
              </w:rPr>
              <w:t>The maturities of our operating lease liabilities are as follows as of August 4, 2019:</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080" w:type="dxa"/>
            <w:vAlign w:val="bottom"/>
            <w:gridSpan w:val="3"/>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127,561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1,356,431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gridSpan w:val="3"/>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1,884,848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Less: Interest</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709,738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discounted operating lease liabilities</w:t>
            </w:r>
          </w:p>
        </w:tc>
        <w:tc>
          <w:tcPr>
            <w:tcW w:w="1080" w:type="dxa"/>
            <w:vAlign w:val="bottom"/>
            <w:gridSpan w:val="3"/>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1,175,110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Operating lease payments in the table above includes minimum lease payments for five future sites for which the lease has commenced, and the stores are expected to open in fiscal 2019. Operating lease payments exclude minimum lease payments for eighteen executed facility leases that we have not yet taken possession.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February 3, 2019, aggregate minimum annual lease payments under facility and equipment operating leases were as follows:</w:t>
      </w:r>
    </w:p>
    <w:p>
      <w:pPr>
        <w:spacing w:after="0" w:line="24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122,501</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2020</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117,908</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111,642</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2022</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104,195</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100,779</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1,229,803</w:t>
            </w:r>
          </w:p>
        </w:tc>
        <w:tc>
          <w:tcPr>
            <w:tcW w:w="80" w:type="dxa"/>
            <w:vAlign w:val="bottom"/>
          </w:tcPr>
          <w:p>
            <w:pPr>
              <w:spacing w:after="0"/>
              <w:rPr>
                <w:sz w:val="18"/>
                <w:szCs w:val="18"/>
                <w:color w:val="auto"/>
              </w:rPr>
            </w:pPr>
          </w:p>
        </w:tc>
      </w:tr>
      <w:tr>
        <w:trPr>
          <w:trHeight w:val="21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1,786,828</w:t>
            </w:r>
          </w:p>
        </w:tc>
        <w:tc>
          <w:tcPr>
            <w:tcW w:w="80" w:type="dxa"/>
            <w:vAlign w:val="bottom"/>
            <w:shd w:val="clear" w:color="auto" w:fill="CCEEFF"/>
          </w:tcPr>
          <w:p>
            <w:pPr>
              <w:spacing w:after="0"/>
              <w:rPr>
                <w:sz w:val="18"/>
                <w:szCs w:val="18"/>
                <w:color w:val="auto"/>
              </w:rPr>
            </w:pPr>
          </w:p>
        </w:tc>
      </w:tr>
      <w:tr>
        <w:trPr>
          <w:trHeight w:val="27"/>
        </w:trPr>
        <w:tc>
          <w:tcPr>
            <w:tcW w:w="3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7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On June 30, 2017, we agreed to settle litigation related to alleged violations of the Employee Retirement Income Security Act. The settlement agreement was preliminarily approved by the court on December 7, 2018 with final approval on July 19, 2019. To cover the estimated net costs of settlement, including estimated payment to any opt-in members and class attorneys, as well as related settlement administration costs, we recorded a net charge of $2,550 (representing $7,500 of gross settlement costs less $4,950 of insurance recoveries) during fiscal 2017. Subsequent to August 4, 2019, all funds required to be paid under the final settlement and release agreement were remitted to a settlement fund as directed by the court.</w:t>
      </w:r>
    </w:p>
    <w:p>
      <w:pPr>
        <w:spacing w:after="0" w:line="15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 General Act representative actions and seek substantial damages and penalties. With respect to these California Cases, where the Company has determined that a loss is reasonably possible but not probable, the Company is unable to estimate the amount or range of the reasonably possible loss due to the inherent difficulty of predicting the outcome of uncertainties regarding legal proceedings. The Company’s assessments are based on estimates and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338"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Earnings per share</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160,967 and 90,143 in the thirteen weeks ended August 4, 2019 and August 5, 2018, respectively, and 97,502 and 99,331 in the twenty-six weeks ended August 4, 2019 and August 5, 2018, respectively.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Thirteen Weeks</w:t>
            </w:r>
          </w:p>
        </w:tc>
        <w:tc>
          <w:tcPr>
            <w:tcW w:w="60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August 4, 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August 5, 2018</w:t>
            </w: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32,356</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35,407,965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39,355,105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dilutive impact of equity-based awards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607,745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925,196</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w w:val="95"/>
              </w:rPr>
              <w:t>Weighted average number of common and common equivalent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shares outstanding (diluted)</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36,015,710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40,280,301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0.91</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8"/>
                <w:szCs w:val="18"/>
                <w:color w:val="auto"/>
              </w:rPr>
            </w:pPr>
          </w:p>
        </w:tc>
      </w:tr>
      <w:tr>
        <w:trPr>
          <w:trHeight w:val="34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Twenty-six Weeks</w:t>
            </w:r>
          </w:p>
        </w:tc>
        <w:tc>
          <w:tcPr>
            <w:tcW w:w="178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Twenty-six Weeks</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August 4, 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August 5, 2018</w:t>
            </w: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74,799</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36,117,815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39,525,263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dilutive impact of equity-based awards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685,186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918,938</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w w:val="95"/>
              </w:rPr>
              <w:t>Weighted average number of common and common equivalent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shares outstanding (diluted)</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36,803,001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40,444,201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r>
    </w:tbl>
    <w:p>
      <w:pPr>
        <w:sectPr>
          <w:pgSz w:w="11900" w:h="16838" w:orient="portrait"/>
          <w:cols w:equalWidth="0" w:num="1">
            <w:col w:w="11160"/>
          </w:cols>
          <w:pgMar w:left="240" w:top="648" w:right="49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and restricted stock are included in general and administrative expenses and were as follows: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Thirteen Weeks Ended</w:t>
            </w:r>
          </w:p>
        </w:tc>
        <w:tc>
          <w:tcPr>
            <w:tcW w:w="4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August 4, 2019</w:t>
            </w:r>
          </w:p>
        </w:tc>
        <w:tc>
          <w:tcPr>
            <w:tcW w:w="158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w w:val="91"/>
              </w:rPr>
              <w:t>August 5, 2018</w:t>
            </w:r>
          </w:p>
        </w:tc>
        <w:tc>
          <w:tcPr>
            <w:tcW w:w="64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August 4, 2019</w:t>
            </w:r>
          </w:p>
        </w:tc>
        <w:tc>
          <w:tcPr>
            <w:tcW w:w="1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August 5, 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and restricted stock</w:t>
            </w: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6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6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1,996</w:t>
            </w:r>
          </w:p>
        </w:tc>
        <w:tc>
          <w:tcPr>
            <w:tcW w:w="80" w:type="dxa"/>
            <w:vAlign w:val="bottom"/>
            <w:tcBorders>
              <w:bottom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1,626</w:t>
            </w:r>
          </w:p>
        </w:tc>
        <w:tc>
          <w:tcPr>
            <w:tcW w:w="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6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4,014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stock option awards during the twenty-six weeks ended August 4, 2019 were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2014 Stock Incentive Plan</w:t>
            </w:r>
          </w:p>
        </w:tc>
        <w:tc>
          <w:tcPr>
            <w:tcW w:w="196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of 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of Options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1,134,218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359,984</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222,266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52.04</w:t>
            </w:r>
          </w:p>
        </w:tc>
        <w:tc>
          <w:tcPr>
            <w:tcW w:w="4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49.62</w:t>
            </w:r>
          </w:p>
        </w:tc>
        <w:tc>
          <w:tcPr>
            <w:tcW w:w="4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August 4,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1,345,212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307,849</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Exercisable at August 4,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307,849</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total intrinsic value of options exercised during the twenty-six weeks ended August 4, 2019 was $2,505. The unrecognized expense related to our stock option plan totaled approximately $3,916 as of August 4, 2019 and will be expensed over a weighted average period of 2.5 years.</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Transactions related to time-based and performance-based RSU’s and restricted stock during the twenty-six weeks ended August 4, 2019 were as follows: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220,830</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72,768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(99,124)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Outstanding at August 4,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220,284</w:t>
            </w:r>
          </w:p>
        </w:tc>
        <w:tc>
          <w:tcPr>
            <w:tcW w:w="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364" w:right="49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$6,911 as of August 4, 2019 and will be expensed over a weighted average period of 2.2 years.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twenty-six weeks ended August 4, 2019, and August 5, 2018, excess tax benefits of $884 and $1,919, respectively, were recognized as a benefit in the “Provision for income taxes” in the Consolidated Statement of Comprehensive Income and classified as a source in operating activities in the Consolidated Statement of Cash Flows.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364"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2, 2019.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2019.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Our stores average 41,000 square feet, range in size between 16,000 and 66,000 square feet and are open seven days a week, with hours of operation typically from 11:30 a.m. to midnight on Sunday through Thursday and 11:30 a.m. to 2:00 a.m. on Friday and Saturday.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near-term strategies are as follows:</w:t>
      </w:r>
    </w:p>
    <w:p>
      <w:pPr>
        <w:spacing w:after="0" w:line="117" w:lineRule="exact"/>
        <w:rPr>
          <w:sz w:val="20"/>
          <w:szCs w:val="20"/>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Revitalize our existing stores</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deeper guest engagement</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disciplined cost management</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high-return new stores</w:t>
      </w:r>
    </w:p>
    <w:p>
      <w:pPr>
        <w:spacing w:after="0" w:line="117" w:lineRule="exact"/>
        <w:rPr>
          <w:rFonts w:ascii="Arial" w:cs="Arial" w:eastAsia="Arial" w:hAnsi="Arial"/>
          <w:sz w:val="18"/>
          <w:szCs w:val="18"/>
          <w:color w:val="auto"/>
        </w:rPr>
      </w:pPr>
    </w:p>
    <w:p>
      <w:pPr>
        <w:ind w:left="1520" w:hanging="33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capital to shareholders</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revitalization of existing stores includes the re-energizing of our dining rooms through the installation of “Wow Walls,” LED television displays that create high-energy, contemporary, sports and entertainment-oriented dining areas. This cutting-edge visual technology will be initially deployed across 35 stores in the third quarter of fiscal 2019 in an effort to drive greater traffic and food and beverage penetration. We will also continue to invest in food, beverage and amusement innovations to continually enhance the guest experience.</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focused on building deeper guest engagement through initiatives such as the nation-wide launch of the Dave &amp; Buster’s mobile app. The launch of the new app is scheduled to be completed in the third quarter of fiscal 2019. The Company’s investments in enhanced data analytics will provide valuable customer insights, actionable intelligence and ultimately drive deeper engagements with existing and new customers, including through targeted promotions and offers.</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5"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utilize disciplined cost management, including G&amp;A savings and operational efficiencies to fuel growth investments. The Company has identified future cost saving opportunities that we intend to pursue in the near-term. We intend to utilize a significant portion of these cost reductions to fund store technology, data analytics and digital marketing investments to fuel growth in comparable store sales.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invest in highest-return new store locations to strengthen the Dave &amp; Buster’s brand and portfolio over the long term. During the</w:t>
      </w:r>
    </w:p>
    <w:p>
      <w:pPr>
        <w:spacing w:after="0" w:line="2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first twenty-six weeks of fiscal 2019, the Company opened ten new stores, compared to eleven new store openings in the comparable 2018 period. We currently anticipate opening fifteen to sixteen new stores in fiscal 2019. As part of this strategy, we are actively evaluating new initiatives related to store format. Our efforts include rightsizing the square footage of new stores to match market sales potential and evaluating the pace of new store openings to enhance focus on both new stores and existing store revitalization.</w:t>
      </w:r>
    </w:p>
    <w:p>
      <w:pPr>
        <w:spacing w:after="0" w:line="19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robust initiatives to return capital to shareholders encompasses both share repurchases and dividend payments. During the first half of fiscal 2019 we increased our total share repurchase authorization to $800 million and executed additional share repurchases totaling $200,147. We also paid dividends totaling $10,837 during the same period.</w:t>
      </w:r>
    </w:p>
    <w:p>
      <w:pPr>
        <w:spacing w:after="0" w:line="18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Although we will focus our efforts on the near-term priorities, we will continue to evaluate other opportunities as part of our ongoing strategic planning process.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170"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year-over-year comparison of sales at stores open at the end of the period which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99 stores as of August 4, 2019.</w:t>
      </w:r>
    </w:p>
    <w:p>
      <w:pPr>
        <w:spacing w:after="0" w:line="14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August 5, 2018 and August 4, 2019, we opened fourteen new stores, eight of which were in new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9"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5"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5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operate on a 52 or 53-week fiscal year that ends on the Sunday after the Saturday closest to January 31. Each quarterly period has 13 weeks, except in a 53-week year when the fourth quarter has 14 weeks. All references to the second quarter of 2019 relate to the 13-week period ended August 4, 2019. All references to the second quarter of 2018 relate to the 13-week period ended August 5, 2018. Fiscal 2019 and fiscal 2018 consist of 52 weeks. All dollar amounts are presented in thousands, unless otherwise noted, except share and per share amounts.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5"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Thirteen Weeks Ended August 4, 2019 Compared to Thirteen Weeks Ended August 5, 2018</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4"/>
              </w:rPr>
              <w:t>Thirteen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4, 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5, 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137,921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130,242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206,678</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188,946</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344,599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319,188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36,934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33,998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22,689</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59,623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55,556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104,376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94,825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32,745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29,049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298,385</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273,258</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32,356</w:t>
            </w: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Comparable stores open at end of period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260" w:hanging="436"/>
        <w:spacing w:after="0" w:line="207" w:lineRule="auto"/>
        <w:tabs>
          <w:tab w:leader="none" w:pos="6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Our store in Duluth (Atlanta), Georgia permanently closed on March 3, 2019 as we did not exercise the renewal option and has been excluded from fiscal 2019 store counts and comparable store sales.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365"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Thirteen Weeks</w:t>
            </w:r>
          </w:p>
        </w:tc>
        <w:tc>
          <w:tcPr>
            <w:tcW w:w="20" w:type="dxa"/>
            <w:vAlign w:val="bottom"/>
          </w:tcPr>
          <w:p>
            <w:pPr>
              <w:spacing w:after="0"/>
              <w:rPr>
                <w:sz w:val="14"/>
                <w:szCs w:val="14"/>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4, 2019</w:t>
            </w: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5,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$32,356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$33,779</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32,745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29,049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78,959</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74,979</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on asset disposal</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Pre-opening costs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4,723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Adjusted EBITDA</w:t>
            </w:r>
          </w:p>
        </w:tc>
        <w:tc>
          <w:tcPr>
            <w:tcW w:w="2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85,982</w:t>
            </w:r>
          </w:p>
        </w:tc>
        <w:tc>
          <w:tcPr>
            <w:tcW w:w="3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82,390</w:t>
            </w:r>
          </w:p>
        </w:tc>
        <w:tc>
          <w:tcPr>
            <w:tcW w:w="3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 w:lineRule="exact"/>
        <w:rPr>
          <w:sz w:val="20"/>
          <w:szCs w:val="20"/>
          <w:color w:val="auto"/>
        </w:rPr>
      </w:pPr>
    </w:p>
    <w:p>
      <w:pPr>
        <w:ind w:left="640" w:hanging="436"/>
        <w:spacing w:after="0"/>
        <w:tabs>
          <w:tab w:leader="none" w:pos="6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64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ectPr>
          <w:pgSz w:w="11900" w:h="16838" w:orient="portrait"/>
          <w:cols w:equalWidth="0" w:num="1">
            <w:col w:w="11420"/>
          </w:cols>
          <w:pgMar w:left="240" w:top="3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1915" cy="14605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Pre-opening costs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Store Operating Income Before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-116205</wp:posOffset>
            </wp:positionV>
            <wp:extent cx="643191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1915" cy="163195"/>
                    </a:xfrm>
                    <a:prstGeom prst="rect">
                      <a:avLst/>
                    </a:prstGeom>
                    <a:noFill/>
                  </pic:spPr>
                </pic:pic>
              </a:graphicData>
            </a:graphic>
          </wp:anchor>
        </w:drawing>
      </w:r>
    </w:p>
    <w:p>
      <w:pPr>
        <w:spacing w:after="0" w:line="3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Thirteen Weeks</w:t>
            </w:r>
          </w:p>
        </w:tc>
        <w:tc>
          <w:tcPr>
            <w:tcW w:w="20" w:type="dxa"/>
            <w:vAlign w:val="bottom"/>
          </w:tcPr>
          <w:p>
            <w:pPr>
              <w:spacing w:after="0"/>
              <w:rPr>
                <w:sz w:val="14"/>
                <w:szCs w:val="14"/>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4, 2019</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5,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$46,214</w:t>
            </w:r>
          </w:p>
        </w:tc>
        <w:tc>
          <w:tcPr>
            <w:tcW w:w="340" w:type="dxa"/>
            <w:vAlign w:val="bottom"/>
          </w:tcPr>
          <w:p>
            <w:pPr>
              <w:spacing w:after="0"/>
              <w:rPr>
                <w:sz w:val="16"/>
                <w:szCs w:val="16"/>
                <w:color w:val="auto"/>
              </w:rPr>
            </w:pPr>
          </w:p>
        </w:tc>
        <w:tc>
          <w:tcPr>
            <w:tcW w:w="82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2"/>
              </w:rPr>
              <w:t>$45,930</w:t>
            </w:r>
          </w:p>
        </w:tc>
        <w:tc>
          <w:tcPr>
            <w:tcW w:w="320" w:type="dxa"/>
            <w:vAlign w:val="bottom"/>
          </w:tcPr>
          <w:p>
            <w:pPr>
              <w:spacing w:after="0"/>
              <w:rPr>
                <w:sz w:val="16"/>
                <w:szCs w:val="16"/>
                <w:color w:val="auto"/>
              </w:rPr>
            </w:pPr>
          </w:p>
        </w:tc>
        <w:tc>
          <w:tcPr>
            <w:tcW w:w="5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15,991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14,764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32,745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29,049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4,723</w:t>
            </w:r>
          </w:p>
        </w:tc>
        <w:tc>
          <w:tcPr>
            <w:tcW w:w="340" w:type="dxa"/>
            <w:vAlign w:val="bottom"/>
          </w:tcPr>
          <w:p>
            <w:pPr>
              <w:spacing w:after="0"/>
              <w:rPr>
                <w:sz w:val="20"/>
                <w:szCs w:val="20"/>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20"/>
                <w:szCs w:val="2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99,673</w:t>
            </w:r>
          </w:p>
        </w:tc>
        <w:tc>
          <w:tcPr>
            <w:tcW w:w="3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95,071</w:t>
            </w:r>
          </w:p>
        </w:tc>
        <w:tc>
          <w:tcPr>
            <w:tcW w:w="3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3" w:lineRule="exact"/>
        <w:rPr>
          <w:sz w:val="20"/>
          <w:szCs w:val="20"/>
          <w:color w:val="auto"/>
        </w:rPr>
      </w:pPr>
    </w:p>
    <w:p>
      <w:pPr>
        <w:sectPr>
          <w:pgSz w:w="11900" w:h="16838" w:orient="portrait"/>
          <w:cols w:equalWidth="0" w:num="2">
            <w:col w:w="6820" w:space="720"/>
            <w:col w:w="3880"/>
          </w:cols>
          <w:pgMar w:left="240" w:top="365" w:right="239" w:bottom="1440" w:gutter="0" w:footer="0" w:header="0"/>
          <w:type w:val="continuous"/>
        </w:sectPr>
      </w:pPr>
    </w:p>
    <w:p>
      <w:pPr>
        <w:ind w:left="200" w:right="260" w:firstLine="441"/>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form landlords”).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60" w:type="dxa"/>
            <w:vAlign w:val="bottom"/>
            <w:gridSpan w:val="3"/>
          </w:tcPr>
          <w:p>
            <w:pPr>
              <w:ind w:left="2080"/>
              <w:spacing w:after="0"/>
              <w:rPr>
                <w:sz w:val="20"/>
                <w:szCs w:val="20"/>
                <w:color w:val="auto"/>
              </w:rPr>
            </w:pPr>
            <w:r>
              <w:rPr>
                <w:rFonts w:ascii="Arial" w:cs="Arial" w:eastAsia="Arial" w:hAnsi="Arial"/>
                <w:sz w:val="14"/>
                <w:szCs w:val="14"/>
                <w:b w:val="1"/>
                <w:bCs w:val="1"/>
                <w:color w:val="auto"/>
                <w:w w:val="92"/>
              </w:rPr>
              <w:t>Thirteen Weeks</w:t>
            </w:r>
          </w:p>
        </w:tc>
        <w:tc>
          <w:tcPr>
            <w:tcW w:w="1820" w:type="dxa"/>
            <w:vAlign w:val="bottom"/>
            <w:gridSpan w:val="4"/>
          </w:tcPr>
          <w:p>
            <w:pPr>
              <w:ind w:left="760"/>
              <w:spacing w:after="0"/>
              <w:rPr>
                <w:sz w:val="20"/>
                <w:szCs w:val="20"/>
                <w:color w:val="auto"/>
              </w:rPr>
            </w:pPr>
            <w:r>
              <w:rPr>
                <w:rFonts w:ascii="Arial" w:cs="Arial" w:eastAsia="Arial" w:hAnsi="Arial"/>
                <w:sz w:val="14"/>
                <w:szCs w:val="14"/>
                <w:b w:val="1"/>
                <w:bCs w:val="1"/>
                <w:color w:val="auto"/>
              </w:rPr>
              <w:t>Thirteen Weeks</w:t>
            </w:r>
          </w:p>
        </w:tc>
        <w:tc>
          <w:tcPr>
            <w:tcW w:w="1520" w:type="dxa"/>
            <w:vAlign w:val="bottom"/>
          </w:tcPr>
          <w:p>
            <w:pPr>
              <w:spacing w:after="0"/>
              <w:rPr>
                <w:sz w:val="14"/>
                <w:szCs w:val="14"/>
                <w:color w:val="auto"/>
              </w:rPr>
            </w:pPr>
          </w:p>
        </w:tc>
      </w:tr>
      <w:tr>
        <w:trPr>
          <w:trHeight w:val="149"/>
        </w:trPr>
        <w:tc>
          <w:tcPr>
            <w:tcW w:w="1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520" w:type="dxa"/>
            <w:vAlign w:val="bottom"/>
          </w:tcPr>
          <w:p>
            <w:pPr>
              <w:spacing w:after="0"/>
              <w:rPr>
                <w:sz w:val="12"/>
                <w:szCs w:val="12"/>
                <w:color w:val="auto"/>
              </w:rPr>
            </w:pPr>
          </w:p>
        </w:tc>
      </w:tr>
      <w:tr>
        <w:trPr>
          <w:trHeight w:val="171"/>
        </w:trPr>
        <w:tc>
          <w:tcPr>
            <w:tcW w:w="1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August 4, 2019</w:t>
            </w:r>
          </w:p>
        </w:tc>
        <w:tc>
          <w:tcPr>
            <w:tcW w:w="7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August 5, 2018</w:t>
            </w:r>
          </w:p>
        </w:tc>
        <w:tc>
          <w:tcPr>
            <w:tcW w:w="1520" w:type="dxa"/>
            <w:vAlign w:val="bottom"/>
          </w:tcPr>
          <w:p>
            <w:pPr>
              <w:spacing w:after="0"/>
              <w:rPr>
                <w:sz w:val="14"/>
                <w:szCs w:val="14"/>
                <w:color w:val="auto"/>
              </w:rPr>
            </w:pPr>
          </w:p>
        </w:tc>
      </w:tr>
      <w:tr>
        <w:trPr>
          <w:trHeight w:val="210"/>
        </w:trPr>
        <w:tc>
          <w:tcPr>
            <w:tcW w:w="154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40,029</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Games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2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63"/>
        </w:trPr>
        <w:tc>
          <w:tcPr>
            <w:tcW w:w="1540" w:type="dxa"/>
            <w:vAlign w:val="bottom"/>
          </w:tcPr>
          <w:p>
            <w:pPr>
              <w:spacing w:after="0"/>
              <w:rPr>
                <w:sz w:val="22"/>
                <w:szCs w:val="22"/>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capital additions</w:t>
            </w:r>
          </w:p>
        </w:tc>
        <w:tc>
          <w:tcPr>
            <w:tcW w:w="20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50,365</w:t>
            </w: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48,858</w:t>
            </w:r>
          </w:p>
        </w:tc>
        <w:tc>
          <w:tcPr>
            <w:tcW w:w="80" w:type="dxa"/>
            <w:vAlign w:val="bottom"/>
            <w:tcBorders>
              <w:bottom w:val="single" w:sz="8" w:color="CCEEFF"/>
            </w:tcBorders>
          </w:tcPr>
          <w:p>
            <w:pPr>
              <w:spacing w:after="0"/>
              <w:rPr>
                <w:sz w:val="22"/>
                <w:szCs w:val="22"/>
                <w:color w:val="auto"/>
              </w:rPr>
            </w:pPr>
          </w:p>
        </w:tc>
        <w:tc>
          <w:tcPr>
            <w:tcW w:w="1520" w:type="dxa"/>
            <w:vAlign w:val="bottom"/>
          </w:tcPr>
          <w:p>
            <w:pPr>
              <w:spacing w:after="0"/>
              <w:rPr>
                <w:sz w:val="22"/>
                <w:szCs w:val="22"/>
                <w:color w:val="auto"/>
              </w:rPr>
            </w:pPr>
          </w:p>
        </w:tc>
      </w:tr>
      <w:tr>
        <w:trPr>
          <w:trHeight w:val="197"/>
        </w:trPr>
        <w:tc>
          <w:tcPr>
            <w:tcW w:w="1540" w:type="dxa"/>
            <w:vAlign w:val="bottom"/>
          </w:tcPr>
          <w:p>
            <w:pPr>
              <w:spacing w:after="0"/>
              <w:rPr>
                <w:sz w:val="17"/>
                <w:szCs w:val="17"/>
                <w:color w:val="auto"/>
              </w:rPr>
            </w:pPr>
          </w:p>
        </w:tc>
        <w:tc>
          <w:tcPr>
            <w:tcW w:w="34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Payments from landlords</w:t>
            </w: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7,099</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15,758</w:t>
            </w:r>
          </w:p>
        </w:tc>
        <w:tc>
          <w:tcPr>
            <w:tcW w:w="8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r>
      <w:tr>
        <w:trPr>
          <w:trHeight w:val="432"/>
        </w:trPr>
        <w:tc>
          <w:tcPr>
            <w:tcW w:w="1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80" w:type="dxa"/>
            <w:vAlign w:val="bottom"/>
          </w:tcPr>
          <w:p>
            <w:pPr>
              <w:jc w:val="right"/>
              <w:ind w:right="1219"/>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540" w:type="dxa"/>
            <w:vAlign w:val="bottom"/>
            <w:tcBorders>
              <w:bottom w:val="single" w:sz="8" w:color="999999"/>
            </w:tcBorders>
          </w:tcPr>
          <w:p>
            <w:pPr>
              <w:spacing w:after="0"/>
              <w:rPr>
                <w:sz w:val="18"/>
                <w:szCs w:val="18"/>
                <w:color w:val="auto"/>
              </w:rPr>
            </w:pPr>
          </w:p>
        </w:tc>
        <w:tc>
          <w:tcPr>
            <w:tcW w:w="3480" w:type="dxa"/>
            <w:vAlign w:val="bottom"/>
            <w:tcBorders>
              <w:bottom w:val="single" w:sz="8" w:color="999999"/>
            </w:tcBorders>
          </w:tcPr>
          <w:p>
            <w:pPr>
              <w:spacing w:after="0"/>
              <w:rPr>
                <w:sz w:val="18"/>
                <w:szCs w:val="18"/>
                <w:color w:val="auto"/>
              </w:rPr>
            </w:pPr>
          </w:p>
        </w:tc>
        <w:tc>
          <w:tcPr>
            <w:tcW w:w="2080" w:type="dxa"/>
            <w:vAlign w:val="bottom"/>
            <w:tcBorders>
              <w:bottom w:val="single" w:sz="8" w:color="999999"/>
            </w:tcBorders>
          </w:tcPr>
          <w:p>
            <w:pPr>
              <w:spacing w:after="0"/>
              <w:rPr>
                <w:sz w:val="18"/>
                <w:szCs w:val="18"/>
                <w:color w:val="auto"/>
              </w:rPr>
            </w:pPr>
          </w:p>
        </w:tc>
        <w:tc>
          <w:tcPr>
            <w:tcW w:w="1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80" w:type="dxa"/>
            <w:vAlign w:val="bottom"/>
            <w:tcBorders>
              <w:bottom w:val="single" w:sz="8" w:color="999999"/>
            </w:tcBorders>
          </w:tcPr>
          <w:p>
            <w:pPr>
              <w:spacing w:after="0"/>
              <w:rPr>
                <w:sz w:val="18"/>
                <w:szCs w:val="18"/>
                <w:color w:val="auto"/>
              </w:rPr>
            </w:pPr>
          </w:p>
        </w:tc>
        <w:tc>
          <w:tcPr>
            <w:tcW w:w="180" w:type="dxa"/>
            <w:vAlign w:val="bottom"/>
            <w:tcBorders>
              <w:bottom w:val="single" w:sz="8" w:color="999999"/>
            </w:tcBorders>
          </w:tcPr>
          <w:p>
            <w:pPr>
              <w:spacing w:after="0"/>
              <w:rPr>
                <w:sz w:val="18"/>
                <w:szCs w:val="18"/>
                <w:color w:val="auto"/>
              </w:rPr>
            </w:pPr>
          </w:p>
        </w:tc>
        <w:tc>
          <w:tcPr>
            <w:tcW w:w="78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1520" w:type="dxa"/>
            <w:vAlign w:val="bottom"/>
            <w:tcBorders>
              <w:bottom w:val="single" w:sz="8" w:color="999999"/>
            </w:tcBorders>
          </w:tcPr>
          <w:p>
            <w:pPr>
              <w:spacing w:after="0"/>
              <w:rPr>
                <w:sz w:val="18"/>
                <w:szCs w:val="18"/>
                <w:color w:val="auto"/>
              </w:rPr>
            </w:pPr>
          </w:p>
        </w:tc>
      </w:tr>
    </w:tbl>
    <w:p>
      <w:pPr>
        <w:sectPr>
          <w:pgSz w:w="11900" w:h="16838" w:orient="portrait"/>
          <w:cols w:equalWidth="0" w:num="1">
            <w:col w:w="11420"/>
          </w:cols>
          <w:pgMar w:left="240" w:top="365"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20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2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Total revenues increased $25,411, or 8.0%, to $344,599 in the second quarter of fiscal 2019 compared to total revenues of $319,188 in the second quarter of fiscal 2018. For the thirteen weeks ended August 4, 2019, we derived 28.0% of our total revenue from food sales, 12.0% from beverage sales, 59.1% from amusement sales and 0.9% from other sources. For the thirteen weeks ended August 5, 2018, we derived 28.8% of our total revenue from food sales, 12.0% from beverage sales, 58.5% from amusement sales and 0.7% from other sources.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increase in revenues for the second quarter of fiscal 2019 compared to the second quarter of 2018 were from the following sources:</w:t>
      </w: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(4,877)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Non-comparable stores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29,633</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25,411</w:t>
            </w:r>
          </w:p>
        </w:tc>
        <w:tc>
          <w:tcPr>
            <w:tcW w:w="8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Comparable store revenue decreased $4,877, or 1.8%, in the second quarter of fiscal 2019 compared to the second quarter of fiscal 2018. Comparable store revenue compared to prior year was negatively impacted by increased competitive pressure, and sales transfers to new stores that we opened in markets where we operate. Comparable walk-in revenues, which accounted for 90.4% of comparable store revenue for the second quarter of fiscal 2019, decreased 2.0% compared to the similar period in fiscal 2018. Comparable store special events revenues, which accounted for 9.6% of comparable store revenue for the second quarter of fiscal 2019, increased 0.1% compared to the second quarter of fiscal 2018.</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Food sales at comparable stores decreased by $2,985, or 3.8%, to $75,645 in the second quarter of fiscal 2019 from $78,630 in the second quarter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fiscal 2018. Beverage sales at comparable stores decreased by $537, or 1.6%, to $32,528 in the second quarter of fiscal 2019 from $33,065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2018 comparison period. Comparable store amusement and other revenues in the second quarter of fiscal 2019 decreased by $1,355, or 0.8%,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$160,112 from $161,467 in the comparable thirteen weeks of fiscal 2018. The decrease in amusement sales was due in part to lower customer volumes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partially offset by various pricing initiatives in the current year, including an increase in new card fees with the launch of our RFID power card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first quarter of fiscal 2019.</w:t>
      </w:r>
    </w:p>
    <w:p>
      <w:pPr>
        <w:spacing w:after="0" w:line="21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Non-comparable store revenue increased $29,633, for the second quarter of fiscal 2019 compared to the second quarter of fiscal 2018. The increase in non-comparable store revenue was primarily driven by 198 additional operating store weeks contributed by our thirty-one non-comparable stores, fourteen of which opened subsequent to the second quarter of fiscal 2018, partially offset by a decrease in revenue due to the closure of our store in Duluth (Atlanta), Georgia on March 3,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The total cost of products was $59,623 for the second quarter of fiscal 2019 and $55,556 for the second quarter of fiscal 2018. The total cost of products as a percentage of total revenues was 17.3% and 17.4% for the second quarter of fiscal 2019 and fiscal 2018, respectively.</w:t>
      </w:r>
    </w:p>
    <w:p>
      <w:pPr>
        <w:spacing w:after="0" w:line="14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Cost of food and beverage products increased to $36,934 in the second quarter of fiscal 2019 compared to $33,998 for the second quarter of fiscal 2018 due primarily to the increased sales volume related to new store openings. Cost of food and beverage products, as a percentage of food and beverage revenues, increased 70 basis points to 26.8% for the second quarter of fiscal 2019 from 26.1% for the second quarter of fiscal 2018. Higher poultry costs due to our “All You Can Eat” wings promotion, higher bar consumable costs due to our shift to fresh juices at the bar as well as the impact of our larger non-comparable store group, were partially offset by declines in seafood costs and increases in food and beverage prices.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Cost of amusement and other increased to $22,689 in the second quarter of fiscal 2019 compared to $21,558 in the second quarter of fiscal 2018. The costs of amusement and other, as a percentage of amusement and other revenues, decreased 40 basis points to 11.0% for the second quarter of fiscal 2019 from 11.4% for the second quarter of fiscal 2018. The decrease in cost of amusement and other as a percentage of revenue was due, in part, to lower expense associated with our estimated amusement redemption liabilities and leverage from revenue increases derived from an increase in the price of power cards and higher revenue from our virtual reality platform. Increases in cost of amusements due to recently imposed tariffs were largely offset by price increases in WIN!.</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5"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Total operating payroll and benefits increased by $7,191, or 9.8%, to $80,927 in the second quarter of fiscal 2019 compared to $73,736 in the second quarter of fiscal 2018. This increase was primarily due to labor associated with the additional operating store weeks of our non-comparable stores. The total cost of operating payroll and benefits, as a percentage of total revenues, increased 40 basis points to 23.5% in the second quarter of fiscal 2019 compared to 23.1% for the second quarter of fiscal 2018. This increase was due to an hourly wage rate increase of 4.6%, normal labor inefficiencies associated with our non-comparable store base and unfavorable leverage on decreased comparable store sales.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Other store operating expenses increased by $9,551, or 10.1%, to $104,376 in the second quarter of fiscal 2019 compared to $94,825 in the second quarter of fiscal 2018, primarily due to new store openings. Other store operating expenses as a percentage of total revenues increased 60 basis points to 30.3% in the second quarter of fiscal 2019 compared to 29.7% in the second quarter of fiscal 2018. This increase was due primarily to higher occupancy costs associated with our non-comparable stores, deleveraging of our occupancy costs on lower comparable store sales, and incremental legal and sports viewing costs, partially offset by favorable leverage of marketing expenses relative to total revenue.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General and administrative expenses increased by $1,227, or 8.3%, to $15,991 in the second quarter of fiscal 2019 compared to $14,764 in the second quarter of fiscal 2018. The increase in general and administrative expenses was primarily driven by increased compensation and professional services costs at our corporate headquarters. General and administrative expenses, as a percentage of total revenues remained unchanged at 4.6% in both the second quarter of fiscal 2019 and the second quarter of fiscal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Depreciation and amortization expense increased by $3,696 or 12.7%, to $32,745 in the second quarter of fiscal 2019 compared to $29,049 in the second quarter of fiscal 2018. Increased depreciation due to our 2018 and 2019 capital expenditures for new stores, operating initiatives, games and maintenance capital, was partially offset by other assets reaching the end of their depreciable lives.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Pre-opening costs decreased by $605 to $4,723 in the second quarter of fiscal 2019 compared to $5,328 in the second quarter of fiscal 2018</w:t>
      </w:r>
      <w:r>
        <w:rPr>
          <w:rFonts w:ascii="Arial" w:cs="Arial" w:eastAsia="Arial" w:hAnsi="Arial"/>
          <w:sz w:val="16"/>
          <w:szCs w:val="16"/>
          <w:b w:val="1"/>
          <w:bCs w:val="1"/>
          <w:i w:val="1"/>
          <w:iCs w:val="1"/>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Interest expense, net increased by $1,377 to $4,605 in the second quarter of fiscal 2019 compared to $3,228 in the second quarter of fiscal 2018 due primarily to an increase in average outstanding debt and higher interest rates.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effective income tax rate increased to 22.2% in the second quarter of fiscal 2019 compared to 20.9% in the second quarter of fiscal 2018. The increase is driven by lower excess tax benefit associated with share-based compensation partially offset by higher tax credits and a favorable change in the mix of jurisdictional earnings.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5"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Twenty-Six Weeks Ended August 4, 2019 Compared to Twenty-Six Weeks Ended August 5, 2018</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1"/>
              </w:rPr>
              <w:t>Twenty-six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4, 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5, 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286,142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269,997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Amusement and other revenues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422,039</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381,381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708,181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651,378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75,688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70,018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45,660</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121,348</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112,695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163,800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146,630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210,621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188,165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63,886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56,555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costs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604,217</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546,844</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103,964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104,534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20,504</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22,520</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74,799</w:t>
            </w: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Comparable stores open at end of period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right="260" w:hanging="436"/>
        <w:spacing w:after="0" w:line="207" w:lineRule="auto"/>
        <w:tabs>
          <w:tab w:leader="none" w:pos="6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Our store in Duluth (Atlanta), Georgia permanently closed on March 3, 2019 as we did not exercise the renewal option and has been excluded from fiscal 2019 store counts and comparable store sales.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365"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Twenty-six Weeks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Twenty-six Weeks</w:t>
            </w: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3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August 4, 2019</w:t>
            </w: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5, 2018</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63,886</w:t>
            </w: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56,555</w:t>
            </w: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167,850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161,089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 on asset disposal</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Pre-opening costs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11,725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12,381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Adjusted EBITDA</w:t>
            </w:r>
          </w:p>
        </w:tc>
        <w:tc>
          <w:tcPr>
            <w:tcW w:w="19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184,166</w:t>
            </w:r>
          </w:p>
        </w:tc>
        <w:tc>
          <w:tcPr>
            <w:tcW w:w="3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178,298</w:t>
            </w:r>
          </w:p>
        </w:tc>
        <w:tc>
          <w:tcPr>
            <w:tcW w:w="3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2" w:lineRule="exact"/>
        <w:rPr>
          <w:sz w:val="20"/>
          <w:szCs w:val="20"/>
          <w:color w:val="auto"/>
        </w:rPr>
      </w:pPr>
    </w:p>
    <w:p>
      <w:pPr>
        <w:ind w:left="640" w:hanging="436"/>
        <w:spacing w:after="0"/>
        <w:tabs>
          <w:tab w:leader="none" w:pos="6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64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ectPr>
          <w:pgSz w:w="11900" w:h="16838" w:orient="portrait"/>
          <w:cols w:equalWidth="0" w:num="1">
            <w:col w:w="11420"/>
          </w:cols>
          <w:pgMar w:left="240" w:top="3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1915" cy="14605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Pre-opening costs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Store Operating Income Before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-116205</wp:posOffset>
            </wp:positionV>
            <wp:extent cx="643191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1915" cy="163195"/>
                    </a:xfrm>
                    <a:prstGeom prst="rect">
                      <a:avLst/>
                    </a:prstGeom>
                    <a:noFill/>
                  </pic:spPr>
                </pic:pic>
              </a:graphicData>
            </a:graphic>
          </wp:anchor>
        </w:drawing>
      </w:r>
    </w:p>
    <w:p>
      <w:pPr>
        <w:spacing w:after="0" w:line="3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Twenty-six Weeks</w:t>
            </w:r>
          </w:p>
        </w:tc>
        <w:tc>
          <w:tcPr>
            <w:tcW w:w="2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4, 2019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5,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w w:val="87"/>
              </w:rPr>
              <w:t>$103,964</w:t>
            </w:r>
          </w:p>
        </w:tc>
        <w:tc>
          <w:tcPr>
            <w:tcW w:w="320" w:type="dxa"/>
            <w:vAlign w:val="bottom"/>
          </w:tcPr>
          <w:p>
            <w:pPr>
              <w:spacing w:after="0"/>
              <w:rPr>
                <w:sz w:val="16"/>
                <w:szCs w:val="16"/>
                <w:color w:val="auto"/>
              </w:rPr>
            </w:pPr>
          </w:p>
        </w:tc>
        <w:tc>
          <w:tcPr>
            <w:tcW w:w="84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w w:val="85"/>
              </w:rPr>
              <w:t>$104,534</w:t>
            </w:r>
          </w:p>
        </w:tc>
        <w:tc>
          <w:tcPr>
            <w:tcW w:w="300" w:type="dxa"/>
            <w:vAlign w:val="bottom"/>
          </w:tcPr>
          <w:p>
            <w:pPr>
              <w:spacing w:after="0"/>
              <w:rPr>
                <w:sz w:val="16"/>
                <w:szCs w:val="16"/>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32,837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30,418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63,886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56,555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11,725</w:t>
            </w:r>
          </w:p>
        </w:tc>
        <w:tc>
          <w:tcPr>
            <w:tcW w:w="320" w:type="dxa"/>
            <w:vAlign w:val="bottom"/>
          </w:tcPr>
          <w:p>
            <w:pPr>
              <w:spacing w:after="0"/>
              <w:rPr>
                <w:sz w:val="20"/>
                <w:szCs w:val="20"/>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12,381</w:t>
            </w:r>
          </w:p>
        </w:tc>
        <w:tc>
          <w:tcPr>
            <w:tcW w:w="300" w:type="dxa"/>
            <w:vAlign w:val="bottom"/>
          </w:tcPr>
          <w:p>
            <w:pPr>
              <w:spacing w:after="0"/>
              <w:rPr>
                <w:sz w:val="20"/>
                <w:szCs w:val="2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212,412</w:t>
            </w: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203,888</w:t>
            </w:r>
          </w:p>
        </w:tc>
        <w:tc>
          <w:tcPr>
            <w:tcW w:w="3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3" w:lineRule="exact"/>
        <w:rPr>
          <w:sz w:val="20"/>
          <w:szCs w:val="20"/>
          <w:color w:val="auto"/>
        </w:rPr>
      </w:pPr>
    </w:p>
    <w:p>
      <w:pPr>
        <w:sectPr>
          <w:pgSz w:w="11900" w:h="16838" w:orient="portrait"/>
          <w:cols w:equalWidth="0" w:num="2">
            <w:col w:w="6620" w:space="720"/>
            <w:col w:w="4080"/>
          </w:cols>
          <w:pgMar w:left="240" w:top="365" w:right="2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The table below reflects accrual-based capital additions. Capital additions do not include any reductions for Payments from landlords.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gridSpan w:val="3"/>
          </w:tcPr>
          <w:p>
            <w:pPr>
              <w:ind w:left="1840"/>
              <w:spacing w:after="0"/>
              <w:rPr>
                <w:sz w:val="20"/>
                <w:szCs w:val="20"/>
                <w:color w:val="auto"/>
              </w:rPr>
            </w:pPr>
            <w:r>
              <w:rPr>
                <w:rFonts w:ascii="Arial" w:cs="Arial" w:eastAsia="Arial" w:hAnsi="Arial"/>
                <w:sz w:val="14"/>
                <w:szCs w:val="14"/>
                <w:b w:val="1"/>
                <w:bCs w:val="1"/>
                <w:color w:val="auto"/>
                <w:w w:val="89"/>
              </w:rPr>
              <w:t>Twenty-six Weeks</w:t>
            </w:r>
          </w:p>
        </w:tc>
        <w:tc>
          <w:tcPr>
            <w:tcW w:w="194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Twenty-six Weeks</w:t>
            </w:r>
          </w:p>
        </w:tc>
        <w:tc>
          <w:tcPr>
            <w:tcW w:w="1520" w:type="dxa"/>
            <w:vAlign w:val="bottom"/>
          </w:tcPr>
          <w:p>
            <w:pPr>
              <w:spacing w:after="0"/>
              <w:rPr>
                <w:sz w:val="14"/>
                <w:szCs w:val="14"/>
                <w:color w:val="auto"/>
              </w:rPr>
            </w:pPr>
          </w:p>
        </w:tc>
      </w:tr>
      <w:tr>
        <w:trPr>
          <w:trHeight w:val="149"/>
        </w:trPr>
        <w:tc>
          <w:tcPr>
            <w:tcW w:w="1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Ended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1520" w:type="dxa"/>
            <w:vAlign w:val="bottom"/>
          </w:tcPr>
          <w:p>
            <w:pPr>
              <w:spacing w:after="0"/>
              <w:rPr>
                <w:sz w:val="12"/>
                <w:szCs w:val="12"/>
                <w:color w:val="auto"/>
              </w:rPr>
            </w:pPr>
          </w:p>
        </w:tc>
      </w:tr>
      <w:tr>
        <w:trPr>
          <w:trHeight w:val="171"/>
        </w:trPr>
        <w:tc>
          <w:tcPr>
            <w:tcW w:w="1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August 4, 2019</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August 5, 2018</w:t>
            </w:r>
          </w:p>
        </w:tc>
        <w:tc>
          <w:tcPr>
            <w:tcW w:w="1520" w:type="dxa"/>
            <w:vAlign w:val="bottom"/>
          </w:tcPr>
          <w:p>
            <w:pPr>
              <w:spacing w:after="0"/>
              <w:rPr>
                <w:sz w:val="14"/>
                <w:szCs w:val="14"/>
                <w:color w:val="auto"/>
              </w:rPr>
            </w:pPr>
          </w:p>
        </w:tc>
      </w:tr>
      <w:tr>
        <w:trPr>
          <w:trHeight w:val="210"/>
        </w:trPr>
        <w:tc>
          <w:tcPr>
            <w:tcW w:w="154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1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91,447</w:t>
            </w: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78,464</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Games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18,604</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1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63"/>
        </w:trPr>
        <w:tc>
          <w:tcPr>
            <w:tcW w:w="1540" w:type="dxa"/>
            <w:vAlign w:val="bottom"/>
          </w:tcPr>
          <w:p>
            <w:pPr>
              <w:spacing w:after="0"/>
              <w:rPr>
                <w:sz w:val="22"/>
                <w:szCs w:val="22"/>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capital additions</w:t>
            </w:r>
          </w:p>
        </w:tc>
        <w:tc>
          <w:tcPr>
            <w:tcW w:w="18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111,774</w:t>
            </w:r>
          </w:p>
        </w:tc>
        <w:tc>
          <w:tcPr>
            <w:tcW w:w="7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107,794</w:t>
            </w:r>
          </w:p>
        </w:tc>
        <w:tc>
          <w:tcPr>
            <w:tcW w:w="80" w:type="dxa"/>
            <w:vAlign w:val="bottom"/>
            <w:tcBorders>
              <w:bottom w:val="single" w:sz="8" w:color="CCEEFF"/>
            </w:tcBorders>
          </w:tcPr>
          <w:p>
            <w:pPr>
              <w:spacing w:after="0"/>
              <w:rPr>
                <w:sz w:val="22"/>
                <w:szCs w:val="22"/>
                <w:color w:val="auto"/>
              </w:rPr>
            </w:pPr>
          </w:p>
        </w:tc>
        <w:tc>
          <w:tcPr>
            <w:tcW w:w="1520" w:type="dxa"/>
            <w:vAlign w:val="bottom"/>
          </w:tcPr>
          <w:p>
            <w:pPr>
              <w:spacing w:after="0"/>
              <w:rPr>
                <w:sz w:val="22"/>
                <w:szCs w:val="22"/>
                <w:color w:val="auto"/>
              </w:rPr>
            </w:pPr>
          </w:p>
        </w:tc>
      </w:tr>
      <w:tr>
        <w:trPr>
          <w:trHeight w:val="197"/>
        </w:trPr>
        <w:tc>
          <w:tcPr>
            <w:tcW w:w="1540" w:type="dxa"/>
            <w:vAlign w:val="bottom"/>
          </w:tcPr>
          <w:p>
            <w:pPr>
              <w:spacing w:after="0"/>
              <w:rPr>
                <w:sz w:val="17"/>
                <w:szCs w:val="17"/>
                <w:color w:val="auto"/>
              </w:rPr>
            </w:pPr>
          </w:p>
        </w:tc>
        <w:tc>
          <w:tcPr>
            <w:tcW w:w="34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Payments from landlords</w:t>
            </w: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21,341</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30,545</w:t>
            </w:r>
          </w:p>
        </w:tc>
        <w:tc>
          <w:tcPr>
            <w:tcW w:w="8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r>
      <w:tr>
        <w:trPr>
          <w:trHeight w:val="432"/>
        </w:trPr>
        <w:tc>
          <w:tcPr>
            <w:tcW w:w="1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jc w:val="right"/>
              <w:ind w:right="979"/>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540" w:type="dxa"/>
            <w:vAlign w:val="bottom"/>
            <w:tcBorders>
              <w:bottom w:val="single" w:sz="8" w:color="999999"/>
            </w:tcBorders>
          </w:tcPr>
          <w:p>
            <w:pPr>
              <w:spacing w:after="0"/>
              <w:rPr>
                <w:sz w:val="18"/>
                <w:szCs w:val="18"/>
                <w:color w:val="auto"/>
              </w:rPr>
            </w:pPr>
          </w:p>
        </w:tc>
        <w:tc>
          <w:tcPr>
            <w:tcW w:w="3480" w:type="dxa"/>
            <w:vAlign w:val="bottom"/>
            <w:tcBorders>
              <w:bottom w:val="single" w:sz="8" w:color="999999"/>
            </w:tcBorders>
          </w:tcPr>
          <w:p>
            <w:pPr>
              <w:spacing w:after="0"/>
              <w:rPr>
                <w:sz w:val="18"/>
                <w:szCs w:val="18"/>
                <w:color w:val="auto"/>
              </w:rPr>
            </w:pPr>
          </w:p>
        </w:tc>
        <w:tc>
          <w:tcPr>
            <w:tcW w:w="18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1520" w:type="dxa"/>
            <w:vAlign w:val="bottom"/>
            <w:tcBorders>
              <w:bottom w:val="single" w:sz="8" w:color="999999"/>
            </w:tcBorders>
          </w:tcPr>
          <w:p>
            <w:pPr>
              <w:spacing w:after="0"/>
              <w:rPr>
                <w:sz w:val="18"/>
                <w:szCs w:val="18"/>
                <w:color w:val="auto"/>
              </w:rPr>
            </w:pPr>
          </w:p>
        </w:tc>
      </w:tr>
    </w:tbl>
    <w:p>
      <w:pPr>
        <w:sectPr>
          <w:pgSz w:w="11900" w:h="16838" w:orient="portrait"/>
          <w:cols w:equalWidth="0" w:num="1">
            <w:col w:w="11420"/>
          </w:cols>
          <w:pgMar w:left="240" w:top="365"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revenues increased $56,803, or 8.7%, to $708,181 in the twenty-six week period ended August 4, 2019 compared to total revenues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$651,378 in the twenty-six week period ended August 5, 2018. For the twenty-six weeks ended August 4, 2019, we derived 27.9% of our total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food sales, 12.5% from beverage sales, 58.8% from amusement sales and 0.8% from other sources. For the twenty-six weeks ended August 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2018, we derived 28.6% of our total revenue from food sales, 12.9% from beverage sales, 57.9% from amusement sales and 0.6% from other sources.</w:t>
      </w:r>
    </w:p>
    <w:p>
      <w:pPr>
        <w:spacing w:after="0" w:line="23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net increase in revenues for the twenty-six weeks ended August 4, 2019 compared to the twenty-six period ended August 5, 2018, were from the following sources:</w:t>
      </w:r>
    </w:p>
    <w:p>
      <w:pPr>
        <w:spacing w:after="0" w:line="18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(5,802)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Non-comparable stores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62,221</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56,803</w:t>
            </w:r>
          </w:p>
        </w:tc>
        <w:tc>
          <w:tcPr>
            <w:tcW w:w="8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Comparable store revenue decreased $5,802, or 1.0%, in the twenty-six weeks ended August 4, 2019 compared to the twenty-six weeks ended August 5, 2018. Comparable store revenue compared to prior year was negatively impacted by an unfavorable shift in the current year holiday/school break calendar, increased competitive pressure, and sales transfers to new stores that we opened in markets where we operate. Comparable walk-in revenues, which accounted for 91.3% of comparable store revenue for the twenty-six weeks ended August 4, 2019, decreased 1.3% compared to the similar period in fiscal 2018. Comparable store special events revenues, which accounted for 8.7% of comparable store revenue for the twenty-six weeks ended August 4, 2019, increased 1.5% compared to the similar period in fiscal 2018.</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Food sales at comparable stores decreased by $5,276, or 3.3%, to $156,354 in the twenty-six weeks ended August 4, 2019 from $161,630 in the in the twenty-six weeks ended August 5, 2018. Beverage sales at comparable stores decreased by $2,293, or 3.1%, to $70,533 in the twenty-six week period ended August 4, 2019 from $72,826 in the 2018 comparison period. Comparable store amusement and other revenues in the twenty-six week period ended August 4, 2019 increased by $1,767, or 0.5%, to $332,689 from $330,922 in the comparable twenty-six weeks of fiscal 2018. The increase in amusement sales was positively impacted by various pricing initiatives in the current year, including an increase in new card fees with the launch of our RFID power card and incremental sales associated with our virtual reality platform which launched during the second quarter of fiscal 2018.</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Non-comparable store revenue increased $62,221, for the twenty-six week period ended August 4, 2019 compared to the twenty-six week period ended August 5, 2018. The increase in non-comparable store revenue was primarily driven by 394 additional operating store weeks contributed by our thirty-one non-comparable stores, fourteen of which opened subsequent to the second quarter of fiscal 2018, partially offset by a decrease in revenue due to the closure of our store in Duluth (Atlanta), Georgia on March 3,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total cost of products was $121,348 for the twenty-six week period ended August 4, 2019 and $112,695 for the twenty-six week period ended August 5, 2018. The total cost of products as a percentage of total revenues was 17.1% and 17.3% for the twenty-six weeks ended August 4, 2019 and the twenty-six week period ended August 5, 2018,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Cost of food and beverage products increased to $75,688 in the twenty-six week period ended August 4, 2019 compared to $70,018 for</w:t>
      </w:r>
    </w:p>
    <w:p>
      <w:pPr>
        <w:spacing w:after="0" w:line="35" w:lineRule="exact"/>
        <w:rPr>
          <w:sz w:val="20"/>
          <w:szCs w:val="20"/>
          <w:color w:val="auto"/>
        </w:rPr>
      </w:pPr>
    </w:p>
    <w:p>
      <w:pPr>
        <w:ind w:left="200" w:right="80"/>
        <w:spacing w:after="0" w:line="292" w:lineRule="auto"/>
        <w:rPr>
          <w:sz w:val="20"/>
          <w:szCs w:val="20"/>
          <w:color w:val="auto"/>
        </w:rPr>
      </w:pPr>
      <w:r>
        <w:rPr>
          <w:rFonts w:ascii="Arial" w:cs="Arial" w:eastAsia="Arial" w:hAnsi="Arial"/>
          <w:sz w:val="16"/>
          <w:szCs w:val="16"/>
          <w:color w:val="auto"/>
        </w:rPr>
        <w:t>the twenty-six week period ended August 5, 2018, due primarily to the increased sales volume related to new store openings. Cost of food and beverage products, as a percentage of food and beverage revenues, increased 60 basis points to 26.5% for the twenty-six week period ended August 4, 2019 from 25.9% for the twenty-six week period ended August 5, 2018. Higher meat costs resulting from our upgraded steak products, higher poultry costs due to our “All You Can Eat” wings promotion and higher bar consumable costs due to our shift to fresh juices at the bar as well as the impact of our larger non-comparable store group, were partially offset by declines in seafood costs and increases in food and beverage prices.</w:t>
      </w:r>
    </w:p>
    <w:p>
      <w:pPr>
        <w:spacing w:after="0" w:line="163" w:lineRule="exact"/>
        <w:rPr>
          <w:sz w:val="20"/>
          <w:szCs w:val="20"/>
          <w:color w:val="auto"/>
        </w:rPr>
      </w:pPr>
    </w:p>
    <w:p>
      <w:pPr>
        <w:jc w:val="both"/>
        <w:ind w:left="200" w:right="140" w:firstLine="441"/>
        <w:spacing w:after="0" w:line="297" w:lineRule="auto"/>
        <w:rPr>
          <w:sz w:val="20"/>
          <w:szCs w:val="20"/>
          <w:color w:val="auto"/>
        </w:rPr>
      </w:pPr>
      <w:r>
        <w:rPr>
          <w:rFonts w:ascii="Arial" w:cs="Arial" w:eastAsia="Arial" w:hAnsi="Arial"/>
          <w:sz w:val="16"/>
          <w:szCs w:val="16"/>
          <w:color w:val="auto"/>
        </w:rPr>
        <w:t>Cost of amusement and other increased to $45,660 in the twenty-six week period ended August 4, 2019 compared to $42,677 in the twenty-six week period ended August 5, 2018. The costs of amusement and other, as a percentage of amusement and other revenues, decreased 40 basis points to 10.8% for the twenty-six week period ended August 4, 2019 from 11.2% for the twenty-six week period ended August 5, 2018. The decrease in cost of amusement and other as a percentage of revenue was due, in part, to lower expense associated with our estimated amusement redemption liabilities, an increase in the price of power cards and a slight shift in game play to non-redemption games.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5"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Total operating payroll and benefits increased by $17,170, or 11.7%, to $163,800 in the twenty-six week period ended August 4, 2019 compared to $146,630 in the twenty-six week period ended August 5, 2018. This increase was primarily due to labor associated with the additional operating store weeks of our non-comparable stores. The total cost of operating payroll and benefits, as a percentage of total revenues, increased 60 basis points to</w:t>
      </w:r>
    </w:p>
    <w:p>
      <w:pPr>
        <w:jc w:val="both"/>
        <w:ind w:left="200" w:right="20"/>
        <w:spacing w:after="0" w:line="255" w:lineRule="auto"/>
        <w:rPr>
          <w:sz w:val="20"/>
          <w:szCs w:val="20"/>
          <w:color w:val="auto"/>
        </w:rPr>
      </w:pPr>
      <w:r>
        <w:rPr>
          <w:rFonts w:ascii="Arial" w:cs="Arial" w:eastAsia="Arial" w:hAnsi="Arial"/>
          <w:sz w:val="18"/>
          <w:szCs w:val="18"/>
          <w:color w:val="auto"/>
        </w:rPr>
        <w:t>23.1% in the twenty-six week period ended August 4, 2019 compared to 22.5% for the twenty-six week period ended August 5, 2018. This increase was due to an hourly wage rate increase of 4.5%, incremental amusements labor related to our virtual reality platform, normal labor inefficiencies associated with our non-comparable store base and unfavorable leverage on decreased comparable store sales.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Other store operating expenses increased by $22,456, or 11.9%, to $210,621 in the twenty-six week period ended August 4, 2019 compared to $188,165 in the twenty-six week period ended August 5, 2018, primarily due to new store openings. Other store operating expenses as a percentage of total revenues increased 90 basis points to 29.8% in the twenty-six week period ended August 4, 2019 compared to 28.9% in the twenty-six week period ended August 5, 2018. This increase was due primarily to higher occupancy costs associated with our non-comparable stores, deleveraging of our occupancy costs on lower comparable store sales, incremental legal and sports viewing costs, and the absence of hurricane-related business interruption proceeds recorded in the first quarter of the prior year.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General and administrative expenses increased by $2,419, or 8.0%, to $32,837 in the twenty-six week period ended August 4, 2019 compared to $30,418 in the twenty-six week period ended August 5, 2018. The increase in general and administrative expenses was primarily driven by increased compensation and professional services costs at our corporate headquarters. General and administrative expenses, as a percentage of total revenues remained relatively unchanged at 4.6% in the twenty-six week period ended August 4, 2019 compared to 4.7% in the twenty-six week period ended August 5,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Depreciation and amortization expense increased by $7,331 or 13.0%, to $63,886 in the twenty-six week period ended August 4, 2019 compared to $56,555 in the twenty-six week period ended August 5, 2018. Increased depreciation due to our 2018 and 2019 capital expenditures for new stores, operating initiatives, games and maintenance capital, was partially offset by other assets reaching the end of their depreciable lives.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Pre-opening costs decreased by $656 to $11,725 in the twenty-six week period ended August 4, 2019 compared to $12,381 in the comparable time period of fiscal 2018</w:t>
      </w:r>
      <w:r>
        <w:rPr>
          <w:rFonts w:ascii="Arial" w:cs="Arial" w:eastAsia="Arial" w:hAnsi="Arial"/>
          <w:sz w:val="18"/>
          <w:szCs w:val="18"/>
          <w:b w:val="1"/>
          <w:bCs w:val="1"/>
          <w:i w:val="1"/>
          <w:iCs w:val="1"/>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Interest expense, net increased by $2,576 to $8,661 in the twenty-six week period ended August 4, 2019 compared to $6,085 in the twenty-six week period ended August 5, 2018 due primarily to higher interest rates and an increase in average outstanding debt.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effective income tax rate decreased to 21.5% in the twenty-six weeks ended August 4, 2019 compared to 22.9% in the twenty-six week period ended August 5, 2018. The decrease reflects higher tax credits and a favorable change in the mix of jurisdictional earnings partially offset by lower excess tax benefit associated with share-based compensation.</w:t>
      </w:r>
    </w:p>
    <w:p>
      <w:pPr>
        <w:spacing w:after="0" w:line="285" w:lineRule="exact"/>
        <w:rPr>
          <w:sz w:val="20"/>
          <w:szCs w:val="20"/>
          <w:color w:val="auto"/>
        </w:rPr>
      </w:pPr>
    </w:p>
    <w:p>
      <w:pPr>
        <w:jc w:val="right"/>
        <w:ind w:right="8500"/>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jc w:val="right"/>
        <w:ind w:right="84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At August 4, 2019, we had cash and cash equivalents of $23,318 and a net working capital deficit of $178,426. We are able to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5"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Based on our current business plan, we believe our cash and cash equivalents combined with expected cash flows from operations, available borrowings under the revolving portion of our credit facility and expected payments from landlords should be sufficient not only for our operating requirements but also to enable us, in the aggregate, to finance our capital allocation strategy, including capital expenditures, share repurchases, cash dividends and any required debt payments through at least the next twelve months and the foreseeable future.</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expect to spend between $242,000 and $252,000 ($200,000 to $210,000 net of payments from landlord) in capital additions during fiscal 2019. The fiscal 2019 additions are expected to include approximately $196,000 to $206,000 ($154,000 to $164,000 net of payments from landlords) for new store construction and operating improvement initiatives, $19,000 for game refreshment and $27,000 in maintenance capital. A portion of the 2019 new store spend is related to stores that will be under construction in 2019 but will not be open until 2020.</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We maintain a $500,000 unsecured revolving credit facility. Availability under the revolving credit facility is reduced by outstanding letters of credit, which are used to support our self-insurance programs. At August 4, 2019, we had net availability for borrowings of $197,853 based on an outstanding revolver balance of $294,000 and $8,147 in standby letters of credit. We had total outstanding debt obligation of $567,750 under the existing term loan and revolving credit facility, which matures in August 2022. At August 4, 2019, the Company was in compliance with all our covenants contained in our existing credit facility, and none are expected to impact our liquidity or capital resources.</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use interest rate swaps in the management of our exposure to fluctuations in interest rates on our variable rate credit facility. Refer to Note 1 of the Unaudited Consolidated Financial Statements for further discussion.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August 4, 2019, we had approximately $269,990 remaining of a total $800,000 share repurchase authorization. The existing share repurchase program expires at the end of fiscal 2020. During the twenty-six weeks ended August 4, 2019, we declared and paid cash dividends of $10,837. Our Board of Directors may authorize capital allocation initiatives, including additional dividends, to return value to shareholders as allowable under our existing credit facility.</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 Net cash provided by operating activities decreased $28,221 in the twenty-six weeks ended August 4, 2019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twenty-six weeks ended August 5, 2018 driven primarily by net cash flows associated with changes in working capital.</w:t>
      </w:r>
    </w:p>
    <w:p>
      <w:pPr>
        <w:spacing w:after="0" w:line="14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Cash flow generated from operations provides us with a significant source of liquidity. Our operating cash flows result primarily from cash received from our customers, offset by cash payments we make for products and services, employee compensation, operations and occupancy costs.</w:t>
      </w:r>
    </w:p>
    <w:p>
      <w:pPr>
        <w:spacing w:after="0" w:line="124"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used in investing activities primarily reflects capital expenditures.</w:t>
      </w:r>
    </w:p>
    <w:p>
      <w:pPr>
        <w:spacing w:after="0" w:line="225"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During the twenty-six weeks ended August 4, 2019, the Company spent $99,483 ($78,142 net of payments from landlords) for new store construction and operating improvement initiatives, $9,763 for game refreshment and $8,629 for maintenance capital.</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During the twenty-six weeks ended August 5, 2018, we spent $86,979 ($56,434 net of payments from landlords) for new store construction and operating improvement initiatives, $19,065 for game refreshment and $10,580 for maintenance capital.</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Cash used in financing activities primarily reflected approximately $200,000 of share repurchases and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$11,000 of cash dividends paid, partially offset by $173,500 of net proceeds from borrowings of debt in the twenty-six weeks ended August 4, 2019. Cash used in financing activities primarily reflected approximately $61,000 of share repurchases and $4,500 of net repayments of debt in the twenty-six weeks ended August 5, 2018.</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5"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February 3, 2019, as reported on Form 10-K filed with SEC on April 2,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2, 2019.</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29" w:lineRule="exact"/>
        <w:rPr>
          <w:sz w:val="20"/>
          <w:szCs w:val="20"/>
          <w:color w:val="auto"/>
        </w:rPr>
      </w:pPr>
    </w:p>
    <w:p>
      <w:pPr>
        <w:ind w:left="200" w:right="36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Commodity Price Risk</w:t>
      </w:r>
    </w:p>
    <w:p>
      <w:pPr>
        <w:ind w:left="200" w:right="40" w:firstLine="441"/>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one-month LIBOR, plus an applicable margin. Effective February 28, 2019, the Company entered into an interest rate swap agreement with a notional amount of $350,000 to manage our exposure to interest rate movements on our variable rate credit facility. The agreement converts the floating interest rate to a fixed interest rate of approximately 2.5% plus a spread from the effective date through the term of our existing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5"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Effective February 4, 2019 we adopted the new guidance for lease accounting (Topic 842). As a result, changes to processes and procedures occurred that affected the Company’s internal control over financial reporting. While we believe the Company’s internal control over financial reporting for affected process and procedures is effective, we will continue to evaluate and monitor these changes and assess the effectiveness of our internal control over financial reporting as of the end of our fiscal year.</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second quarter ended August 4, 2019, that have materially affected, or are reasonably likely to materially affect, our internal control over financial reporting.</w:t>
      </w: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27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in the risk factors previously disclosed in our Annual Report as filed on Form 10-K on April 2, 2019.</w:t>
      </w: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65"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regarding repurchase of our common stock, in thousands, except share amounts, during the thirteen weeks ended August 4, 2019:</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Number</w:t>
            </w:r>
          </w:p>
        </w:tc>
        <w:tc>
          <w:tcPr>
            <w:tcW w:w="6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620" w:type="dxa"/>
            <w:vAlign w:val="bottom"/>
          </w:tcPr>
          <w:p>
            <w:pPr>
              <w:spacing w:after="0"/>
              <w:rPr>
                <w:sz w:val="14"/>
                <w:szCs w:val="14"/>
                <w:color w:val="auto"/>
              </w:rPr>
            </w:pPr>
          </w:p>
        </w:tc>
        <w:tc>
          <w:tcPr>
            <w:tcW w:w="176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 Shares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(1)</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of Shares</w:t>
            </w:r>
          </w:p>
        </w:tc>
        <w:tc>
          <w:tcPr>
            <w:tcW w:w="6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Repurchased as Part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58"/>
        </w:trPr>
        <w:tc>
          <w:tcPr>
            <w:tcW w:w="94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Repurchased</w:t>
            </w:r>
          </w:p>
        </w:tc>
        <w:tc>
          <w:tcPr>
            <w:tcW w:w="1540" w:type="dxa"/>
            <w:vAlign w:val="bottom"/>
            <w:gridSpan w:val="3"/>
          </w:tcPr>
          <w:p>
            <w:pPr>
              <w:ind w:left="62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23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Publicly Announced Plan (2)</w:t>
            </w:r>
          </w:p>
        </w:tc>
        <w:tc>
          <w:tcPr>
            <w:tcW w:w="2700" w:type="dxa"/>
            <w:vAlign w:val="bottom"/>
            <w:gridSpan w:val="4"/>
          </w:tcPr>
          <w:p>
            <w:pPr>
              <w:jc w:val="right"/>
              <w:ind w:right="80"/>
              <w:spacing w:after="0" w:line="158" w:lineRule="exact"/>
              <w:rPr>
                <w:sz w:val="20"/>
                <w:szCs w:val="20"/>
                <w:color w:val="auto"/>
              </w:rPr>
            </w:pPr>
            <w:r>
              <w:rPr>
                <w:rFonts w:ascii="Arial" w:cs="Arial" w:eastAsia="Arial" w:hAnsi="Arial"/>
                <w:sz w:val="14"/>
                <w:szCs w:val="14"/>
                <w:b w:val="1"/>
                <w:bCs w:val="1"/>
                <w:color w:val="auto"/>
              </w:rPr>
              <w:t>Repurchased Under the Plan (3)</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0"/>
              </w:rPr>
              <w:t>May 6, 2019</w:t>
            </w:r>
          </w:p>
        </w:tc>
        <w:tc>
          <w:tcPr>
            <w:tcW w:w="14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 June 2, 2019</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406,666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86"/>
              </w:rPr>
              <w:t>June 3, 2019</w:t>
            </w:r>
          </w:p>
        </w:tc>
        <w:tc>
          <w:tcPr>
            <w:tcW w:w="1400" w:type="dxa"/>
            <w:vAlign w:val="bottom"/>
          </w:tcPr>
          <w:p>
            <w:pPr>
              <w:ind w:left="20"/>
              <w:spacing w:after="0"/>
              <w:rPr>
                <w:sz w:val="20"/>
                <w:szCs w:val="20"/>
                <w:color w:val="auto"/>
              </w:rPr>
            </w:pPr>
            <w:r>
              <w:rPr>
                <w:rFonts w:ascii="Arial" w:cs="Arial" w:eastAsia="Arial" w:hAnsi="Arial"/>
                <w:sz w:val="18"/>
                <w:szCs w:val="18"/>
                <w:color w:val="auto"/>
              </w:rPr>
              <w:t>– July 7, 2019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1,400,000</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39.93</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1,400,000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350,766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July 8, 2019 –</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August 4,</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269,990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Monthly information is presented by reference to our fiscal periods during the thirteen weeks ended August 4, 2019.</w:t>
      </w:r>
    </w:p>
    <w:p>
      <w:pPr>
        <w:spacing w:after="0" w:line="1" w:lineRule="exact"/>
        <w:rPr>
          <w:rFonts w:ascii="Arial" w:cs="Arial" w:eastAsia="Arial" w:hAnsi="Arial"/>
          <w:sz w:val="27"/>
          <w:szCs w:val="27"/>
          <w:color w:val="auto"/>
          <w:vertAlign w:val="superscript"/>
        </w:rPr>
      </w:pPr>
    </w:p>
    <w:p>
      <w:pPr>
        <w:jc w:val="both"/>
        <w:ind w:left="640" w:right="60" w:hanging="436"/>
        <w:spacing w:after="0" w:line="224" w:lineRule="auto"/>
        <w:tabs>
          <w:tab w:leader="none" w:pos="64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2" w:lineRule="exact"/>
        <w:rPr>
          <w:rFonts w:ascii="Arial" w:cs="Arial" w:eastAsia="Arial" w:hAnsi="Arial"/>
          <w:sz w:val="26"/>
          <w:szCs w:val="26"/>
          <w:color w:val="auto"/>
          <w:vertAlign w:val="superscript"/>
        </w:rPr>
      </w:pPr>
    </w:p>
    <w:p>
      <w:pPr>
        <w:ind w:left="640" w:hanging="436"/>
        <w:spacing w:after="0" w:line="180" w:lineRule="auto"/>
        <w:tabs>
          <w:tab w:leader="none" w:pos="64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Based on total share repurchase authorization in effect on August 4, 2019.</w:t>
      </w:r>
    </w:p>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5" w:right="7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jc w:val="center"/>
              <w:ind w:right="34"/>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8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80" w:type="dxa"/>
            <w:vAlign w:val="bottom"/>
          </w:tcPr>
          <w:p>
            <w:pPr>
              <w:spacing w:after="0"/>
              <w:rPr>
                <w:sz w:val="23"/>
                <w:szCs w:val="23"/>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Brian A. Jenkins, Chief Executive Officer of the Registrant, pursuant to 17 CFR 240.13a-14(a) or 17 CFR 240.15d-14(a).</w:t>
              </w:r>
            </w:hyperlink>
          </w:p>
        </w:tc>
        <w:tc>
          <w:tcPr>
            <w:tcW w:w="0" w:type="dxa"/>
            <w:vAlign w:val="bottom"/>
          </w:tcPr>
          <w:p>
            <w:pPr>
              <w:spacing w:after="0"/>
              <w:rPr>
                <w:sz w:val="1"/>
                <w:szCs w:val="1"/>
                <w:color w:val="auto"/>
              </w:rPr>
            </w:pPr>
          </w:p>
        </w:tc>
      </w:tr>
      <w:tr>
        <w:trPr>
          <w:trHeight w:val="304"/>
        </w:trPr>
        <w:tc>
          <w:tcPr>
            <w:tcW w:w="78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80" w:type="dxa"/>
            <w:vAlign w:val="bottom"/>
          </w:tcPr>
          <w:p>
            <w:pPr>
              <w:spacing w:after="0"/>
              <w:rPr>
                <w:sz w:val="24"/>
                <w:szCs w:val="24"/>
                <w:color w:val="auto"/>
              </w:rPr>
            </w:pPr>
          </w:p>
        </w:tc>
        <w:tc>
          <w:tcPr>
            <w:tcW w:w="9900" w:type="dxa"/>
            <w:vAlign w:val="bottom"/>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Scott J. Bowman, Chief Financial Officer of the Registrant, pursuant to 17 CFR 240.13a-14(a) or 17 CFR 240.15d-14(a).</w:t>
              </w:r>
            </w:hyperlink>
          </w:p>
        </w:tc>
        <w:tc>
          <w:tcPr>
            <w:tcW w:w="0" w:type="dxa"/>
            <w:vAlign w:val="bottom"/>
          </w:tcPr>
          <w:p>
            <w:pPr>
              <w:spacing w:after="0"/>
              <w:rPr>
                <w:sz w:val="1"/>
                <w:szCs w:val="1"/>
                <w:color w:val="auto"/>
              </w:rPr>
            </w:pPr>
          </w:p>
        </w:tc>
      </w:tr>
      <w:tr>
        <w:trPr>
          <w:trHeight w:val="304"/>
        </w:trPr>
        <w:tc>
          <w:tcPr>
            <w:tcW w:w="7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280" w:type="dxa"/>
            <w:vAlign w:val="bottom"/>
          </w:tcPr>
          <w:p>
            <w:pPr>
              <w:spacing w:after="0"/>
              <w:rPr>
                <w:sz w:val="24"/>
                <w:szCs w:val="24"/>
                <w:color w:val="auto"/>
              </w:rPr>
            </w:pPr>
          </w:p>
        </w:tc>
        <w:tc>
          <w:tcPr>
            <w:tcW w:w="9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Brian A. Jenkins, Chief Executive Officer of the Registrant, pursuant to 18 U.S.C. Section 1350, as adopted pursuant to</w:t>
              </w:r>
            </w:hyperlink>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906 of the Sarbanes-Oxley Act of 2002.</w:t>
              </w:r>
            </w:hyperlink>
          </w:p>
        </w:tc>
        <w:tc>
          <w:tcPr>
            <w:tcW w:w="6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280" w:type="dxa"/>
            <w:vAlign w:val="bottom"/>
          </w:tcPr>
          <w:p>
            <w:pPr>
              <w:spacing w:after="0"/>
              <w:rPr>
                <w:sz w:val="24"/>
                <w:szCs w:val="24"/>
                <w:color w:val="auto"/>
              </w:rPr>
            </w:pPr>
          </w:p>
        </w:tc>
        <w:tc>
          <w:tcPr>
            <w:tcW w:w="9900" w:type="dxa"/>
            <w:vAlign w:val="bottom"/>
            <w:gridSpan w:val="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 of Scott J. Bowman, Chief Financial Officer of the Registrant, pursuant to 18 U.S.C. Section 1350, as adopted pursuant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906 of the Sarbanes-Oxley Act of 2002.</w:t>
              </w:r>
            </w:hyperlink>
          </w:p>
        </w:tc>
        <w:tc>
          <w:tcPr>
            <w:tcW w:w="6260" w:type="dxa"/>
            <w:vAlign w:val="bottom"/>
            <w:tcBorders>
              <w:top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ind w:left="6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Interactive Data files.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right="3340" w:firstLine="58"/>
        <w:spacing w:after="0" w:line="449" w:lineRule="auto"/>
        <w:tabs>
          <w:tab w:leader="none" w:pos="12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-259080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September 10, 2019</w:t>
      </w:r>
      <w:r>
        <w:rPr>
          <w:sz w:val="20"/>
          <w:szCs w:val="20"/>
          <w:color w:val="auto"/>
        </w:rPr>
        <w:tab/>
      </w:r>
      <w:r>
        <w:rPr>
          <w:rFonts w:ascii="Arial" w:cs="Arial" w:eastAsia="Arial" w:hAnsi="Arial"/>
          <w:sz w:val="17"/>
          <w:szCs w:val="17"/>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Brian A. Jenkins</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September 10, 2019</w:t>
      </w:r>
      <w:r>
        <w:rPr>
          <w:sz w:val="20"/>
          <w:szCs w:val="20"/>
          <w:color w:val="auto"/>
        </w:rPr>
        <w:tab/>
      </w:r>
      <w:r>
        <w:rPr>
          <w:rFonts w:ascii="Arial" w:cs="Arial" w:eastAsia="Arial" w:hAnsi="Arial"/>
          <w:sz w:val="16"/>
          <w:szCs w:val="16"/>
          <w:color w:val="auto"/>
        </w:rPr>
        <w:t>By:  /s/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Scott J. Bowman</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365" w:right="4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160" w:hanging="54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September 10, 2019</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Brian A. Jenkins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160" w:hanging="54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80" w:right="560" w:hanging="54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September 10, 2019</w:t>
      </w:r>
      <w:r>
        <w:rPr>
          <w:sz w:val="20"/>
          <w:szCs w:val="20"/>
          <w:color w:val="auto"/>
        </w:rPr>
        <w:tab/>
      </w:r>
      <w:r>
        <w:rPr>
          <w:rFonts w:ascii="Arial" w:cs="Arial" w:eastAsia="Arial" w:hAnsi="Arial"/>
          <w:sz w:val="16"/>
          <w:szCs w:val="16"/>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Scott J. Bowman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121"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4, 2019 as filed with the Securities and Exchange Commission on the date hereof (the “Report”), I, Brian A. Jenkins, Chief Executive Officer of the Company, certify, pursuant to 18 U.S.C. Section 1350, that:</w:t>
      </w:r>
    </w:p>
    <w:p>
      <w:pPr>
        <w:spacing w:after="0" w:line="87" w:lineRule="exact"/>
        <w:rPr>
          <w:sz w:val="20"/>
          <w:szCs w:val="20"/>
          <w:color w:val="auto"/>
        </w:rPr>
      </w:pPr>
    </w:p>
    <w:p>
      <w:pPr>
        <w:ind w:left="980" w:right="38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4, 2019 as filed with the Securities and Exchange Commission on the date hereof (the “Report”), I, Scott J. Bowman, Chief Financial Officer of the Company, certify, pursuant to 18 U.S.C. Section 1350, that:</w:t>
      </w:r>
    </w:p>
    <w:p>
      <w:pPr>
        <w:spacing w:after="0" w:line="87" w:lineRule="exact"/>
        <w:rPr>
          <w:sz w:val="20"/>
          <w:szCs w:val="20"/>
          <w:color w:val="auto"/>
        </w:rPr>
      </w:pPr>
    </w:p>
    <w:p>
      <w:pPr>
        <w:ind w:left="980" w:right="38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endash "/>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2019-12-28T06:10:00Z</dcterms:created>
  <dcterms:modified xsi:type="dcterms:W3CDTF">2019-12-28T06:10:00Z</dcterms:modified>
</cp:coreProperties>
</file>