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spacing w:after="0"/>
              <w:rPr>
                <w:sz w:val="18"/>
                <w:szCs w:val="18"/>
                <w:color w:val="auto"/>
              </w:rPr>
            </w:pPr>
          </w:p>
        </w:tc>
        <w:tc>
          <w:tcPr>
            <w:tcW w:w="3720" w:type="dxa"/>
            <w:vAlign w:val="bottom"/>
            <w:gridSpan w:val="3"/>
          </w:tcPr>
          <w:p>
            <w:pPr>
              <w:jc w:val="right"/>
              <w:ind w:right="2164"/>
              <w:spacing w:after="0"/>
              <w:rPr>
                <w:sz w:val="20"/>
                <w:szCs w:val="20"/>
                <w:color w:val="auto"/>
              </w:rPr>
            </w:pPr>
            <w:r>
              <w:rPr>
                <w:rFonts w:ascii="Times New Roman" w:cs="Times New Roman" w:eastAsia="Times New Roman" w:hAnsi="Times New Roman"/>
                <w:sz w:val="18"/>
                <w:szCs w:val="18"/>
                <w:b w:val="1"/>
                <w:bCs w:val="1"/>
                <w:color w:val="auto"/>
              </w:rPr>
              <w:t>35-2382255</w:t>
            </w:r>
          </w:p>
        </w:tc>
        <w:tc>
          <w:tcPr>
            <w:tcW w:w="0" w:type="dxa"/>
            <w:vAlign w:val="bottom"/>
          </w:tcPr>
          <w:p>
            <w:pPr>
              <w:spacing w:after="0"/>
              <w:rPr>
                <w:sz w:val="1"/>
                <w:szCs w:val="1"/>
                <w:color w:val="auto"/>
              </w:rPr>
            </w:pPr>
          </w:p>
        </w:tc>
      </w:tr>
      <w:tr>
        <w:trPr>
          <w:trHeight w:val="190"/>
        </w:trPr>
        <w:tc>
          <w:tcPr>
            <w:tcW w:w="468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(I.R.S. Employer ID)</w:t>
            </w:r>
          </w:p>
        </w:tc>
        <w:tc>
          <w:tcPr>
            <w:tcW w:w="0" w:type="dxa"/>
            <w:vAlign w:val="bottom"/>
          </w:tcPr>
          <w:p>
            <w:pPr>
              <w:spacing w:after="0"/>
              <w:rPr>
                <w:sz w:val="1"/>
                <w:szCs w:val="1"/>
                <w:color w:val="auto"/>
              </w:rPr>
            </w:pPr>
          </w:p>
        </w:tc>
      </w:tr>
      <w:tr>
        <w:trPr>
          <w:trHeight w:val="309"/>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1221 Beltline Rd., Coppell, Texas, 75019</w:t>
            </w:r>
          </w:p>
        </w:tc>
        <w:tc>
          <w:tcPr>
            <w:tcW w:w="2620" w:type="dxa"/>
            <w:vAlign w:val="bottom"/>
          </w:tcPr>
          <w:p>
            <w:pPr>
              <w:spacing w:after="0"/>
              <w:rPr>
                <w:sz w:val="24"/>
                <w:szCs w:val="24"/>
                <w:color w:val="auto"/>
              </w:rPr>
            </w:pPr>
          </w:p>
        </w:tc>
        <w:tc>
          <w:tcPr>
            <w:tcW w:w="3720" w:type="dxa"/>
            <w:vAlign w:val="bottom"/>
            <w:gridSpan w:val="3"/>
          </w:tcPr>
          <w:p>
            <w:pPr>
              <w:jc w:val="right"/>
              <w:ind w:right="2044"/>
              <w:spacing w:after="0"/>
              <w:rPr>
                <w:sz w:val="20"/>
                <w:szCs w:val="20"/>
                <w:color w:val="auto"/>
              </w:rPr>
            </w:pPr>
            <w:r>
              <w:rPr>
                <w:rFonts w:ascii="Times New Roman" w:cs="Times New Roman" w:eastAsia="Times New Roman" w:hAnsi="Times New Roman"/>
                <w:sz w:val="18"/>
                <w:szCs w:val="18"/>
                <w:b w:val="1"/>
                <w:bCs w:val="1"/>
                <w:color w:val="auto"/>
              </w:rPr>
              <w:t>(214) 357-9588</w:t>
            </w:r>
          </w:p>
        </w:tc>
        <w:tc>
          <w:tcPr>
            <w:tcW w:w="0" w:type="dxa"/>
            <w:vAlign w:val="bottom"/>
          </w:tcPr>
          <w:p>
            <w:pPr>
              <w:spacing w:after="0"/>
              <w:rPr>
                <w:sz w:val="1"/>
                <w:szCs w:val="1"/>
                <w:color w:val="auto"/>
              </w:rPr>
            </w:pPr>
          </w:p>
        </w:tc>
      </w:tr>
      <w:tr>
        <w:trPr>
          <w:trHeight w:val="190"/>
        </w:trPr>
        <w:tc>
          <w:tcPr>
            <w:tcW w:w="468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620" w:type="dxa"/>
            <w:vAlign w:val="bottom"/>
          </w:tcPr>
          <w:p>
            <w:pPr>
              <w:spacing w:after="0"/>
              <w:rPr>
                <w:sz w:val="16"/>
                <w:szCs w:val="16"/>
                <w:color w:val="auto"/>
              </w:rPr>
            </w:pPr>
          </w:p>
        </w:tc>
        <w:tc>
          <w:tcPr>
            <w:tcW w:w="3720" w:type="dxa"/>
            <w:vAlign w:val="bottom"/>
            <w:gridSpan w:val="3"/>
          </w:tcPr>
          <w:p>
            <w:pPr>
              <w:jc w:val="center"/>
              <w:ind w:right="1564"/>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8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vMerge w:val="restart"/>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680" w:type="dxa"/>
            <w:vAlign w:val="bottom"/>
            <w:gridSpan w:val="3"/>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20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0"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1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September 1, 2022, the registrant had 48,235,675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JULY 31, 2022</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860" w:type="dxa"/>
            <w:vAlign w:val="bottom"/>
            <w:vMerge w:val="continue"/>
          </w:tcPr>
          <w:p>
            <w:pPr>
              <w:spacing w:after="0"/>
              <w:rPr>
                <w:sz w:val="15"/>
                <w:szCs w:val="15"/>
                <w:color w:val="auto"/>
              </w:rPr>
            </w:pPr>
          </w:p>
        </w:tc>
        <w:tc>
          <w:tcPr>
            <w:tcW w:w="9800" w:type="dxa"/>
            <w:vAlign w:val="bottom"/>
            <w:gridSpan w:val="10"/>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60" w:type="dxa"/>
            <w:vAlign w:val="bottom"/>
            <w:gridSpan w:val="6"/>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6"/>
          </w:tcPr>
          <w:p>
            <w:pPr>
              <w:spacing w:after="0"/>
              <w:rPr>
                <w:sz w:val="17"/>
                <w:szCs w:val="17"/>
                <w:color w:val="auto"/>
              </w:rPr>
            </w:pPr>
          </w:p>
        </w:tc>
        <w:tc>
          <w:tcPr>
            <w:tcW w:w="54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6460" w:type="dxa"/>
            <w:vAlign w:val="bottom"/>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assets: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100,386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$972,301 and $908,536 accumulated depreciation as of July 31, 2022 and January 30, 2022,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1,149,632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1,330,468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1,037,197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20" w:type="dxa"/>
            <w:vAlign w:val="bottom"/>
          </w:tcPr>
          <w:p>
            <w:pPr>
              <w:spacing w:after="0"/>
              <w:rPr>
                <w:sz w:val="20"/>
                <w:szCs w:val="20"/>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3,650,740</w:t>
            </w:r>
          </w:p>
        </w:tc>
        <w:tc>
          <w:tcPr>
            <w:tcW w:w="20" w:type="dxa"/>
            <w:vAlign w:val="bottom"/>
            <w:vMerge w:val="restart"/>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2,345,790</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vMerge w:val="restart"/>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1,599,417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1,277,539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1,219,678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431,395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4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62,214,255 shares at July 31, 2022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61,563,613 shares at January 30, 2022; outstanding: 48,226,654 shares at July 31, 2022 and 48,489,935 shares at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January 30, 2022</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548,776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Treasury stock, 13,987,601 and 13,073,678 shares as of July 31, 2022 and January 30, 2022, respectively</w:t>
            </w: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(637,209)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(605,435)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335,131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0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275,460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3,650,740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2,345,790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7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6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254,632</w:t>
            </w:r>
          </w:p>
        </w:tc>
      </w:tr>
      <w:tr>
        <w:trPr>
          <w:trHeight w:val="27"/>
        </w:trPr>
        <w:tc>
          <w:tcPr>
            <w:tcW w:w="6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377,638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46,461</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33,127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29,075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24,584</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2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75,536</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57,711</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113,674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142,440</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105,116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37,710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18,470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38,614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34,875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1,676</w:t>
            </w: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2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411,887</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298,471</w:t>
            </w:r>
          </w:p>
        </w:tc>
        <w:tc>
          <w:tcPr>
            <w:tcW w:w="120" w:type="dxa"/>
            <w:vAlign w:val="bottom"/>
          </w:tcPr>
          <w:p>
            <w:pPr>
              <w:spacing w:after="0"/>
              <w:rPr>
                <w:sz w:val="20"/>
                <w:szCs w:val="20"/>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56,472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79,167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17,118</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13,728</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65,439</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8,787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12,669</w:t>
            </w: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52,770</w:t>
            </w:r>
          </w:p>
        </w:tc>
        <w:tc>
          <w:tcPr>
            <w:tcW w:w="120" w:type="dxa"/>
            <w:vAlign w:val="bottom"/>
          </w:tcPr>
          <w:p>
            <w:pPr>
              <w:spacing w:after="0"/>
              <w:rPr>
                <w:sz w:val="20"/>
                <w:szCs w:val="20"/>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r>
      <w:tr>
        <w:trPr>
          <w:trHeight w:val="27"/>
        </w:trPr>
        <w:tc>
          <w:tcPr>
            <w:tcW w:w="6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54,127</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3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34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48,831,639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48,178,611</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49,271,521</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49,229,817</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8"/>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8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308,907</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610,553</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434,214</w:t>
            </w:r>
          </w:p>
        </w:tc>
      </w:tr>
      <w:tr>
        <w:trPr>
          <w:trHeight w:val="27"/>
        </w:trPr>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919,460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642,978</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89,716</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56,284</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55,841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41,198</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207,035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266,865</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189,561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66,007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35,561</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71,902</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69,974</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3,335</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764,276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526,815</w:t>
            </w:r>
          </w:p>
        </w:tc>
        <w:tc>
          <w:tcPr>
            <w:tcW w:w="60" w:type="dxa"/>
            <w:vAlign w:val="bottom"/>
          </w:tcPr>
          <w:p>
            <w:pPr>
              <w:spacing w:after="0"/>
              <w:rPr>
                <w:sz w:val="20"/>
                <w:szCs w:val="20"/>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155,184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116,163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28,509</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28,548</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125,196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15,210</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6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2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2,743</w:t>
            </w:r>
          </w:p>
        </w:tc>
      </w:tr>
      <w:tr>
        <w:trPr>
          <w:trHeight w:val="27"/>
        </w:trPr>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2,789</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75,194</w:t>
            </w:r>
          </w:p>
        </w:tc>
        <w:tc>
          <w:tcPr>
            <w:tcW w:w="6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48,705,956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47,937,158</w:t>
            </w:r>
          </w:p>
        </w:tc>
      </w:tr>
      <w:tr>
        <w:trPr>
          <w:trHeight w:val="193"/>
        </w:trPr>
        <w:tc>
          <w:tcPr>
            <w:tcW w:w="80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6"/>
                <w:szCs w:val="16"/>
                <w:color w:val="auto"/>
              </w:rPr>
            </w:pPr>
          </w:p>
        </w:tc>
        <w:tc>
          <w:tcPr>
            <w:tcW w:w="1680" w:type="dxa"/>
            <w:vAlign w:val="bottom"/>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color w:val="auto"/>
              </w:rPr>
              <w:t>49,357,051</w:t>
            </w:r>
          </w:p>
        </w:tc>
        <w:tc>
          <w:tcPr>
            <w:tcW w:w="100" w:type="dxa"/>
            <w:vAlign w:val="bottom"/>
          </w:tcPr>
          <w:p>
            <w:pPr>
              <w:spacing w:after="0"/>
              <w:rPr>
                <w:sz w:val="16"/>
                <w:szCs w:val="16"/>
                <w:color w:val="auto"/>
              </w:rPr>
            </w:pPr>
          </w:p>
        </w:tc>
        <w:tc>
          <w:tcPr>
            <w:tcW w:w="110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49,272,693</w:t>
            </w:r>
          </w:p>
        </w:tc>
      </w:tr>
      <w:tr>
        <w:trPr>
          <w:trHeight w:val="153"/>
        </w:trPr>
        <w:tc>
          <w:tcPr>
            <w:tcW w:w="8020" w:type="dxa"/>
            <w:vAlign w:val="bottom"/>
          </w:tcPr>
          <w:p>
            <w:pPr>
              <w:jc w:val="right"/>
              <w:ind w:right="2411"/>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4"/>
        </w:trPr>
        <w:tc>
          <w:tcPr>
            <w:tcW w:w="80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8020" w:type="dxa"/>
            <w:vAlign w:val="bottom"/>
          </w:tcPr>
          <w:p>
            <w:pPr>
              <w:jc w:val="right"/>
              <w:ind w:right="239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(UNAUDITED) </w:t>
      </w: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 July 31, 2022</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40" w:type="dxa"/>
            <w:vAlign w:val="bottom"/>
          </w:tcPr>
          <w:p>
            <w:pPr>
              <w:spacing w:after="0"/>
              <w:rPr>
                <w:sz w:val="10"/>
                <w:szCs w:val="10"/>
                <w:color w:val="auto"/>
              </w:rPr>
            </w:pPr>
          </w:p>
        </w:tc>
        <w:tc>
          <w:tcPr>
            <w:tcW w:w="82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May 1, 2022</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61,817,849</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$557,977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13,099,392</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$(606,669)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$ 402,115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$351,742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29,088</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29,088</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1,372</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396,406</w:t>
            </w:r>
          </w:p>
        </w:tc>
        <w:tc>
          <w:tcPr>
            <w:tcW w:w="2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888,209</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(30,540)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(30,540)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July 31, 2022</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62,214,255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562,671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13,987,601</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(637,209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431,203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356,379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August 1, 2021</w:t>
            </w: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Borders>
              <w:bottom w:val="single" w:sz="8" w:color="auto"/>
            </w:tcBorders>
            <w:gridSpan w:val="7"/>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40" w:type="dxa"/>
            <w:vAlign w:val="bottom"/>
          </w:tcPr>
          <w:p>
            <w:pPr>
              <w:spacing w:after="0"/>
              <w:rPr>
                <w:sz w:val="10"/>
                <w:szCs w:val="10"/>
                <w:color w:val="auto"/>
              </w:rPr>
            </w:pPr>
          </w:p>
        </w:tc>
        <w:tc>
          <w:tcPr>
            <w:tcW w:w="82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May 2, 2021</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60,691,906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$535,768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12,847,298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$(596,206)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$178,642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52,770</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52,770</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1,372</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584,567</w:t>
            </w:r>
          </w:p>
        </w:tc>
        <w:tc>
          <w:tcPr>
            <w:tcW w:w="8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172,800</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August 1, 2021</w:t>
            </w:r>
          </w:p>
        </w:tc>
        <w:tc>
          <w:tcPr>
            <w:tcW w:w="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61,276,473</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540,348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13,020,098</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(603,686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298,896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(UNAUDITED) </w:t>
      </w:r>
      <w:r>
        <w:rPr>
          <w:rFonts w:ascii="Times New Roman" w:cs="Times New Roman" w:eastAsia="Times New Roman" w:hAnsi="Times New Roman"/>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 July 31, 2022</w:t>
            </w: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61,563,613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$548,776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13,073,678</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$(605,435)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$275,460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96,072</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96,072</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2,743</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650,642</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5,642</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5,648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913,923</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(31,774)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(31,774)</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July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62,214,255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562,671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13,987,601</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(637,209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431,203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356,379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 August 1, 2021</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280" w:type="dxa"/>
            <w:vAlign w:val="bottom"/>
            <w:vMerge w:val="restart"/>
          </w:tcPr>
          <w:p>
            <w:pPr>
              <w:spacing w:after="0"/>
              <w:rPr>
                <w:sz w:val="10"/>
                <w:szCs w:val="10"/>
                <w:color w:val="auto"/>
              </w:rPr>
            </w:pP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0"/>
                <w:szCs w:val="10"/>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Amt.</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60,488,833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$531,191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12,842,227</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$(595,970)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$153,232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72,405</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72,405</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2,743</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787,640</w:t>
            </w:r>
          </w:p>
        </w:tc>
        <w:tc>
          <w:tcPr>
            <w:tcW w:w="2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177,871</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August 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61,276,473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540,348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13,020,098</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(603,686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298,896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8"/>
        </w:trPr>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7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96,072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72,405</w:t>
            </w: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71,902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69,974</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18,892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(4,723)</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6,158</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acquired assets and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30,239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18,425</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(2,503)</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(20,336)</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(4,918)</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26,871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39,187</w:t>
            </w:r>
          </w:p>
        </w:tc>
      </w:tr>
      <w:tr>
        <w:trPr>
          <w:trHeight w:val="216"/>
        </w:trPr>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2,198</w:t>
            </w:r>
          </w:p>
        </w:tc>
      </w:tr>
      <w:tr>
        <w:trPr>
          <w:trHeight w:val="216"/>
        </w:trPr>
        <w:tc>
          <w:tcPr>
            <w:tcW w:w="7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(4,874)</w:t>
            </w: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233,057</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198,088</w:t>
            </w:r>
          </w:p>
        </w:tc>
        <w:tc>
          <w:tcPr>
            <w:tcW w:w="120" w:type="dxa"/>
            <w:vAlign w:val="bottom"/>
          </w:tcPr>
          <w:p>
            <w:pPr>
              <w:spacing w:after="0"/>
              <w:rPr>
                <w:sz w:val="20"/>
                <w:szCs w:val="20"/>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(99,889)</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(37,915)</w:t>
            </w: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(822,752)</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(922,207)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(37,469)</w:t>
            </w: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821,500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37,000</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(17,748)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share repurchase program</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(25,015)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(7,716)</w:t>
            </w:r>
          </w:p>
        </w:tc>
      </w:tr>
      <w:tr>
        <w:trPr>
          <w:trHeight w:val="27"/>
        </w:trPr>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763,626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(64,709)</w:t>
            </w: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95,910</w:t>
            </w:r>
          </w:p>
        </w:tc>
        <w:tc>
          <w:tcPr>
            <w:tcW w:w="120" w:type="dxa"/>
            <w:vAlign w:val="bottom"/>
          </w:tcPr>
          <w:p>
            <w:pPr>
              <w:spacing w:after="0"/>
              <w:rPr>
                <w:sz w:val="19"/>
                <w:szCs w:val="19"/>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25,910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11,891</w:t>
            </w: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100,386</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107,801</w:t>
            </w:r>
          </w:p>
        </w:tc>
        <w:tc>
          <w:tcPr>
            <w:tcW w:w="12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fixed asset 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2,745</w:t>
            </w:r>
          </w:p>
        </w:tc>
      </w:tr>
      <w:tr>
        <w:trPr>
          <w:trHeight w:val="216"/>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(refund received) for income taxes,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(20,630)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r>
      <w:tr>
        <w:trPr>
          <w:trHeight w:val="234"/>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22,021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22,978</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500" w:right="252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Coppell, Texas, is a leading operator of high-volume entertainment and dining venues (“stores”) in North America for adults and families.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June 29, 2022 (the “Closing Date”), the Company completed its previously announced acquisition (the “Main Event Acquisition” or “the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REB ME Series 2019 Investor Aggregator LP and RedBird Series 2019 GP Co-Invest, LP.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further details.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first and second quarters of fiscal 2022, the Company opened one Dave &amp; Buster’s store located in Sioux Falls, South Dakota and three Dave &amp; Buster’s stores located in Brooklyn (Atlantic Center), New York, Modesto, California, and Augusta, Georgia, respectively. As of July 31, 2022, the Company owned and operated 148 Dave &amp; Buster’s stores located in 41 states, Puerto Rico and one Canadian province and 49 Main Event and 3 The Summit stores (collectively referred to as “Main Event”), located in 17 states.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two operating units aggregated into one reportable segment. The Company operates on a 52 or 53-week fiscal year that ends on the Sunday after the Saturday closest to January 31. Each quarterly period reported has 13 weeks. Fiscal 2022 and 2021, which end on January 29, 2023, and January 30, 2022, respectively, contain 52 weeks.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30, 2022, included in our Annual Report on Form 10-K as filed with the SEC.</w:t>
      </w:r>
    </w:p>
    <w:p>
      <w:pPr>
        <w:spacing w:after="0" w:line="18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twenty-six weeks ended July 31, 2022 are not necessarily indicative of results that may be expected for any other interim period or for the fiscal year ending January 29, 2023.</w:t>
      </w:r>
    </w:p>
    <w:p>
      <w:pPr>
        <w:spacing w:after="0" w:line="160"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A book overdraft of $16,673 is presented in “Accounts payable” in the Consolidated Balance Sheets as of January 30, 2022. There was no book overdraft as of July 31, 2022. Changes in the book overdraft position are presented within “Net cash provided by operating activities” within the Consolidated Statements of Cash Flows.</w:t>
      </w:r>
    </w:p>
    <w:p>
      <w:pPr>
        <w:spacing w:after="0" w:line="182"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82"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 of our senior secured notes was $445,271 and $456,204 as of July 31, 2022 and January 30, 2022, respectively. The fair value of the Company’s term note was $881,343 as of July 31, 2022. The fair value of the Company’s debt is determined based on a discounted cash flow method, using a sector-specific yield curve based on market-derived, trade price data as of the measurement date, and is classified as a Level Two input within the fair value hierarchy.</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also measures certain non-financial assets (primarily property and equipment, right-of-use (“ROU”) assets, goodwill, tradenames, and other assets) at fair value on a non-recurring basis in connection with its periodic evaluations of such assets for potential impairment. During the second quarter of fiscal 2022, an impairment of $1,841 was recognized related to Main Event’s corporate headquarters lease, which will be abandoned, and was included in “General and administrative expenses” in the Consolidated Statements of Comprehensive Income. During the first quarter of fiscal 2022, there were no impairments recognized.</w:t>
      </w:r>
    </w:p>
    <w:p>
      <w:pPr>
        <w:spacing w:after="0" w:line="17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swaps </w:t>
      </w:r>
      <w:r>
        <w:rPr>
          <w:rFonts w:ascii="Times New Roman" w:cs="Times New Roman" w:eastAsia="Times New Roman" w:hAnsi="Times New Roman"/>
          <w:sz w:val="17"/>
          <w:szCs w:val="17"/>
          <w:color w:val="auto"/>
        </w:rPr>
        <w:t>— Effective February 28, 2019, the Company entered into three interest rate swap agreements to manage our exposure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rate movements on our variable rate credit facility. The notional amount of the swap agreements, which mature August 17, 2022, totals $350,000 and the fixed rate of interest for all agreements is 2.47%. Effective April 14, 2020, the Company amended its existing credit facility agreement to obtain relief from its financial covenants, and as a result, the variable interest rate terms were modified to create an interest rate floor of 1.00%. Accordingly, the Company discontinued the hedging relationship as of April 14, 2020 (de-designation date), and the Company is reclassifying its accumulated other comprehensive loss of $17,609 as of the de-designation date into “Interest expense, net” using a straight-line approach over the remaining life of the originally designated hedging relationship. Effective June 16, 2022, one of the three interest rate swap agreements was terminated before maturity. As of July 31, 2022, the unamortized balance to be reclassified is $314. Effective with the de-designation, any gain or loss on the derivatives are recognized in earnings in the period in which the change occurs. For the twenty-six weeks ended July 31, 2022 and August 1, 2021, a gain of $677 and a loss of $88, respectively, were recognized, which are included in “Other store operating expenses” in the Consolidated Statements of Comprehensive Income.</w:t>
      </w:r>
    </w:p>
    <w:p>
      <w:pPr>
        <w:spacing w:after="0" w:line="17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outstanding interest rate swap derivatives liability was $30 and $3,823 as of July 31, 2022 and January 30, 2022, respectively, and the balance is included in “Accrued liabilities” in the Consolidated Balance Sheets. The following table summarizes the activity in accumulated other comprehensive loss related to our derivative instruments: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82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58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100" w:type="dxa"/>
            <w:vAlign w:val="bottom"/>
          </w:tcPr>
          <w:p>
            <w:pPr>
              <w:spacing w:after="0"/>
              <w:rPr>
                <w:sz w:val="12"/>
                <w:szCs w:val="12"/>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reclassified or amortized into interest expense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w:t>
            </w:r>
          </w:p>
        </w:tc>
        <w:tc>
          <w:tcPr>
            <w:tcW w:w="7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(1,031)</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17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Amusement revenues are primarily recognized upon utilization of game play credits on power cards purchased and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customers to activate video and redemption games. Redemption games allow customers to earn tickets, which may be redeemed for prizes.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twenty-six weeks ended July 31, 2022, we recognized revenue of approximately $11,700 and $30,800, respectively, related to the amount in deferred amusement revenue as of the end of fiscal 2021 (or as of the Closing Date of the Acquisition).</w:t>
      </w:r>
    </w:p>
    <w:p>
      <w:pPr>
        <w:spacing w:after="0" w:line="18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twenty-six weeks ended July 31, 2022, we recognized revenue of approximately $1,200 and $3,300 respectively, related to the amount in deferred gift card revenue as of the end of fiscal 2021 (or as of the Closing Date of the Acquisition), of which approximately $140 and $430, respectively, was breakage revenue.</w:t>
      </w:r>
    </w:p>
    <w:p>
      <w:pPr>
        <w:spacing w:after="0" w:line="17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equity </w:t>
      </w:r>
      <w:r>
        <w:rPr>
          <w:rFonts w:ascii="Times New Roman" w:cs="Times New Roman" w:eastAsia="Times New Roman" w:hAnsi="Times New Roman"/>
          <w:sz w:val="18"/>
          <w:szCs w:val="18"/>
          <w:color w:val="auto"/>
        </w:rPr>
        <w:t>— In our consolidated financial statements, the Company treats shares withheld for tax purposes on behalf of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vesting of time-based and performance restricted stock units as common stock repurchases because they reduce the number of shares that would have been issued upon vesting. During the twenty-six weeks ended July 31, 2022 and August 1, 2021, respectively, we withheld 148,935 and 177,871 shares of common stock to satisfy $6,759 and $7,716 of employees’ tax obligations, respectively.</w:t>
      </w:r>
    </w:p>
    <w:p>
      <w:pPr>
        <w:spacing w:after="0" w:line="176"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(loss) per share is computed by dividing net income available to common shareholders by the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for the reporting period. Diluted net income per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 For the thirteen weeks ended July 31, 2022 and August 1, 2021, the Company excluded anti-dilutive awards from the calculation of approximately 291,678 and 164,811, respectively. For the twenty-six weeks ended July 31, 2022, and August 1, 2021, the Company excluded anti-dilutive awards from the calculation of approximately 177,847 and 134,177, respectively. Basic weighted average shares outstanding are reconciled to diluted weighted average shares outstanding as follows:</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74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40" w:type="dxa"/>
            <w:vAlign w:val="bottom"/>
          </w:tcPr>
          <w:p>
            <w:pPr>
              <w:spacing w:after="0"/>
              <w:rPr>
                <w:sz w:val="12"/>
                <w:szCs w:val="12"/>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48,831,639</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48,178,611</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48,705,956</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47,937,158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439,882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1,051,206</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651,095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1,335,535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49,271,521</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49,229,817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49,357,051</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49,272,693</w:t>
            </w:r>
          </w:p>
        </w:tc>
      </w:tr>
    </w:tbl>
    <w:p>
      <w:pPr>
        <w:spacing w:after="0" w:line="194"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We reviewed the accounting pronouncements that became effective for our fiscal year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that either they were not applicable, or they did not have a material impact on the consolidated financial statements. We also reviewed the recently issued accounting pronouncements to be adopted in future periods and determined that they are not expected to have a material impact on the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29, 2022, the Company acquired Main Event for approximately $837,380 in net cash and contingent consideration. Dallas-based Main Event, which debuted in 1998, is also focused on food, drinks, and games, largely for the demographic target of families with young children. The acquisition is expected to put the Company in a strategic position for accelerated, profitable growth in both brands as well as create cost synergies with our Dave &amp; Buster’s brand.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Main Event Acquisition was made at a price above the determined fair value of the acquired identifiable net assets, resulting in goodwill, primarily due to expectations of the synergies that will be realized by combining the businesses and the benefits that will be gained from the assembled workforce. These synergies include the elimination of redundant facilities, functions, and staffing. None of the goodwill recorded from this business combination is expected to be tax deductible.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with assets acquired and liabilities assumed recorded at fair value, and the results of Main Event have been included in the accompanying financial statements from June 29, 2022, the date of acquisition. Acquisition transaction costs totaling approximately $12,200 are recorded in general and administrative expenses as incurred.</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summarizes the purchase consideration paid, which consisted of cash consideration of $835,000 (adjusted for cash on hand, payment of certain Ardent US liabilities and other normal closing adjustments), resulting in gross cash consideration paid of $857,293. The final cash consideration is subject to normal post-closing adjustments, with settlement occurring no later than 90 days after the Closing Date.</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482"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purchase price and net assets acquired in the Main Event Acquisition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gridSpan w:val="2"/>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consideration</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$857,293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(1)</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acquired</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(34,541)</w:t>
            </w:r>
          </w:p>
        </w:tc>
      </w:tr>
      <w:tr>
        <w:trPr>
          <w:trHeight w:val="26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837,380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6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339,046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285,422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Tradenames</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111,100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312,193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shd w:val="clear" w:color="auto" w:fill="CCEEFF"/>
          </w:tcPr>
          <w:p>
            <w:pPr>
              <w:spacing w:after="0"/>
              <w:rPr>
                <w:sz w:val="18"/>
                <w:szCs w:val="18"/>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 excluding goodwill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381,315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456,065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5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obligation to pay, in cash, an aggregate amount equal to any “Transaction Tax Benefits,” with respect to any taxable year of the Company after the Closing Date ending on or before December 31, 2028, including the current taxable year. Transaction Tax Benefits is generally defined as any reduction in the Company’s liabilities for U.S. federal and state income taxes due to the use of net operating losses generated prior to the Closing Date. The contingent consideration could range from $0 (if no Transaction Tax Benefits are achieved) to a cap, as defined in the Merger Agreement of approximately $14,600 and will be paid to the selling shareholders in cash. The contingent consideration was initially valued based on the maximum amount provided in the Merger Agreement pending completion of the valuation analysis.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for the Acquisition was based on estimates of the fair value of the net assets acquired and are subject to adjustment for up to one year upon finalization, largely with respect to acquired property and equipment; lease assets and liabilities; deferred taxes; and contingent consideration. Measurements of these items inherently require significant estimates and assumptions considered to be Level Three fair value estimates.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fair values of property and equipment were determined using a cost approach that utilized the Replacement Cost New methodology. Key inputs and assumptions include current cost estimates, functional and economic obsolescence. The fair values of the real estate leases were determined using a market approach that utilized the Above-Below Regression methodology. Key inputs and assumptions include mean rental rates (based on metrics such as rent/revenue and operating cash flow/revenue) and discount rate. The fair value of the tradename was determined using an income approach that utilized the Relief from Royalty methodology. Key inputs and assumptions include the Company’s projected future EBITDA, royalty rates, discount rate, and long-term growth rate.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preliminary fair values of acquisition-related intangible assets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Useful Life(Yrs)</w:t>
            </w:r>
          </w:p>
        </w:tc>
      </w:tr>
      <w:tr>
        <w:trPr>
          <w:trHeight w:val="20"/>
        </w:trPr>
        <w:tc>
          <w:tcPr>
            <w:tcW w:w="5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Favorable/unfavorable lease contracts, net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shd w:val="clear" w:color="auto" w:fill="CCEEFF"/>
          </w:tcPr>
          <w:p>
            <w:pPr>
              <w:spacing w:after="0"/>
              <w:rPr>
                <w:sz w:val="18"/>
                <w:szCs w:val="18"/>
                <w:color w:val="auto"/>
              </w:rPr>
            </w:pPr>
          </w:p>
        </w:tc>
      </w:tr>
      <w:tr>
        <w:trPr>
          <w:trHeight w:val="23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Tradenames</w:t>
            </w:r>
          </w:p>
        </w:tc>
        <w:tc>
          <w:tcPr>
            <w:tcW w:w="20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111,100</w:t>
            </w:r>
          </w:p>
        </w:tc>
        <w:tc>
          <w:tcPr>
            <w:tcW w:w="4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Indefinite</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119,794</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preliminary allocation of the purchase price consideration is based on preliminary valuations performed to determine the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net assets as of the Closing Date. The Company has conducted a preliminary assessment of the valuations and has recognized provisional deferred income tax amounts in its preliminary allocation for the identified assets and liabilities. However, the Company is continuing its procedures to identify information pertaining to these matters during the measurement period. If new information is obtained about facts and circumstances that existed at the Closing Date, the Company will either adjust its measurement of provisional deferred income tax amounts or recognize and measure assets and liabilities not previously identified.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reflect the Acquisition as if it had occurred on February 1, 2021,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unaudited pro forma information provides the effect of the Main Event Acquisition as if the acquisition had occurred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2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40" w:type="dxa"/>
            <w:vAlign w:val="bottom"/>
          </w:tcPr>
          <w:p>
            <w:pPr>
              <w:spacing w:after="0"/>
              <w:rPr>
                <w:sz w:val="12"/>
                <w:szCs w:val="12"/>
                <w:color w:val="auto"/>
              </w:rPr>
            </w:pPr>
          </w:p>
        </w:tc>
      </w:tr>
      <w:tr>
        <w:trPr>
          <w:trHeight w:val="209"/>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544,554</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1,120,074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841,351</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12,621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84,822</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69,572</w:t>
            </w: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Main Event’s revenues and net income attributable to the Company in the thirteen and twenty-six weeks ended July 31, 2022, subsequent to the acquisition date, were $51,405 and $5,668, respectively.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historical consolidated financial information of the Company and Main Event has been adjusted in the pro forma information to give effect to pro forma events that are directly attributable to the acquisitions and related financing arrangements and are factually supportable.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 Net</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Goodwill is evaluated at the level of the Company’s single operating segment, which also represents the Company’s only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Goodwill is not subject to amortization and is evaluated for impairment annually or more frequently if an event occurs or circumstances change that would more likely than not reduce the fair value below carrying amount. Such events or circumstances generally include the occurrence of operating losses or a significant decline in earnings. The Company is permitted to first assess qualitative factors to determine whether the quantitative goodwill impairment test is necessary. If the qualitative assessment results in a determination that the fair value is more likely than not less than carrying amount, the Company performs a quantitative goodwill impairment test. The Company may bypass the qualitative assessment in any period and proceed directly to the goodwill impairment test. The Company estimates fair value by using forecasts of discounted future cash flows and peer market multiples. The Company would record an impairment charge based on the excess of the carrying amount over fair value (limited to the amount of goodwill). The Company determined that no impairments existed in periods reflected. The carrying amount of goodwill is impacted by foreign currency translation adjustments.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fiscal 2022 and fiscal 2021 are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$272,597</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w:t>
            </w:r>
          </w:p>
        </w:tc>
        <w:tc>
          <w:tcPr>
            <w:tcW w:w="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272,597</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Main Event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456,065</w:t>
            </w:r>
          </w:p>
        </w:tc>
        <w:tc>
          <w:tcPr>
            <w:tcW w:w="4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728,664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07" w:lineRule="exact"/>
        <w:rPr>
          <w:sz w:val="20"/>
          <w:szCs w:val="20"/>
          <w:color w:val="auto"/>
        </w:rPr>
      </w:pPr>
    </w:p>
    <w:p>
      <w:pPr>
        <w:ind w:left="120" w:right="2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 Intangible assets consist of favorable and unfavorable lease contracts and tradenames. Favorable and unfavorable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with definite lives are being amortized using the straight-line method over their estimated useful lives, which range up to 10 years. The Company reviews these intangible assets for impairment when indication of potential impairment exists, such as a significant reduction in cash flows associated with the assets. When impairment indicators exist, the Company determines whether the carrying value of its intangible assets exceeds the related undiscounted cash flows. In these situations, the carrying value is written down to fair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Tradenames with indefinite lives are not amortized and are reviewed for impairment annually or whenever events or changes in circumstances indicate they may be impaired. The Company may perform an optional qualitative assessment. If the Company determines that the fair value of the indefinite-lived intangible asset is more likely than not greater than its carrying amount, no additional testing is necessary. If not, or if the Company bypasses the optional qualitative assessment, the carrying value is written down to the fair value, if applicable.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carrying amount of intangibles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52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40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4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4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Favorable/unfavorable lease contracts, net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8,694</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(indefinite lived)</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190,100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estimated amortization expense for each of the next five fiscal years as of July 31, 2022:</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r>
    </w:tbl>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end of each period: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(1)</w:t>
            </w:r>
          </w:p>
        </w:tc>
        <w:tc>
          <w:tcPr>
            <w:tcW w:w="16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63,007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52,556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27,447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6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16,095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14,443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16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10,793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19,164</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8,629</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Variable rent liabilities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22,078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16,233</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248,493</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540" w:right="340" w:hanging="424"/>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leasehold incentive receivables of $10,536 and $10,064 as of July 31, 2022 and January 30, 2022, respectively, is reflected as a reduction of the current portion of operating lease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centers,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and the first half of fiscal 2021, the Company entered into rent relief agreements with our respective landlords. The Company elected to apply an available practical expedient to account for lease concessions and deferrals resulting directly from the COVID-19 pandemic as though the enforceable rights and obligations to the deferrals existed in the respective contracts at lease inception and not account for the concessions as lease modifications unless the concession results in a substantial increase in the Company’s obligations. The majority of rent relief agreements qualified for this accounting election, and the remaining agreements were treated as lease modifications, primarily due to a significant extension of the lease term. The Company has bifurcated our current operating lease liabilities into the portion that remains subject to accretion and the portion that is accounted for as a deferral of payments. The current portion of deferred occupancy costs is included in “Accrued liabilities” and the balance, or $4,293 and $8,434 as of July 31, 2022, and January 30, 2022, respectively, is included in “Other liabilities” in the Consolidated Balance Sheets.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w:t>
      </w:r>
    </w:p>
    <w:p>
      <w:pPr>
        <w:spacing w:after="0" w:line="10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 for the fiscal year ended: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520" w:type="dxa"/>
            <w:vAlign w:val="bottom"/>
          </w:tcPr>
          <w:p>
            <w:pPr>
              <w:spacing w:after="0"/>
              <w:rPr>
                <w:sz w:val="12"/>
                <w:szCs w:val="12"/>
                <w:color w:val="auto"/>
              </w:rPr>
            </w:pPr>
          </w:p>
        </w:tc>
        <w:tc>
          <w:tcPr>
            <w:tcW w:w="98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favorable/unfavorable lease contracts, net</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48,126</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40,725</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81,531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Minimum future maturities of operating lease liabilities were as follows as of July 31, 2022, by fiscal year: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3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87,998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191,510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191,626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192,813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194,074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1,786,702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operating lease liability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2,644,723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(971,763)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1,672,960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Operating lease payments in the table above includes minimum lease payments for future sites for which the leases have commenced. Operating lease payments exclude approximately $102,000 of minimum lease payments for seven executed facility leases which have not yet commenced.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850,000</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1,290,000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440,000</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(8,500)</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Original issue discount on term loan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(41,968)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(19,854)</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(8,605)</w:t>
            </w: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1,219,678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431,395</w:t>
            </w: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Main Event Acquisition on June 29, 2022, D&amp;B Inc entered into a senior secured credit agreement, which refinanced the $500,000 existing revolving facility, extended the maturity date to June 29, 2027, and added a new term loan facility in the aggregate principal amount of $850,000, with a maturity date of June 29, 2029 (“Credit Facility”). The proceeds of the term loan, net of an original issue discount of $42,500, were used to pay the consideration for the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At the end of the second quarter of fiscal 2022, we had letters of credit outstanding of $8,605 and an unused commitment balance of $491,395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Amortization of debt issuance costs and original issue discount was $1,636 and $2,595 for the thirteen and twenty-six weeks ended July 31, 2022, and $1,103 and $2,205 for the thirteen and twenty-six weeks ended August 1, 2021, respectively, and is included in “Interest expense, net” in the Consolidated Statements of Comprehensive Income. For the twenty-six weeks ended July 31, 2022, and August 1, 2021, respectively, the Company’s weighted average effective interest rate on our total debt facilities (before capitalized interest amounts) was 10.08% and 10.17%, respectively. During the second quarter of fiscal 2022, the Company recognized a loss of $1,479, related to the write off of unamortized debt issuance costs associated with exiting creditors of the refinanced revolving facility.</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Company’s first full fiscal quarter after the Closing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is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The Company’s assessments of potential liabilities associated with these claims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options and restricted stock units is included in “General and administrative expenses” in the Consolidated Statements of Comprehensive Income and is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5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4,391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3,103</w:t>
            </w:r>
          </w:p>
        </w:tc>
        <w:tc>
          <w:tcPr>
            <w:tcW w:w="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4,698</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8"/>
              </w:rPr>
              <w:t>3,187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8,253</w:t>
            </w: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stock option awards during the twenty-six weeks ended July 31, 2022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6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560" w:type="dxa"/>
            <w:vAlign w:val="bottom"/>
          </w:tcPr>
          <w:p>
            <w:pPr>
              <w:spacing w:after="0"/>
              <w:rPr>
                <w:sz w:val="10"/>
                <w:szCs w:val="10"/>
                <w:color w:val="auto"/>
              </w:rPr>
            </w:pPr>
          </w:p>
        </w:tc>
        <w:tc>
          <w:tcPr>
            <w:tcW w:w="11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933,379</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2"/>
              </w:rPr>
              <w:t>73,554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36.49</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(160,091)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34.95</w:t>
            </w:r>
          </w:p>
        </w:tc>
        <w:tc>
          <w:tcPr>
            <w:tcW w:w="1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57.33</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67,495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July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764,441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67,495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twenty-six weeks ended July 31, 2022 was $2,287. The unrecognized expense related to our stock option plan totaled approximately $4,159 as of July 31, 2022 and will be expensed over a weighted average period of 4.3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restricted stock units during the twenty-six weeks ended July 31, 2022,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3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922,799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824,972</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adjusted units</w:t>
            </w:r>
          </w:p>
        </w:tc>
        <w:tc>
          <w:tcPr>
            <w:tcW w:w="44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11,808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(484,492)</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(54,106)</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3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1,220,981</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220" w:type="dxa"/>
            <w:vAlign w:val="bottom"/>
          </w:tcPr>
          <w:p>
            <w:pPr>
              <w:spacing w:after="0"/>
              <w:rPr>
                <w:sz w:val="24"/>
                <w:szCs w:val="24"/>
                <w:color w:val="auto"/>
              </w:rPr>
            </w:pPr>
          </w:p>
        </w:tc>
        <w:tc>
          <w:tcPr>
            <w:tcW w:w="33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Fair value of our time-based and performance-based restricted stock units is based on our closing stock price on the date of grant. The grant date fair value of stock options was determined using the Black-Scholes option valuation model. The grant date fair value of market-based restricted stock units was determined using the Monte Carlo valuation model. The unrecognized expense related to restricted stock units was $32,489 as of July 31, 2022 and will be expensed over a weighted average period of 3.2 years.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2022, the Company granted certain options, time-based, performance-based, and market-based restricted stock units to the newly appointed chief executive officer. The majority of these grants vest over five years, but the market-based restricted stock units can vest earlier if the targets are achieved prior to that time. As a result, the requisite service period for such grants was determined to be less than the explicit service period.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July 31, 2022 and August 1, 2021, excess tax expense (benefit) of $(3,133) and $(5,665), respectively, were recognized in the “Provision for income taxes” in the Consolidated Statement of Comprehensive Income and classified as a source in operating activities in the Consolidated Statement of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July 31, 2022, was 23.3%, compared to 17.4% for the twenty-six weeks ended August 1, 2021. The previous year tax provision includes higher excess tax benefits associated with share-based compensation and credits associated with the reversal of certain tax valuation allowances.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Intended to provide economic relief to those impacted by the COVID-19 pandemic, the CARES Act includes provisions, among others, allowing for the carryback of net operating losses generated in fiscal 2018, 2019 and 2020 and technical amendments regarding the expensing of qualified improvement property. The application of the technical amendments made by the CARES Act to qualified improvement property resulted in additional tax net operating losses which were carried back from fiscal 2020 and fiscal 2019 to years with a higher federal corporate income tax rate. During the second quarter of fiscal 2021, the Company filed the fiscal 2020 carryback claims for federal tax refunds of approximately $57,400, of which approximately $33,200 were received during the first quarter of fiscal 2022.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29, 2022.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29, 2022.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On June 29, 2022, the Company completed its previously announced Main Event Acquisition. As of July 31, 2022, there were 49 family entertainment centers under the name Main Event and 3 family entertainment centers under the name The Summit (collectively referred to as “Main Event”), operating in seventeen states. Refer to Note 2,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to the Unaudited Consolidated Financial Statements for further details.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35" w:lineRule="exact"/>
        <w:rPr>
          <w:sz w:val="20"/>
          <w:szCs w:val="20"/>
          <w:color w:val="auto"/>
        </w:rPr>
      </w:pPr>
    </w:p>
    <w:p>
      <w:pPr>
        <w:ind w:left="1540" w:right="60" w:hanging="331"/>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totaled $468,359 in the second quarter of 2022 compared with $344,599 in the second quarter of 2019. A total of 148 and 130 Dave &amp; Buster’s stores were open and operating without restrictions at the end of the second quarter of 2022 and 2019, respectively. The newly acquired Main Event stores contributed revenues of $51,405 from the acquisition on June 29, 2022, through the end of the second quarter. Revenues totaled $377,638 in the second quarter of 2021, which ended with 142 Dave &amp; Buster’s stores open and operating in limited capacity.</w:t>
      </w:r>
    </w:p>
    <w:p>
      <w:pPr>
        <w:spacing w:after="0" w:line="88" w:lineRule="exact"/>
        <w:rPr>
          <w:rFonts w:ascii="Times New Roman" w:cs="Times New Roman" w:eastAsia="Times New Roman" w:hAnsi="Times New Roman"/>
          <w:sz w:val="18"/>
          <w:szCs w:val="18"/>
          <w:color w:val="auto"/>
        </w:rPr>
      </w:pPr>
    </w:p>
    <w:p>
      <w:pPr>
        <w:ind w:left="1540" w:right="300" w:hanging="331"/>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Dave &amp; Buster’s comparable store sales increased 9.6% compared with the same period in 2019 and increased 5.7% compared with the same period in 2021, which ended with 113 comparable Dave &amp; Buster’s stores open and operating in limited capacity.</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$29,088, or $0.59 per diluted share, compared with net income of $32,356, or $0.90 per diluted share in the same period of 2019. Net income in the second quarter of fiscal 2022 was impacted by incremental acquisition and integration costs related to the Main Event Acquisition. In the same period of 2021, we recorded net income of $52,770.</w:t>
      </w:r>
    </w:p>
    <w:p>
      <w:pPr>
        <w:spacing w:after="0" w:line="81"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totaled $119,550, or 25.5% of revenues, compared with Adjusted EBITDA of $85,982 or 25.0% of revenues in the second quarter of 2019. Adjusted EBITDA was $119,152 or 31.6% of revenues in the second quarter of 2021.</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$100,386 in cash and $491,395 of liquidity available under the Company’s revolving credit facility.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names “Dave &amp; Buster’s” and “Main Event”.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entertainment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Dave &amp; Buster’s stores, which average 40,000 square feet, range in size between 16,000 and 70,000 square feet. Our Main Event stores, which average 54,000 square feet, range in size between 46,000 and 74,000 square feet. Generally, our stores are open seven days a week, with normal hours of operation generally from between 10:00 to 11:30 a.m. until midnight, with stores typically open for extended hours on weekends.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58"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fiscal year and excluding stores permanently closed during the period. Due to the limitations of store operations during the COVID-19 pandemic, the comparable store base for fiscal 2022 is defined as stores open for a full 18 months before the beginning of fiscal 2020 and excludes two stores that the Company elected not to reopen after they were closed in March 2020 due to local operating limitations and one store in Cary, North Carolina that was closed and relocated during the fourth quarter of fiscal 2021. For the first and second quarter of fiscal 2022, our comparable store base consisted of 113 stores. Our Main Event stores were not included in comparable store sales for the thirteen and twenty-six weeks ended July 31, 2022.</w:t>
      </w:r>
    </w:p>
    <w:p>
      <w:pPr>
        <w:spacing w:after="0" w:line="183"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Between August 1, 2021 and July 31, 2022, we closed and relocated one Dave &amp; Buster’s store and opened an additional six new Dave &amp; Buster’s stores.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or 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w:t>
      </w:r>
    </w:p>
    <w:p>
      <w:pPr>
        <w:sectPr>
          <w:pgSz w:w="11900" w:h="16838" w:orient="portrait"/>
          <w:cols w:equalWidth="0" w:num="1">
            <w:col w:w="11100"/>
          </w:cols>
          <w:pgMar w:left="320" w:top="482" w:right="479" w:bottom="1440" w:gutter="0" w:footer="0" w:header="0"/>
        </w:sectPr>
      </w:pP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divided by total revenues. Store Operating Income Before Depreciation and Amortization Margin allows us to evaluate operating performance of each store across stores of varying size and volume.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 except in a 53-week year when the fourth quarter has 14 weeks. All references to the second quarter of 2022 relate to the 13-week period ended July 31, 2022. All references to the second quarter of 2021 relate to the 13-week period ended August 1, 2021. All references to the second quarter of 2019 relate to the 13-week period ended August 4, 2019. Fiscal 2022, fiscal 2021 and fiscal 2019 consist of 52 weeks. All dollar amounts are presented in thousands, unless otherwise noted, except share and per share amounts.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new stores historically open with sales volumes in excess of their expected long-term run-rate levels, which we refer to as a “honeymoon” effect. We traditionally expect our new store sales volumes in year two to be approximately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0" w:lineRule="exact"/>
        <w:rPr>
          <w:sz w:val="20"/>
          <w:szCs w:val="20"/>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6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 July 31, 2022 Compared to Thirteen Weeks Ended August 1, 2021</w:t>
      </w:r>
    </w:p>
    <w:p>
      <w:pPr>
        <w:spacing w:after="0" w:line="117" w:lineRule="exact"/>
        <w:rPr>
          <w:sz w:val="20"/>
          <w:szCs w:val="20"/>
          <w:color w:val="auto"/>
        </w:rPr>
      </w:pPr>
    </w:p>
    <w:p>
      <w:pPr>
        <w:ind w:left="120" w:right="4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156,995</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123,006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311,364</w:t>
            </w: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254,632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468,359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377,638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46,461</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33,127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29,075</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24,584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75,536</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57,711</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113,674</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80,623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142,440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105,116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37,710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18,470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38,614</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34,875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3,913</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411,887</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298,471</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56,472</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79,167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17,118</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13,728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65,439</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12,669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52,770</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at end of period (1)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at end of period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comparable store count as of the end of the second quarter of fiscal 2022 excludes a store in Cary, North Carolina, which was closed and relocated during the fourth quarter of fiscal 2021. Company-owned stores as of July 31, 2022, include 52 Main Event stores, which were acquired on June 29, 2022. These stores are not considered comparable stores.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82"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29,088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52,770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12,669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38,614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114,042</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13,858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119,550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119,152</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$7,700 in costs related to the acquisition of Main Event. Refer to Note 2 of the Unaudited Consolidated Financial Statements for more information.</w:t>
      </w:r>
    </w:p>
    <w:p>
      <w:pPr>
        <w:spacing w:after="0" w:line="26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56,472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79,167</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37,710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18,470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38,614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136,709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134,188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3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09"/>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17,826</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9,443</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7,262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6,402</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62,104</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40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2,085</w:t>
            </w:r>
          </w:p>
        </w:tc>
      </w:tr>
      <w:tr>
        <w:trPr>
          <w:trHeight w:val="365"/>
        </w:trPr>
        <w:tc>
          <w:tcPr>
            <w:tcW w:w="3480" w:type="dxa"/>
            <w:vAlign w:val="bottom"/>
          </w:tcPr>
          <w:p>
            <w:pPr>
              <w:spacing w:after="0"/>
              <w:rPr>
                <w:sz w:val="24"/>
                <w:szCs w:val="24"/>
                <w:color w:val="auto"/>
              </w:rPr>
            </w:pPr>
          </w:p>
        </w:tc>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March 2020, a novel strain of coronavirus (“COVID-19”) outbreak was declared a global pandemic and a National Public Health Emergency. Shortly after the national emergency declaration, state and local officials began placing restrictions on businesses, some of which allowed To-Go or curbside service only while others limited capacity in the dining room or arcade “(Midway”). By March 20, 2020, all our 137 operating stores were temporarily closed. On April 30, 2020, our first store re-opened to the public, and by the end of fiscal 2020, 107 of our 140 stores were open and operating. These stores were operating with a combination of limited menus, reduced dining room seating, reduced game availability in the Midway, reduced operating hours and other restrictions referred to as “limited operations” or “operating in limited capacity.” As of the end of the first quarter of fiscal 2021, 138 of our 141 stores were operating in some limited capacity. The Company re-opened the remaining stores that had been temporarily closed by the end of the second quarter of fiscal 2021. During the first quarter of fiscal 2022 any remaining local COVID-19 related operating restrictions on re-opened stores were removed.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29, 2022, the Company completed the Main Event Acquisition, acquiring 49 Main Event and 3 The Summit stores.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July 31, 2022</w:t>
            </w:r>
          </w:p>
        </w:tc>
        <w:tc>
          <w:tcPr>
            <w:tcW w:w="15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468,359</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377,638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90,721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333,967</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316,006</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17,961</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revenues—Dave &amp; Buster’s</w:t>
            </w:r>
          </w:p>
        </w:tc>
        <w:tc>
          <w:tcPr>
            <w:tcW w:w="1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15,559</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weeks—Dave &amp; Buster’s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revenues—Main Event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51,405</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weeks—Main Event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deferrals—Dave &amp; Buster’s</w:t>
            </w:r>
          </w:p>
        </w:tc>
        <w:tc>
          <w:tcPr>
            <w:tcW w:w="10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Total revenues increased $90,721, or 24.0%, to $468,359 in the second quarter of fiscal 2022 compared to total revenues of $377,638 in the second quarter of fiscal 2021. The increase in revenue is attributable to $51,405 in revenue from our Main Event stores, an additional 70 new Dave &amp; Buster’s store operating weeks, and a 5.7% increase in comparable store sales. The table below represents our revenue mix for the fiscal periods indicated. The shift in mix from amusement sales to food and beverage sales of 90 basis points is due, in part, to increased special events, beverage price increases during the second quarter of fiscal 2022, and food price increases effective midway through the third quarter of fiscal 2021.</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55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31, 2022</w:t>
            </w:r>
          </w:p>
        </w:tc>
        <w:tc>
          <w:tcPr>
            <w:tcW w:w="8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65.8%</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Comparable store revenue increased $17,961 or 5.7%, in the second quarter of fiscal 2022 compared to the second quarter of fiscal 2021, due to the reasons noted above, including a 1.7% increase in comparable store operating weeks. Comparable store sales in the second quarter of fiscal 2022 increased 9.6% compared to the second quarter of fiscal 2019.</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increased by $10,176, or 14.6%, to $79,722 in the second quarter of fiscal 2022 from $69,546 in the second quarter of fiscal 2021. Beverage sales at comparable stores increased by $2,809, or 8.6%, to $35,319 in the second quarter of fiscal 2022 from $32,510 in the 2021 comparison period. Comparable store amusement and other revenues in the second quarter of fiscal 2022 increased by $4,976, or 2.3%, to $218,926 from $213,950 in the comparable period of fiscal 2021.</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Dave &amp; Buster’s non-comparable store revenue increased $15,559 in the second quarter of fiscal 2022 compared to the second quarter of fiscal 2021, for the same reasons noted above, including 70 more store operating weeks.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$75,536 for the second quarter of fiscal 2022 and $57,711 for the second quarter of fiscal 2021. The total cost of products as a percentage of total revenues increased 80 basis points to 16.1% for the second quarter of fiscal 2022 compared to 15.3% for the second quarter of fiscal 2021.</w:t>
      </w:r>
    </w:p>
    <w:p>
      <w:pPr>
        <w:spacing w:after="0" w:line="176"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$46,461 compared to $33,127 for the second quarter of fiscal 2021. Cost of food and beverage products, as a percentage of food and beverage revenues, increased 270 basis points to 29.6% for the second quarter of fiscal 2022 from 26.9% for the second quarter of fiscal 2021. The unfavorable impacts of commodity cost increases primarily in meat and dairy products during the second quarter of fiscal 2022 were partially offset by food and beverage price increases.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increased to $29,075 in the second quarter of fiscal 2022 compared to $24,584 in the second quarter of fiscal 2021. The costs of amusement and other, as a percentage of amusement and other revenues, decreased 40 basis points to 9.3% for the second quarter of fiscal 2022 from 9.7% in the second quarter of fiscal 2021. This decrease was driven primarily by a change in prices at the game level implemented late in fiscal 2021.</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Total operating payroll and benefits increased by $33,051, or 41.0%, to $113,674 in the second quarter of fiscal 2022 compared to $80,623 in the second quarter of fiscal 2021. Total operating payroll and benefits for the second quarter of fiscal 2022 included approximately $14,000 of payroll and benefits from our Main Event stores. The total cost of operating payroll and benefits as a percentage of total revenues was 24.3% in the second quarter of fiscal 2022 compared to 21.3% in the second quarter of fiscal 2021. This increase is primarily due to an hourly wage rate increase, offset slightly by lower incentive compensation as the second quarter of fiscal 2021 included referral and retention incentives.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Other store operating expenses increased by $37,324, or 35.5%, to $142,440 in the second quarter of fiscal 2022 compared to $105,116 in the second quarter of fiscal 2021. The increase is primarily due to the addition of operating costs related to our Main Event stores, the impact of new Dave &amp; Buster’s store openings, higher security cost, cleaning services and higher marketing spend associated with the “</w:t>
      </w:r>
      <w:r>
        <w:rPr>
          <w:rFonts w:ascii="Times New Roman" w:cs="Times New Roman" w:eastAsia="Times New Roman" w:hAnsi="Times New Roman"/>
          <w:sz w:val="18"/>
          <w:szCs w:val="18"/>
          <w:i w:val="1"/>
          <w:iCs w:val="1"/>
          <w:color w:val="auto"/>
        </w:rPr>
        <w:t>Summer in the Great Indoors</w:t>
      </w:r>
      <w:r>
        <w:rPr>
          <w:rFonts w:ascii="Times New Roman" w:cs="Times New Roman" w:eastAsia="Times New Roman" w:hAnsi="Times New Roman"/>
          <w:sz w:val="18"/>
          <w:szCs w:val="18"/>
          <w:color w:val="auto"/>
        </w:rPr>
        <w:t>” campaign. Other store operating expense as a percentage of total revenues increased to 30.4% in the second quarter of fiscal 2022 compared to 27.9% in the second quarter of fiscal 2021. This increase in basis points was due primarily to increased security costs, cleaning services, and higher marketing spend.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$19,240, or 104.2%, to $37,710 in the second quarter of fiscal 2022 compared to $18,470 in the second quarter of fiscal 2021. The increase in general and administrative expenses was driven primarily by $13,858 of transaction and integration costs related to the Main Event Acquisition, $1,841 impairment of the existing Main Event corporate office right-of-use asset, an increase in share-based compensation expense, and higher payroll and incentive compensation, including the addition of Main Event store support center personnel. General and administrative expenses, as a percentage of total revenues increased to 8.1% in the second quarter of fiscal 2022 compared to 4.9% in the second quarter of fiscal 2021 due to the reasons noted above.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to $38,614 in the second quarter of fiscal 2022 compared to $34,875 in the second quarter of fiscal 2021, primarily due to the addition of Main Event. Incremental depreciation for Main Event was partially offset by a net decrease in depreciation expense at Dave &amp; Buster’s stores as the impact of assets reaching the end of their depreciable lives exceeded expense increases due to recent capital expenditures for new stores, operating initiatives, games, and maintenance capital.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Pre-opening costs increased by $2,237 to $3,913 in the second quarter of fiscal 2022 compared to $1,676 in the second quarter of fiscal 2021 due largely to an increase in the number of new Dave &amp; Buster’s store openings compared to the same time period of the previous year and to a lesser extent, due to the addition of pre-opening costs related to Main Event stores.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refinancing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$3,390 to $17,118 in the second quarter of fiscal 2022 compared to $13,728 in the second quarter of fiscal 2021 due primarily to an increase in average outstanding debt. The Company recorded a loss of $1,479 related to the June 29, 2022 debt refinancing, which is explained in Note 6 to the Consolidated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second quarter of fiscal 2022 was 23.2%, compared to 19.4% for the second quarter of fiscal 2021. The previous quarter tax provision includes higher excess tax benefits associated with share-based compensation and credits associated with the reversal of certain tax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Twenty-six Weeks Ended July 31, 2022 Compared to Twenty-six Weeks Ended August 1, 2021</w:t>
      </w:r>
    </w:p>
    <w:p>
      <w:pPr>
        <w:spacing w:after="0" w:line="117" w:lineRule="exact"/>
        <w:rPr>
          <w:sz w:val="20"/>
          <w:szCs w:val="20"/>
          <w:color w:val="auto"/>
        </w:rPr>
      </w:pPr>
    </w:p>
    <w:p>
      <w:pPr>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00" w:type="dxa"/>
            <w:vAlign w:val="bottom"/>
          </w:tcPr>
          <w:p>
            <w:pPr>
              <w:spacing w:after="0"/>
              <w:rPr>
                <w:sz w:val="13"/>
                <w:szCs w:val="13"/>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308,907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208,764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610,553</w:t>
            </w: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434,214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919,460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642,978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89,716</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56,284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55,841</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41,198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145,557</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207,035</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130,902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266,865</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189,561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66,007</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35,561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71,902</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69,974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6,910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3,335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764,276</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526,815</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155,184</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116,163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28,509</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28,548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125,196</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15,210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96,072</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comparable store sales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at end of period (1)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Company-owned stores at end of period (1)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comparable store count as of the end of the second quarter of fiscal 2022 excludes a store in Cary, North Carolina, which was closed and relocated during the fourth quarter of fiscal 2021. Company-owned stores as of July 31, 2022, includes 52 Main Event stores, which were acquired on June 29, 2022. These stores are not considered comparable stores.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00" w:type="dxa"/>
            <w:vAlign w:val="bottom"/>
          </w:tcPr>
          <w:p>
            <w:pPr>
              <w:spacing w:after="0"/>
              <w:rPr>
                <w:sz w:val="13"/>
                <w:szCs w:val="13"/>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8"/>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left="25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2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96,072</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72,405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28,509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28,548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29,124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15,210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71,902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69,974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227,086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186,137</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6,158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18,337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262,797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195,857</w:t>
            </w: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$12,200 in costs related to the acquisition of Main Event. Refer to Note 2 of the Unaudited Consolidated Financial Statements for more information.</w:t>
      </w:r>
    </w:p>
    <w:p>
      <w:pPr>
        <w:spacing w:after="0" w:line="26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$155,184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1"/>
              </w:rPr>
              <w:t>$ 116,163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66,007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35,561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71,902</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69,974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300,003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225,033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Payments from landlords.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9"/>
        </w:trPr>
        <w:tc>
          <w:tcPr>
            <w:tcW w:w="3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0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09"/>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72,147</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19,338</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12,614</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8,290</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105,058</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40,660</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2,085</w:t>
            </w:r>
          </w:p>
        </w:tc>
      </w:tr>
      <w:tr>
        <w:trPr>
          <w:trHeight w:val="364"/>
        </w:trPr>
        <w:tc>
          <w:tcPr>
            <w:tcW w:w="3480" w:type="dxa"/>
            <w:vAlign w:val="bottom"/>
          </w:tcPr>
          <w:p>
            <w:pPr>
              <w:spacing w:after="0"/>
              <w:rPr>
                <w:sz w:val="24"/>
                <w:szCs w:val="24"/>
                <w:color w:val="auto"/>
              </w:rPr>
            </w:pPr>
          </w:p>
        </w:tc>
        <w:tc>
          <w:tcPr>
            <w:tcW w:w="17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29, 2022, the Company completed the Main Event Acquisition, acquiring 49 Main Event and 3 The Summit stores.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Twenty-Six Weeks Ended</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31, 2022</w:t>
            </w:r>
          </w:p>
        </w:tc>
        <w:tc>
          <w:tcPr>
            <w:tcW w:w="166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919,460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642,978</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276,482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702,444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531,412</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171,032</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revenues—Dave &amp; Buster’s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127,662</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46,211</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weeks—Dave &amp; Buster’s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revenues—Main Event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51,405</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weeks—Main Event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and deferrals—Dave &amp; Buster’s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Total revenues increased $276,482, or 43.0%, to $919,460 in the twenty-six weeks ended July 31, 2022, compared to total revenues of $642,978 in the twenty-six weeks ended August 1, 2021. The increase in revenue is attributable to $51,405 in revenue from our Main Event stores, an additional 134 new Dave &amp; Buster’s store operating weeks, and a 32.2% increase in comparable store sales, due in part to a 7.4% increase in store operating weeks compared to the same period of the previous year, when some of our stores remained temporarily closed as a result of the COVID-19 pandemic, and the removal of local COVID-19 related operating restrictions on re-opened stores. Revenues during the twenty-six weeks ended July 31, 2022, were also favorably impacted by an increase in our special events business, which experienced delayed recovery from the impacts of the COVID-19 pandemic. The table below represents our revenue mix for the fiscal periods indicated. The shift in mix from amusement sales to food and beverage sales of 110 basis points is due, in part, to increased special events, beverage price increases during the second quarter of fiscal 2022, and food price increases effective midway through the third quarter of fiscal 2021.</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5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July 31, 2022</w:t>
            </w:r>
          </w:p>
        </w:tc>
        <w:tc>
          <w:tcPr>
            <w:tcW w:w="8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2021</w:t>
            </w:r>
          </w:p>
        </w:tc>
        <w:tc>
          <w:tcPr>
            <w:tcW w:w="20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sales</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22.9%</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Beverage sales</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Amusement sales</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65.8%</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7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Comparable store revenue increased $171,032 or 32.2%, in the twenty-six weeks ended July 31, 2022, compared to the comparable period of fiscal 2021, due to the reasons noted above, including a 7.4% increase in comparable store operating weeks. Comparable store sales in the twenty-six weeks ended July 31, 2022, increased 10.2% compared to the comparable period of fiscal 2019.</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increased by $45,678, or 39.3%, to $161,860 in the twenty-six weeks ended July 31, 2022, from $116,182 in the comparable period of fiscal 2021. Beverage sales at comparable stores increased by $22,946, or 42.4%, to $77,053 in the twenty-six weeks ended July 31, 2022, from $54,107 in the 2021 comparison period. Comparable store amusement and other revenues in the twenty-six weeks ended July 31, 2022, increased by $102,408, or 28.4%, to $463,531 from $361,123 in the comparable period of fiscal 2021.</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Non-comparable store revenue increased $46,211 in the twenty-six weeks ended July 31, 2022, compared to the comparable period of fiscal 2021, for the same reasons noted above, including 134 more store operating weeks.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$145,557 for the twenty-six weeks ended July 31, 2022, and $97,482 for the comparable period of fiscal 2021. The total cost of products as a percentage of total revenues increased 60 basis points to 15.8% for the twenty-six weeks ended July 31, 2022, compared to 15.2% for the comparable period of fiscal 2021.</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increased to $89,716 compared to $56,284 for the comparable period of fiscal 2021. Cost of food and beverage products, as a percentage of food and beverage revenues, increased 200 basis points to 29.0% for the twenty-six weeks ended July 31, 2022, from 27.0% for the comparable period of fiscal 2021. The unfavorable impacts of commodity cost increases, primarily in meat and dairy products, during the first twenty-six weeks of fiscal 2022 were partially offset by food and beverage price increases.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increased to $55,841 in the twenty-six weeks ended July 31, 2022, compared to $41,198 in the comparable period of fiscal 2021. The costs of amusement and other, as a percentage of amusement and other revenues, decreased 40 basis points to 9.1% for the twenty-six weeks ended July 31, 2022, from 9.5% in the comparable period of fiscal 2021. This decrease was driven primarily by a change in prices at the game level implemented late in fiscal 2021.</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Total operating payroll and benefits increased by $76,133, or 58.2%, to $207,035 in the twenty-six weeks ended July 31, 2022, compared to $130,902 in the comparable period of fiscal 2021. The total cost of operating payroll and benefits as a percentage of total revenues was 22.5% in the twenty-six weeks ended July 31, 2022, compared to 20.4% in the comparable period of fiscal 2021. This increase is primarily due to an hourly wage rate increase and an increase in labor hours worked as open positions were filled, partially offset by lower incentive compensation costs as fiscal 2021 included referral and retention incentives.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Other store operating expenses increased by $77,304, or 40.8%, to $266,865 in the twenty-six weeks ended July 31, 2022, compared to $189,561 in the comparable period of fiscal 2021. The increase is primarily due to the impact of increased store weeks during the first half of fiscal 2022 on costs such as utilities, supplies, maintenance, and other services as well as higher marketing spend associated with the “</w:t>
      </w:r>
      <w:r>
        <w:rPr>
          <w:rFonts w:ascii="Times New Roman" w:cs="Times New Roman" w:eastAsia="Times New Roman" w:hAnsi="Times New Roman"/>
          <w:sz w:val="17"/>
          <w:szCs w:val="17"/>
          <w:i w:val="1"/>
          <w:iCs w:val="1"/>
          <w:color w:val="auto"/>
        </w:rPr>
        <w:t>Summer in the Great Indoors</w:t>
      </w:r>
      <w:r>
        <w:rPr>
          <w:rFonts w:ascii="Times New Roman" w:cs="Times New Roman" w:eastAsia="Times New Roman" w:hAnsi="Times New Roman"/>
          <w:sz w:val="17"/>
          <w:szCs w:val="17"/>
          <w:color w:val="auto"/>
        </w:rPr>
        <w:t>” campaign. Other store operating expense as a percentage of total revenues decreased to 29.0% in the twenty-six weeks ended July 31, 2022, compared to 29.4% in the comparable period of fiscal 2021. This decrease was due primarily to favorable sales leverage, partially offset by higher marketing spend.</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increased by $30,446, or 85.6%, to $66,007 in the twenty-six weeks ended July 31, 2022,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$35,561 in the comparable period of fiscal 2021. The increase in general and administrative expenses was driven primarily by $18,270 of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integration costs related to the Main Event Acquisition, $1,841 impairment of the existing Main Event corporate office right-of-use operating lease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 an increase in share-based compensation expense, and higher payroll and incentive compensation expense. General and administrative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percentage of total revenues increased to 7.2% in the twenty-six weeks ended July 31, 2022 compared to 5.5% in the comparable period of fiscal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due to the reasons noted above.</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increased slightly to $71,902 in the twenty-six weeks ended July 31, 2022, compared to $69,974 in the comparable period of fiscal 2021, primarily due to the addition of the Main Event. Incremental depreciation for Main Event was partially offset by a net decrease in depreciation expense at Dave &amp; Buster’s stores as the impact of assets reaching the end of their depreciable lives exceeded expense increases due to recent capital expenditures for new stores, operating initiatives, games, and maintenance capital.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Pre-opening costs increased by $3,575 to $6,910 in the twenty-six weeks ended July 31, 2022, compared to $3,335 in the comparable period of fiscal 2021 due primarily to an increase in the number of new Dave &amp; Buster’s store openings compared to the same time period of the previous year.</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refinancing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$39 to $28,509 in the twenty-six weeks ended July 31, 2022 compared to $28,548 in the comparable period of fiscal 2021. In connection with the June 29, 2022 debt refinancing, the Company recorded a loss of $1,479, which is explained in Note 6 to the Consolidated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July 31, 2022 was 23.3%, compared to 17.4% for the comparable period of fiscal 2021. The previous year tax provision includes higher excess tax benefits associated with share-based compensation and credits associated with the reversal of certain tax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Main Event Acquisition on June 29, 2022, D&amp;B Inc entered into a senior secured credit agreement, which refinanced the $500,000 existing revolving facility, extended the maturity date to June 29, 2027, and added a new term loan facility in the aggregate principal amount of $850,000, with a maturity date of June 29, 2029 (“Credit Facility”). The proceeds of the term loan, net of an original issue discount of $42,500, were used to pay the consideration for the Acquisition. The revolving credit facility can expire before the stated maturity date if the aggregate outstanding principal amount of the Notes exceeds $100,000 ninety-one days prior to November 1, 2025. A portion of the revolving facility not to exceed $35,000 is available for the issuance of letters of credit. At the end of the second quarter of fiscal 2022, we had letters of credit outstanding of $8,605 and an unused commitment balance of $491,395 under the revolving facility. The Credit Facility may be increased through incremental facilities, by an amount equal to the greater of (i) $400,000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interest rates per annum applicable to SOFR term loans are based on a defined SOFR rate (with a floor of 0.50%) plus an additional credit spread adjustment of 0.10%, plus a margin of 5.00%. The interest rates per annum applicable to SOFR revolving loans are based on the term loan SOFR rate, plus an additional credit spread adjustment of 0.10%, plus an initial margin of 4.75%. Unused commitments under the revolving facility incur initial commitment fees of 0.50%. After the Company’s third quarter of fiscal 2022, the margin for SOFR revolving loans are subject to a pricing grid based on net total leverage, ranging from 4.25% to 4.75%, and commitment fees are subject to a pricing grid based on net total leverage, ranging from 0.30% to 0.50%.</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fiscal 2020, the Company issued $550,000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$110,000 outstanding principal amount of the Notes, and paid prepayment premiums of $3,300, plus accrued and unpaid interest to the date of redemptions. The early redemptions of the Notes resulted in a loss on extinguishment of approximately $2,300 related to a proportional amount of unamortized issuance costs. Beginning October 27, 2022, the Company may elect to further redeem the Notes, in whole or in part, at certain specified redemption prices, plus accrued and unpaid interest, at the redemption date.</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Amortization of debt issuance costs and original issue discount was $1,636 and $2,595 for the thirteen and twenty-six weeks ended July 31, 2022, and $1,103 and $2,205 for the thirteen and twenty-six weeks ended August 1, 2021, respectively, and is included in “Interest expense, net” in the Consolidated Statements of Comprehensive Income. For the twenty-six weeks ended July 31, 2022, and August 1, 2021, respectively, the Company’s weighted average effective interest rate on our total debt facilities (before capitalized interest amounts) was 10.08% and 10.17%, respectively. During the second quarter of fiscal 2022, the Company recognized a loss of $1,479, related to the write off of unamortized debt issuance costs associated with exiting creditors of the refinanced revolving facility.</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first full fiscal quarter after the Closing Date.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6, 2021, our Board of Directors approved a share repurchase program with an authorization limit of $100,000, expiring at the end of fiscal 2022. During the second quarter of fiscal 2022, the Company repurchased 764,988 shares at an average cost of $32.70 per share. The approximate dollar value of shares that may be repurchased under the plan as of July 31, 2022, is $74,985. There were no dividends declared during the first or second quarter of 2022. Future decisions to pay cash dividends or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July 31, 2022, the Company had cash and cash equivalents of $100,386.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comparison of our cash flow activity for the first and second quarters of fiscal 2022 to the same period of fiscal 2021 follows.</w:t>
      </w:r>
    </w:p>
    <w:p>
      <w:pPr>
        <w:spacing w:after="0" w:line="2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 Cash flow from operating activities increased approximately $35,000 in the twenty-six weeks ended July 31, 2022 compared to the twenty-six weeks ended August 1, 2021 driven primarily by approximately 337 more store weeks for Dave &amp; Busters, 260 store weeks for Main Event, and the receipt of a federal tax refund in the amount of approximately $33,200. These increases in cash flow from operating activities were offset by the payment of acquisition and integration costs of $18,270.</w:t>
      </w:r>
    </w:p>
    <w:p>
      <w:pPr>
        <w:spacing w:after="0" w:line="18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from investing activities primarily reflects the Main Event Acquisition for cash consideration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$823,000, which is net of cash acquired of approximately $34,000. Below is a summary of capital expenditures for the comparable twenty-six week period in fiscal 2022 and fiscal 2021.</w:t>
      </w:r>
    </w:p>
    <w:p>
      <w:pPr>
        <w:spacing w:after="0" w:line="175" w:lineRule="exact"/>
        <w:rPr>
          <w:sz w:val="20"/>
          <w:szCs w:val="20"/>
          <w:color w:val="auto"/>
        </w:rPr>
      </w:pPr>
    </w:p>
    <w:p>
      <w:pPr>
        <w:ind w:left="120" w:right="840" w:firstLine="440"/>
        <w:spacing w:after="0" w:line="312" w:lineRule="auto"/>
        <w:rPr>
          <w:sz w:val="20"/>
          <w:szCs w:val="20"/>
          <w:color w:val="auto"/>
        </w:rPr>
      </w:pPr>
      <w:r>
        <w:rPr>
          <w:rFonts w:ascii="Times New Roman" w:cs="Times New Roman" w:eastAsia="Times New Roman" w:hAnsi="Times New Roman"/>
          <w:sz w:val="17"/>
          <w:szCs w:val="17"/>
          <w:color w:val="auto"/>
        </w:rPr>
        <w:t>During the twenty-six weeks ended July 31, 2022, the Company spent approximately $65,900 for new store construction and operating improvement initiatives ($58,000 net of payments from landlords), $17,000 for game refreshment and $17,000 for maintenance capital.</w:t>
      </w:r>
    </w:p>
    <w:p>
      <w:pPr>
        <w:spacing w:after="0" w:line="140" w:lineRule="exact"/>
        <w:rPr>
          <w:sz w:val="20"/>
          <w:szCs w:val="20"/>
          <w:color w:val="auto"/>
        </w:rPr>
      </w:pPr>
    </w:p>
    <w:p>
      <w:pPr>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During the twenty-six weeks ended August 1, 2021, the Company spent approximately $18,900 for new store construction and operating improvement initiatives ($16,800 net of payments from landlords), $11,000 for game refreshment and $8,000 for maintenance capital.</w:t>
      </w:r>
    </w:p>
    <w:p>
      <w:pPr>
        <w:spacing w:after="0" w:line="13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During the second quarter of fiscal 2022, the Company entered into a new credit facility agreement, with term loan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of $807,500. The proceeds were used to pay for the Acquisition, including $17,748 of debt issuance costs associated with the refinancing. The Company also repurchased shares at a cost of $25,015 during the second quarter. During the first quarter of fiscal 2021, the Company had net repayments of $60,000 of its revolving credit facility.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since January 30, 2022, as reported on Form 10-K filed with the SEC on March 29,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In addition to the critical accounting policies and estimates previously disclosed in the Company’s Annual Report on Form 10-K for the fiscal year ended January 30, 2022, due to recent transactions and events, we also consider the following to be part of our critical accounting policies and estimates due to the high degree of judgment and complexity in its application.</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The Main Event Acquisition was accounted for using the acquisition method of accounting, or acquisition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ASC Topic 805, Business Combinations. The acquisition method of accounting involved the allocation of the purchase price to the assets acquired and liabilities assumed based on preliminary estimated fair values as of the date of the acquisition. The determination of the fair value of tangible and intangible assets, which represent a significant portion of the purchase price, requires the use of significant judgment with regard to (i) the fair value and (ii) whether such acquired intangibles are amortizable or non-amortizable and, if the former, the period and the method by which the intangible asset will be amortized. The Company estimates the fair value of acquisition-related tangible and intangible assets principally based on Replacement Cost New and the Relief from Royalty methods, which include estimates of projected future EBITDA, long-term growth rate, discount rate and royalty rate. The projected cash flows are discounted to determine the present value of the assets at the dates of acquisition. Refer to Note 2 to the Unaudited Consolidated Financial Statements for additional information about our recent business combination.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2022, the Company elected SOFR as the alternative base rate for outstanding borrowings on the Credit Facility, which is based on variable rates. As of July 31, 2022, there was no balance outstanding on our revolving facility, and an outstanding balance of $850,000 on the term loan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324"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 As discussed in Note 2 to our Unaudited Consolidated Financial Statements set forth in Part 1 of this report, we acquired Main Event on June 29, 2022. Main Event constitutes approximately 34.3% of total assets and approximately 5.6% of total revenues of the consolidated financial statement amounts as of and for the twenty-six weeks ended July 31, 2022. As the Main Event Acquisition occurred in the second quarter of 2022 and they were not previously governed by the Exchange Act Rules 13a-15(f) and</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15d-15(f)), we excluded Main Event’s internal control over financial reporting from our assessment of the effectiveness of disclosure controls and procedures. This exclusion is in accordance with the general guidance issued by the Staff of the SEC that an assessment of a recently acquired business may be omitted from our scope in the year of acquisition.</w:t>
      </w:r>
    </w:p>
    <w:p>
      <w:pPr>
        <w:sectPr>
          <w:pgSz w:w="11900" w:h="16838" w:orient="portrait"/>
          <w:cols w:equalWidth="0" w:num="1">
            <w:col w:w="11120"/>
          </w:cols>
          <w:pgMar w:left="320" w:top="482"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above, there were no changes to our internal control over financial reporting practices or processes that materially affected, or are reasonably likely to materially affect, our internal control over financial reporting during our second quarter ended July 31, 2022. The Main Event Acquisition had a material impact on internal control over financial reporting. The Company intends to take a period of time to incorporate the impact of the transaction into its evaluation of internal control over financial reporting. As such, we will exclude the internal control over financial reporting of Main Event from our evaluation of internal control over financial reporting for the year ending January 29, 2023.</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7 to our Unaudited Consolidated Financial Statements set forth in Part I of this report.</w:t>
      </w:r>
    </w:p>
    <w:p>
      <w:pPr>
        <w:spacing w:after="0" w:line="306"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Company is supplementing the Risk Factors previously disclosed in Item 1A of the Annual Report on Form 10-K for the fiscal year ended January 30, 2022, (the “Annual Report”). The following Risk Factor should be read in conjunction with the Risk Factors disclosed in the Annual Report.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 business in the future that we fail to effectively integrate or operate.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recently acquired a business as part of our expansion effort and may acquire more businesses in the future. Once an acquisition is finalized, we may not be successful in integrating the business into our existing operations, which may result in unforeseen operational difficulties, diminished financial performance or our inability to report financial results and may require a disproportionate amount of our management’s attention. If we fail to manage our recent or future acquisitions effectively, our results of operations could be adversely affected.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recent acquisition and any future acquisitions will be accompanied by the risks commonly encountered in acquisitions, including:</w:t>
      </w:r>
    </w:p>
    <w:p>
      <w:pPr>
        <w:spacing w:after="0" w:line="131" w:lineRule="exact"/>
        <w:rPr>
          <w:sz w:val="20"/>
          <w:szCs w:val="20"/>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regarding the future results of acquired operations or assets or expected cost reductions or other synergies expected to be realized from acquiring operations or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the operations or management of any acquired operations or assets successfully and timely;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and customers of the acquired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lack of experience operating in a geographic market or product line of the acquired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 particularly overhead expenses, and working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business combination;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existing operations or other priorities.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restrict our business and could limit our ability to implement our business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The credit facility and the indenture governing the senior secured notes include covenants restricting, among other things, our ability to do the following under certain circumstances:</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certain disqualified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redeem or purchase any equity interests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or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payment of dividends or other distributions from our restricted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merger or consolidation or sell, assign, transfer, lease or otherwise dispose of all or substantially all our assets.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credit facility also requires us and our restricted subsidiaries to maintain a maximum net total leverage ratio of 3.50:1.00 as of the end of each fiscal quarter, solely to the extent 35% of the credit facility (other than $30 million of undrawn letters of credit and any letters of credit that have been cash collateralized) is drawn on such date.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Events beyond our control, including the impact of COVID-19, may affect our ability to comply with our covenants. If we default under the credit facility or the indenture governing the senior secured notes, because of a covenant breach or otherwise, all outstanding amounts thereunder could become immediately due and payable. We cannot assure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senior secured notes, we may need additional financing to service or extinguish our indebtedness. We may not be able to obtain financing or refinancing on commercially reasonable terms, or at all. We cannot assure that we would have sufficient funds to repay outstanding amounts under the credit facility or the indenture governing the senior secured notes and any acceleration of amounts due would have a material adverse effect on our liquidity and financial condition.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repurchase of our common stock, in thousands, except share amounts, during the thirteen weeks ended July 31,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3000" w:type="dxa"/>
            <w:vAlign w:val="bottom"/>
            <w:vMerge w:val="restart"/>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80" w:type="dxa"/>
            <w:vAlign w:val="bottom"/>
            <w:gridSpan w:val="3"/>
            <w:vMerge w:val="continue"/>
          </w:tcPr>
          <w:p>
            <w:pPr>
              <w:spacing w:after="0"/>
              <w:rPr>
                <w:sz w:val="12"/>
                <w:szCs w:val="12"/>
                <w:color w:val="auto"/>
              </w:rPr>
            </w:pPr>
          </w:p>
        </w:tc>
        <w:tc>
          <w:tcPr>
            <w:tcW w:w="2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as Part of</w:t>
            </w:r>
          </w:p>
        </w:tc>
        <w:tc>
          <w:tcPr>
            <w:tcW w:w="12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180"/>
        </w:trPr>
        <w:tc>
          <w:tcPr>
            <w:tcW w:w="62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54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5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44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 (2)</w:t>
            </w:r>
          </w:p>
        </w:tc>
        <w:tc>
          <w:tcPr>
            <w:tcW w:w="120" w:type="dxa"/>
            <w:vAlign w:val="bottom"/>
          </w:tcPr>
          <w:p>
            <w:pPr>
              <w:spacing w:after="0"/>
              <w:rPr>
                <w:sz w:val="15"/>
                <w:szCs w:val="15"/>
                <w:color w:val="auto"/>
              </w:rPr>
            </w:pPr>
          </w:p>
        </w:tc>
        <w:tc>
          <w:tcPr>
            <w:tcW w:w="17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Plan (3)</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2 – May 29, 2022</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ind w:left="1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30 – July 3, 2022</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4 – July 31, 2022</w:t>
            </w:r>
          </w:p>
        </w:tc>
        <w:tc>
          <w:tcPr>
            <w:tcW w:w="15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764,988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32.70</w:t>
            </w:r>
          </w:p>
        </w:tc>
        <w:tc>
          <w:tcPr>
            <w:tcW w:w="2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764,988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information is presented by reference to our fiscal periods during the thirteen weeks ended July 31, 2022.</w:t>
      </w:r>
    </w:p>
    <w:p>
      <w:pPr>
        <w:spacing w:after="0" w:line="27" w:lineRule="exact"/>
        <w:rPr>
          <w:rFonts w:ascii="Times New Roman" w:cs="Times New Roman" w:eastAsia="Times New Roman" w:hAnsi="Times New Roman"/>
          <w:sz w:val="18"/>
          <w:szCs w:val="18"/>
          <w:color w:val="auto"/>
        </w:rPr>
      </w:pPr>
    </w:p>
    <w:p>
      <w:pPr>
        <w:jc w:val="both"/>
        <w:ind w:left="540" w:right="4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 repurchase authorization in effect on July 31, 2022.</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0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gridSpan w:val="8"/>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5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3"/>
                <w:szCs w:val="23"/>
                <w:color w:val="auto"/>
              </w:rPr>
            </w:pPr>
          </w:p>
        </w:tc>
        <w:tc>
          <w:tcPr>
            <w:tcW w:w="9540" w:type="dxa"/>
            <w:vAlign w:val="bottom"/>
            <w:tcBorders>
              <w:top w:val="single" w:sz="8" w:color="auto"/>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of Nonqualified Stock Option Award Agreement by and between Christopher Morris and Dave &amp; Buster’s Entertainment, Inc.</w:t>
            </w:r>
          </w:p>
        </w:tc>
        <w:tc>
          <w:tcPr>
            <w:tcW w:w="260" w:type="dxa"/>
            <w:vAlign w:val="bottom"/>
            <w:tcBorders>
              <w:top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Form of Nonqualified Stock Option Award Agreement by and between Christopher Morris and Dave &amp; Buster’s Entertainment, Inc.</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24"/>
                <w:szCs w:val="24"/>
                <w:color w:val="auto"/>
              </w:rPr>
            </w:pPr>
          </w:p>
        </w:tc>
        <w:tc>
          <w:tcPr>
            <w:tcW w:w="9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by and between Christopher Morris and Dave &amp; Buster’s Entertainment, Inc.</w:t>
            </w:r>
          </w:p>
        </w:tc>
        <w:tc>
          <w:tcPr>
            <w:tcW w:w="38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by and between Christopher Morris and Dave &amp; Buster’s Entertainment, Inc.</w:t>
            </w:r>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Form of Restricted Stock Unit Award Agreement by and between Christopher Morris and Dave &amp; Buster’s Entertainment, Inc.</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91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Christopher Morris, Chief Executive Officer of the Registrant, pursuant to 17 CFR 240.13a-14(a) or 17</w:t>
            </w:r>
          </w:p>
        </w:tc>
        <w:tc>
          <w:tcPr>
            <w:tcW w:w="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5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CFR 240.15d-14(a).</w:t>
            </w:r>
          </w:p>
        </w:tc>
        <w:tc>
          <w:tcPr>
            <w:tcW w:w="1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Michael A. Quartieri, Chief Financial Officer of the Registrant, pursuant to 17 CFR 240.13a-14(a) or 17 CFR</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240.</w:t>
            </w:r>
            <w:r>
              <w:rPr>
                <w:rFonts w:ascii="Times New Roman" w:cs="Times New Roman" w:eastAsia="Times New Roman" w:hAnsi="Times New Roman"/>
                <w:sz w:val="18"/>
                <w:szCs w:val="18"/>
                <w:u w:val="single" w:color="auto"/>
                <w:color w:val="0000EE"/>
              </w:rPr>
              <w:t>15d</w:t>
            </w:r>
            <w:r>
              <w:rPr>
                <w:rFonts w:ascii="Times New Roman" w:cs="Times New Roman" w:eastAsia="Times New Roman" w:hAnsi="Times New Roman"/>
                <w:sz w:val="18"/>
                <w:szCs w:val="18"/>
                <w:color w:val="0000EE"/>
              </w:rPr>
              <w:t>-14(a).</w:t>
            </w:r>
          </w:p>
        </w:tc>
        <w:tc>
          <w:tcPr>
            <w:tcW w:w="7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Christopher Morris, Chief Executive Officer of the Registrant, pursuant to 18 U.S.C. Section 1350, as adopted pursuant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906 of the Sarbanes-Oxley Act of 2002.</w:t>
            </w:r>
          </w:p>
        </w:tc>
        <w:tc>
          <w:tcPr>
            <w:tcW w:w="61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Michael A. Quartieri, Chief Financial Officer of the Registrant, pursuant to 18 U.S.C. Section 1350, as adopted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4840" w:type="dxa"/>
            <w:vAlign w:val="bottom"/>
            <w:tcBorders>
              <w:top w:val="single" w:sz="8" w:color="0000EE"/>
            </w:tcBorders>
            <w:gridSpan w:val="4"/>
          </w:tcPr>
          <w:p>
            <w:pPr>
              <w:spacing w:after="0"/>
              <w:rPr>
                <w:sz w:val="17"/>
                <w:szCs w:val="17"/>
                <w:color w:val="auto"/>
              </w:rPr>
            </w:pPr>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Instance Document—the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Label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Inline Taxonomy Extension Presentation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220" w:type="dxa"/>
            <w:vAlign w:val="bottom"/>
            <w:tcBorders>
              <w:bottom w:val="single" w:sz="8" w:color="auto"/>
            </w:tcBorders>
            <w:gridSpan w:val="2"/>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herein</w:t>
            </w: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60" w:type="dxa"/>
            <w:vAlign w:val="bottom"/>
            <w:gridSpan w:val="5"/>
          </w:tcPr>
          <w:p>
            <w:pPr>
              <w:ind w:left="420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040"/>
          </w:cols>
          <w:pgMar w:left="320" w:top="48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September 7, 2022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September 7, 2022</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DAVE &amp; BUSTER’S ENTERTAINMENT,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17145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17145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ectPr>
          <w:pgSz w:w="11900" w:h="16838" w:orient="portrait"/>
          <w:cols w:equalWidth="0" w:num="2">
            <w:col w:w="5020" w:space="720"/>
            <w:col w:w="5300"/>
          </w:cols>
          <w:pgMar w:left="320" w:top="482" w:right="539" w:bottom="1440" w:gutter="0" w:footer="0" w:header="0"/>
          <w:type w:val="continuous"/>
        </w:sect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40"/>
          </w:cols>
          <w:pgMar w:left="320" w:top="482" w:right="5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FORM)</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t>THIS NONQUALIFIED STOCK OPTION AWARD AGREEMENT (this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is made effective as of June 29, 2022 (the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 Grant</w:t>
      </w:r>
      <w:r>
        <w:rPr>
          <w:rFonts w:ascii="Times New Roman" w:cs="Times New Roman" w:eastAsia="Times New Roman" w:hAnsi="Times New Roman"/>
          <w:sz w:val="17"/>
          <w:szCs w:val="17"/>
          <w:color w:val="auto"/>
        </w:rPr>
        <w:t>”), between Dave &amp; Buster’s Entertainment,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Christopher Morris (the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113" w:lineRule="exact"/>
        <w:rPr>
          <w:sz w:val="20"/>
          <w:szCs w:val="20"/>
          <w:color w:val="auto"/>
        </w:rPr>
      </w:pPr>
    </w:p>
    <w:p>
      <w:pPr>
        <w:ind w:right="360" w:firstLine="436"/>
        <w:spacing w:after="0" w:line="268" w:lineRule="auto"/>
        <w:tabs>
          <w:tab w:leader="none" w:pos="7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the Option</w:t>
      </w:r>
      <w:r>
        <w:rPr>
          <w:rFonts w:ascii="Times New Roman" w:cs="Times New Roman" w:eastAsia="Times New Roman" w:hAnsi="Times New Roman"/>
          <w:sz w:val="18"/>
          <w:szCs w:val="18"/>
          <w:color w:val="auto"/>
        </w:rPr>
        <w:t>. The Company hereby grants to the Participant the right and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on the terms and conditions hereinafter set forth, all or any part of an aggregate of 98,706 Shares as of the Date of Grant. The Option is intended to be a Nonqualified Stock Option.</w:t>
      </w:r>
    </w:p>
    <w:p>
      <w:pPr>
        <w:spacing w:after="0" w:line="170"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purchase price of the Shares subject to the Option is $33.77 per Share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40" w:firstLine="436"/>
        <w:spacing w:after="0" w:line="286" w:lineRule="auto"/>
        <w:tabs>
          <w:tab w:leader="none" w:pos="7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the Option shall be ten (10) years, commencing on the Date of Grant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Option shall automatically terminate upon the expiration of the Option Term, or at such earlier time specified herein or in the Plan.</w:t>
      </w:r>
    </w:p>
    <w:p>
      <w:pPr>
        <w:spacing w:after="0" w:line="158" w:lineRule="exact"/>
        <w:rPr>
          <w:rFonts w:ascii="Times New Roman" w:cs="Times New Roman" w:eastAsia="Times New Roman" w:hAnsi="Times New Roman"/>
          <w:sz w:val="18"/>
          <w:szCs w:val="18"/>
          <w:color w:val="auto"/>
        </w:rPr>
      </w:pPr>
    </w:p>
    <w:p>
      <w:pPr>
        <w:ind w:right="160" w:firstLine="436"/>
        <w:spacing w:after="0" w:line="266" w:lineRule="auto"/>
        <w:tabs>
          <w:tab w:leader="none" w:pos="7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the Option</w:t>
      </w:r>
      <w:r>
        <w:rPr>
          <w:rFonts w:ascii="Times New Roman" w:cs="Times New Roman" w:eastAsia="Times New Roman" w:hAnsi="Times New Roman"/>
          <w:sz w:val="18"/>
          <w:szCs w:val="18"/>
          <w:color w:val="auto"/>
        </w:rPr>
        <w:t>. Subject to the Participant’s continued Service with the Company through the applicable vesting date, Section 5 of this Award Agreement and the terms of the Plan, the Option shall vest in equal installments on each of the first five (5) anniversaries of the Date of Grant, such that one-fifth (1/5th) of the Option vests on each such anniversary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for Cause</w:t>
      </w:r>
      <w:r>
        <w:rPr>
          <w:rFonts w:ascii="Times New Roman" w:cs="Times New Roman" w:eastAsia="Times New Roman" w:hAnsi="Times New Roman"/>
          <w:sz w:val="18"/>
          <w:szCs w:val="18"/>
          <w:color w:val="auto"/>
        </w:rPr>
        <w:t>. Upon a termination of the Participant’s Service by the Company for Cause the Option, including any vested portion, shall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10</w:t>
      </w:r>
    </w:p>
    <w:p>
      <w:pPr>
        <w:sectPr>
          <w:pgSz w:w="11900" w:h="16838" w:orient="portrait"/>
          <w:cols w:equalWidth="0" w:num="1">
            <w:col w:w="11020"/>
          </w:cols>
          <w:pgMar w:left="440" w:top="117" w:right="439" w:bottom="1440" w:gutter="0" w:footer="0" w:header="0"/>
        </w:sectPr>
      </w:pPr>
    </w:p>
    <w:bookmarkStart w:id="38" w:name="page39"/>
    <w:bookmarkEnd w:id="38"/>
    <w:p>
      <w:pPr>
        <w:ind w:left="4" w:right="2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terminate and be forfeited without consideration. 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(i) “Cause” as defined in any employment agreement between the Participant and the Company or any of its Affiliates, or (ii)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misdemeanor involving fraud, theft or moral turpitude, or any other reckless or willful misconduct that is contrary to the best interests of the Company or materially and adversely affects the reputation of the Company.</w:t>
      </w:r>
    </w:p>
    <w:p>
      <w:pPr>
        <w:spacing w:after="0" w:line="186" w:lineRule="exact"/>
        <w:rPr>
          <w:sz w:val="20"/>
          <w:szCs w:val="20"/>
          <w:color w:val="auto"/>
        </w:rPr>
      </w:pPr>
    </w:p>
    <w:p>
      <w:pPr>
        <w:ind w:left="4" w:right="80" w:firstLine="987"/>
        <w:spacing w:after="0" w:line="253" w:lineRule="auto"/>
        <w:tabs>
          <w:tab w:leader="none" w:pos="13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any unvested portion of the Option shall immediately become vested, and any vested portion shall remain exercisable until the earlier of (i) one (1) year following such termination of Service and (ii) the expiration of the Option Term. 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“Disability” as defined in any employment agreement between the Participant and the Company or any of its Affiliates, or (B)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w:t>
      </w:r>
    </w:p>
    <w:p>
      <w:pPr>
        <w:spacing w:after="0" w:line="2" w:lineRule="exact"/>
        <w:rPr>
          <w:rFonts w:ascii="Times New Roman" w:cs="Times New Roman" w:eastAsia="Times New Roman" w:hAnsi="Times New Roman"/>
          <w:sz w:val="18"/>
          <w:szCs w:val="18"/>
          <w:color w:val="auto"/>
        </w:rPr>
      </w:pPr>
    </w:p>
    <w:p>
      <w:pPr>
        <w:ind w:left="4" w:right="740" w:hanging="4"/>
        <w:spacing w:after="0" w:line="260"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under an accident and health plan covering employees of Dave &amp; Buster’s Management Corporation, Inc. The determination of the Participant’s disability shall be made in good faith by a physician reasonably acceptable to the Company.</w:t>
      </w:r>
    </w:p>
    <w:p>
      <w:pPr>
        <w:spacing w:after="0" w:line="181" w:lineRule="exact"/>
        <w:rPr>
          <w:rFonts w:ascii="Times New Roman" w:cs="Times New Roman" w:eastAsia="Times New Roman" w:hAnsi="Times New Roman"/>
          <w:sz w:val="18"/>
          <w:szCs w:val="18"/>
          <w:color w:val="auto"/>
        </w:rPr>
      </w:pPr>
    </w:p>
    <w:p>
      <w:pPr>
        <w:ind w:left="4" w:right="160" w:firstLine="987"/>
        <w:spacing w:after="0" w:line="256" w:lineRule="auto"/>
        <w:tabs>
          <w:tab w:leader="none" w:pos="13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subject to the terms of the Plan, any unvested portion of the Option shall continue to vest on each remaining Vesting Date, and any vested portion shall remain exercisable until the expiration of the Option Term. 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87" w:lineRule="exact"/>
        <w:rPr>
          <w:rFonts w:ascii="Times New Roman" w:cs="Times New Roman" w:eastAsia="Times New Roman" w:hAnsi="Times New Roman"/>
          <w:sz w:val="18"/>
          <w:szCs w:val="18"/>
          <w:color w:val="auto"/>
        </w:rPr>
      </w:pPr>
    </w:p>
    <w:p>
      <w:pPr>
        <w:ind w:left="4" w:firstLine="987"/>
        <w:spacing w:after="0" w:line="256" w:lineRule="auto"/>
        <w:tabs>
          <w:tab w:leader="none" w:pos="13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a termination by reason of death or Disability), in either case before the final Vesting Date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xml:space="preserve">”), and (ii) the Specified Termination occurs on or within ninety (90) days before or twelve (12) months following the occurrence of a Change of Control of the Company, any unvested portion of the Option shall immediately vest, and any vested portion shall remain exercisable until the expiration of the Option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in the event that all Options issued and outstanding under the Plan are terminated in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004"/>
          </w:cols>
          <w:pgMar w:left="436" w:top="266" w:right="459" w:bottom="1440" w:gutter="0" w:footer="0" w:header="0"/>
        </w:sectPr>
      </w:pPr>
    </w:p>
    <w:bookmarkStart w:id="39" w:name="page40"/>
    <w:bookmarkEnd w:id="39"/>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such Change of Control. For purposes of this Award Agreement, “</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w:t>
      </w:r>
    </w:p>
    <w:p>
      <w:pPr>
        <w:spacing w:after="0" w:line="3" w:lineRule="exact"/>
        <w:rPr>
          <w:sz w:val="20"/>
          <w:szCs w:val="20"/>
          <w:color w:val="auto"/>
        </w:rPr>
      </w:pPr>
    </w:p>
    <w:p>
      <w:pPr>
        <w:ind w:left="344" w:hanging="344"/>
        <w:spacing w:after="0"/>
        <w:tabs>
          <w:tab w:leader="none" w:pos="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occurrence of such event and the Company shall have failed to cure such event within thirty (30) days of receipt of such written notice.</w:t>
      </w:r>
    </w:p>
    <w:p>
      <w:pPr>
        <w:spacing w:after="0" w:line="206"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7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w:t>
      </w:r>
      <w:r>
        <w:rPr>
          <w:rFonts w:ascii="Times New Roman" w:cs="Times New Roman" w:eastAsia="Times New Roman" w:hAnsi="Times New Roman"/>
          <w:sz w:val="18"/>
          <w:szCs w:val="18"/>
          <w:color w:val="auto"/>
        </w:rPr>
        <w:t>. Upon a termination of the Participant’s Service by the Company without Cause or due to the Participant’s resignation for Good Reason (excluding a termination by reason of death or Disability) other than as provided in Section 5(d): (i) any portion of the Option that is vested as of the date of such termination of employment shall remain exercisable until the earlier of (A) ninety (90) days following such termination of Service and (B) the expiration of the Option Term; provided, that if a Change of Control should occur on or before the earlier of (A) and (B), then any portion of the Option that is vested as of the date of such termination of employment shall remain exercisable until the expiration of the Option Term; and (ii) any portion of the Option that is unvested as of such termination of employment shall remain outstanding but unexercisable until the earliest of (A) the date that is ninety (90) days following such termination of Service, at which time the unvested portion shall terminate and be forfeited, (B) the expiration of the Option Term, at which time the unvested portion shall terminate and be forfeited, and (C) the consummation of a Change of Control of the Company, at which time the unvested portion shall remain eligible for continued vesting in accordance with the terms of this Award notwithstanding such termination of employment (and to the extent the unvested portion would have vested pursuant to Section 4 hereof prior to the Change of Control if the Participant’s Service had not terminated, the unvested portion shall be deemed to have vested in accordance with and to the extent applicable to that vesting schedule).</w:t>
      </w:r>
    </w:p>
    <w:p>
      <w:pPr>
        <w:spacing w:after="0" w:line="189"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35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pursuant to </w:t>
      </w:r>
      <w:r>
        <w:rPr>
          <w:rFonts w:ascii="Times New Roman" w:cs="Times New Roman" w:eastAsia="Times New Roman" w:hAnsi="Times New Roman"/>
          <w:sz w:val="18"/>
          <w:szCs w:val="18"/>
          <w:u w:val="single" w:color="auto"/>
          <w:color w:val="auto"/>
        </w:rPr>
        <w:t>Sections 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5(e)</w:t>
      </w:r>
      <w:r>
        <w:rPr>
          <w:rFonts w:ascii="Times New Roman" w:cs="Times New Roman" w:eastAsia="Times New Roman" w:hAnsi="Times New Roman"/>
          <w:sz w:val="18"/>
          <w:szCs w:val="18"/>
          <w:color w:val="auto"/>
        </w:rPr>
        <w:t xml:space="preserve"> above, any unvested portion of the Option shall immediately terminate and be forfeited without consideration, and any vested portion of the Option shall remain exercisable until the earlier of (i) ninety (90) days following such termination of Service and (ii) the expiration of the Option Term.</w:t>
      </w:r>
    </w:p>
    <w:p>
      <w:pPr>
        <w:spacing w:after="0" w:line="179"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37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To the extent exercisable, the Participant or the Participant’s representative may exercise any vested portion of the Option or any part thereof prior to the expiration of the Option Term or as otherwise set forth in Section 5 hereof by giving written notice to the Company in the form attached hereto as Exhibit A or any other form acceptable to the Committee or the Committee’s designated administrative representative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Notice of Exercise shall be signed by the person exercising such Option or shall evidence the intent of the person exercising such Option if delivered in electronic format or with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1004"/>
          </w:cols>
          <w:pgMar w:left="436" w:top="266" w:right="459" w:bottom="1440" w:gutter="0" w:footer="0" w:header="0"/>
        </w:sectPr>
      </w:pPr>
    </w:p>
    <w:bookmarkStart w:id="40" w:name="page41"/>
    <w:bookmarkEnd w:id="40"/>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electronic signature. In the event that such Option is being exercised by the Participant’s representative, the Notice of Exercise shall be accompanied by proof (satisfactory to the Company) of such representative’s right to exercise such Option.</w:t>
      </w:r>
    </w:p>
    <w:p>
      <w:pPr>
        <w:spacing w:after="0" w:line="162" w:lineRule="exact"/>
        <w:rPr>
          <w:sz w:val="20"/>
          <w:szCs w:val="20"/>
          <w:color w:val="auto"/>
        </w:rPr>
      </w:pPr>
    </w:p>
    <w:p>
      <w:pPr>
        <w:ind w:right="40" w:firstLine="987"/>
        <w:spacing w:after="0" w:line="254" w:lineRule="auto"/>
        <w:tabs>
          <w:tab w:leader="none" w:pos="13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The Participant or the Participant’s representative shall deliver to the Company, at the time the Notice of Exercise is given, payment (i) in cash or its equivalent (e.g., by cashier’s check), (ii) in Shares (whether or not previously owned by the Participant) having a Fair Market Value equal to the aggregate Option Price for the Shares being purchased and satisfying such other requirements as may be imposed by the Committee, (iii) partly in cash and partly in Shares (as described in clause (ii) 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Plan for the full amount of the aggregate Option Price for the exercised Option.</w:t>
      </w:r>
    </w:p>
    <w:p>
      <w:pPr>
        <w:spacing w:after="0" w:line="191" w:lineRule="exact"/>
        <w:rPr>
          <w:rFonts w:ascii="Times New Roman" w:cs="Times New Roman" w:eastAsia="Times New Roman" w:hAnsi="Times New Roman"/>
          <w:sz w:val="18"/>
          <w:szCs w:val="18"/>
          <w:color w:val="auto"/>
        </w:rPr>
      </w:pPr>
    </w:p>
    <w:p>
      <w:pPr>
        <w:ind w:right="180" w:firstLine="987"/>
        <w:spacing w:after="0" w:line="266" w:lineRule="auto"/>
        <w:tabs>
          <w:tab w:leader="none" w:pos="13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Provided the Company receives a properly completed and executed Notice of Exercise and payment for the full amount of the aggregate Option Price and the Participant has made arrangements for appropriate withholding, the Company shall promptly cause the Shares underlying the exercised Option to be issued in the name of the Person exercising the applicable Option.</w:t>
      </w:r>
    </w:p>
    <w:p>
      <w:pPr>
        <w:spacing w:after="0" w:line="175" w:lineRule="exact"/>
        <w:rPr>
          <w:rFonts w:ascii="Times New Roman" w:cs="Times New Roman" w:eastAsia="Times New Roman" w:hAnsi="Times New Roman"/>
          <w:sz w:val="18"/>
          <w:szCs w:val="18"/>
          <w:color w:val="auto"/>
        </w:rPr>
      </w:pPr>
    </w:p>
    <w:p>
      <w:pPr>
        <w:ind w:right="300" w:firstLine="436"/>
        <w:spacing w:after="0" w:line="266" w:lineRule="auto"/>
        <w:tabs>
          <w:tab w:leader="none" w:pos="7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herein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10</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7 shall survive exercise, termination or settlement of the Option and termination or satisfaction of the Award Agreement.</w:t>
      </w:r>
    </w:p>
    <w:p>
      <w:pPr>
        <w:spacing w:after="0" w:line="225" w:lineRule="exact"/>
        <w:rPr>
          <w:sz w:val="20"/>
          <w:szCs w:val="20"/>
          <w:color w:val="auto"/>
        </w:rPr>
      </w:pPr>
    </w:p>
    <w:p>
      <w:pPr>
        <w:ind w:right="140" w:firstLine="436"/>
        <w:spacing w:after="0" w:line="266" w:lineRule="auto"/>
        <w:tabs>
          <w:tab w:leader="none" w:pos="7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Option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7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8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 (or, if the Participant is disabled, the Participant’s representative).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5 of 10</w:t>
      </w:r>
    </w:p>
    <w:p>
      <w:pPr>
        <w:sectPr>
          <w:pgSz w:w="11900" w:h="16838" w:orient="portrait"/>
          <w:cols w:equalWidth="0" w:num="1">
            <w:col w:w="10960"/>
          </w:cols>
          <w:pgMar w:left="440" w:top="270" w:right="499" w:bottom="1440" w:gutter="0" w:footer="0" w:header="0"/>
        </w:sectPr>
      </w:pPr>
    </w:p>
    <w:bookmarkStart w:id="42" w:name="page43"/>
    <w:bookmarkEnd w:id="42"/>
    <w:p>
      <w:pPr>
        <w:ind w:left="-60" w:right="220" w:firstLine="436"/>
        <w:spacing w:after="0" w:line="266"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ind w:left="-60" w:firstLine="436"/>
        <w:spacing w:after="0" w:line="261"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left="-60" w:right="220" w:firstLine="436"/>
        <w:spacing w:after="0" w:line="266"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5" w:lineRule="exact"/>
        <w:rPr>
          <w:rFonts w:ascii="Times New Roman" w:cs="Times New Roman" w:eastAsia="Times New Roman" w:hAnsi="Times New Roman"/>
          <w:sz w:val="18"/>
          <w:szCs w:val="18"/>
          <w:color w:val="auto"/>
        </w:rPr>
      </w:pPr>
    </w:p>
    <w:p>
      <w:pPr>
        <w:ind w:left="-60" w:firstLine="436"/>
        <w:spacing w:after="0" w:line="282"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left="-60" w:right="60" w:firstLine="436"/>
        <w:spacing w:after="0" w:line="261"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780" w:hanging="404"/>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20" w:firstLine="987"/>
        <w:spacing w:after="0" w:line="253" w:lineRule="auto"/>
        <w:tabs>
          <w:tab w:leader="none" w:pos="13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10</w:t>
      </w:r>
    </w:p>
    <w:p>
      <w:pPr>
        <w:sectPr>
          <w:pgSz w:w="11900" w:h="16838" w:orient="portrait"/>
          <w:cols w:equalWidth="0" w:num="1">
            <w:col w:w="10880"/>
          </w:cols>
          <w:pgMar w:left="500" w:top="270" w:right="519" w:bottom="1440" w:gutter="0" w:footer="0" w:header="0"/>
        </w:sectPr>
      </w:pPr>
    </w:p>
    <w:bookmarkStart w:id="43" w:name="page44"/>
    <w:bookmarkEnd w:id="43"/>
    <w:p>
      <w:pPr>
        <w:ind w:right="220" w:firstLine="987"/>
        <w:spacing w:after="0" w:line="266" w:lineRule="auto"/>
        <w:tabs>
          <w:tab w:leader="none" w:pos="13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80" w:firstLine="436"/>
        <w:spacing w:after="0" w:line="282"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Option. The Committee and the Company make no guarantees regarding the tax treatment of the Option.</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Committee may amend or alter this Award Agreement and the Option granted hereunder at any time, subject to the terms</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Plan.</w:t>
      </w:r>
    </w:p>
    <w:p>
      <w:pPr>
        <w:spacing w:after="0" w:line="206" w:lineRule="exact"/>
        <w:rPr>
          <w:rFonts w:ascii="Times New Roman" w:cs="Times New Roman" w:eastAsia="Times New Roman" w:hAnsi="Times New Roman"/>
          <w:sz w:val="17"/>
          <w:szCs w:val="17"/>
          <w:color w:val="auto"/>
        </w:rPr>
      </w:pPr>
    </w:p>
    <w:p>
      <w:pPr>
        <w:ind w:right="60" w:firstLine="436"/>
        <w:spacing w:after="0" w:line="282"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80" w:firstLine="436"/>
        <w:spacing w:after="0" w:line="255"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8" w:lineRule="exact"/>
        <w:rPr>
          <w:rFonts w:ascii="Times New Roman" w:cs="Times New Roman" w:eastAsia="Times New Roman" w:hAnsi="Times New Roman"/>
          <w:sz w:val="18"/>
          <w:szCs w:val="18"/>
          <w:color w:val="auto"/>
        </w:rPr>
      </w:pPr>
    </w:p>
    <w:p>
      <w:pPr>
        <w:ind w:right="460" w:firstLine="436"/>
        <w:spacing w:after="0" w:line="282"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0860"/>
          </w:cols>
          <w:pgMar w:left="440" w:top="270" w:right="59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Nonqualified Stock Option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Robert W. Edmund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Secretary and SVP of HR</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8 of 10</w:t>
      </w:r>
    </w:p>
    <w:p>
      <w:pPr>
        <w:sectPr>
          <w:pgSz w:w="11900" w:h="16838" w:orient="portrait"/>
          <w:cols w:equalWidth="0" w:num="1">
            <w:col w:w="10860"/>
          </w:cols>
          <w:pgMar w:left="440" w:top="270" w:right="599" w:bottom="1440" w:gutter="0" w:footer="0" w:header="0"/>
        </w:sectPr>
      </w:pPr>
    </w:p>
    <w:bookmarkStart w:id="45" w:name="page46"/>
    <w:bookmarkEnd w:id="45"/>
    <w:tbl>
      <w:tblPr>
        <w:tblLayout w:type="fixed"/>
        <w:tblInd w:w="4"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38"/>
        </w:trPr>
        <w:tc>
          <w:tcPr>
            <w:tcW w:w="1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Notice of Exercise</w:t>
            </w:r>
          </w:p>
        </w:tc>
      </w:tr>
      <w:tr>
        <w:trPr>
          <w:trHeight w:val="4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Entertainment, Inc.</w:t>
            </w:r>
          </w:p>
        </w:tc>
        <w:tc>
          <w:tcPr>
            <w:tcW w:w="248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S. Belt Line Road #500</w:t>
            </w:r>
          </w:p>
        </w:tc>
        <w:tc>
          <w:tcPr>
            <w:tcW w:w="248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Coppell, Texas 75019</w:t>
            </w:r>
          </w:p>
        </w:tc>
        <w:tc>
          <w:tcPr>
            <w:tcW w:w="2480" w:type="dxa"/>
            <w:vAlign w:val="bottom"/>
          </w:tcPr>
          <w:p>
            <w:pPr>
              <w:spacing w:after="0"/>
              <w:rPr>
                <w:sz w:val="18"/>
                <w:szCs w:val="18"/>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General Counsel</w:t>
            </w:r>
          </w:p>
        </w:tc>
        <w:tc>
          <w:tcPr>
            <w:tcW w:w="24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Date of Exercise:</w:t>
            </w:r>
          </w:p>
        </w:tc>
      </w:tr>
      <w:tr>
        <w:trPr>
          <w:trHeight w:val="176"/>
        </w:trPr>
        <w:tc>
          <w:tcPr>
            <w:tcW w:w="1620" w:type="dxa"/>
            <w:vAlign w:val="bottom"/>
            <w:tcBorders>
              <w:bottom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2480" w:type="dxa"/>
            <w:vAlign w:val="bottom"/>
          </w:tcPr>
          <w:p>
            <w:pPr>
              <w:spacing w:after="0"/>
              <w:rPr>
                <w:sz w:val="15"/>
                <w:szCs w:val="15"/>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5" w:lineRule="exact"/>
        <w:rPr>
          <w:sz w:val="20"/>
          <w:szCs w:val="20"/>
          <w:color w:val="auto"/>
        </w:rPr>
      </w:pPr>
    </w:p>
    <w:p>
      <w:pPr>
        <w:ind w:left="4" w:right="20" w:firstLine="436"/>
        <w:spacing w:after="0" w:line="258" w:lineRule="auto"/>
        <w:tabs>
          <w:tab w:leader="none" w:pos="7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This constitutes notice to Dave &amp; Buster’s Entertainment,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pursuant to my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Award 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under the Company’s 2014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 elect to purchase the number of Shares of Company common stock set forth below and for the price set forth below. By signing and delivering this notice to the Company, I hereby acknowledge that I am the holder of the stock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exercised by this notice and have full power and authority to exercise the same. Any capitalized terms used but not defined herein shall have the meanings ascribed to them in the Award Agreement or the Plan, as applicable.</w:t>
      </w:r>
    </w:p>
    <w:p>
      <w:pPr>
        <w:spacing w:after="0" w:line="212"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0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as to which the Option is exercised</w:t>
            </w: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(“Optioned Shares”):</w:t>
            </w:r>
          </w:p>
        </w:tc>
        <w:tc>
          <w:tcPr>
            <w:tcW w:w="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Shares to be issued in name of:</w:t>
            </w:r>
          </w:p>
        </w:tc>
        <w:tc>
          <w:tcPr>
            <w:tcW w:w="3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20" w:type="dxa"/>
            <w:vAlign w:val="bottom"/>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payment or other method of payment permitted under</w:t>
            </w: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6(b) of the Award Agreement delivered herewith:</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Method:</w:t>
            </w:r>
          </w:p>
        </w:tc>
        <w:tc>
          <w:tcPr>
            <w:tcW w:w="30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764" w:hanging="324"/>
        <w:spacing w:after="0"/>
        <w:tabs>
          <w:tab w:leader="none" w:pos="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Payment</w:t>
      </w:r>
      <w:r>
        <w:rPr>
          <w:rFonts w:ascii="Times New Roman" w:cs="Times New Roman" w:eastAsia="Times New Roman" w:hAnsi="Times New Roman"/>
          <w:sz w:val="18"/>
          <w:szCs w:val="18"/>
          <w:color w:val="auto"/>
        </w:rPr>
        <w:t>. The Option may be exercised by delivery to the Company of payment (i) in cash or its equivalent (e.g., by cashier’s check),</w:t>
      </w:r>
    </w:p>
    <w:p>
      <w:pPr>
        <w:spacing w:after="0" w:line="29" w:lineRule="exact"/>
        <w:rPr>
          <w:rFonts w:ascii="Times New Roman" w:cs="Times New Roman" w:eastAsia="Times New Roman" w:hAnsi="Times New Roman"/>
          <w:sz w:val="18"/>
          <w:szCs w:val="18"/>
          <w:color w:val="auto"/>
        </w:rPr>
      </w:pPr>
    </w:p>
    <w:p>
      <w:pPr>
        <w:ind w:left="4" w:right="400" w:hanging="4"/>
        <w:spacing w:after="0" w:line="260"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Shares (whether or not previously owned by the Person exercising the Option pursuant to this notice) having a Fair Market Value equal to the aggregate Option Price for the Shares being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9 of 10</w:t>
      </w:r>
    </w:p>
    <w:p>
      <w:pPr>
        <w:sectPr>
          <w:pgSz w:w="11900" w:h="16838" w:orient="portrait"/>
          <w:cols w:equalWidth="0" w:num="1">
            <w:col w:w="11024"/>
          </w:cols>
          <w:pgMar w:left="436" w:top="266" w:right="43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and satisfying such other requirements as may be imposed by the Committee, (iii) partly in cash and partly in Shares (as described in clause</w:t>
      </w:r>
    </w:p>
    <w:p>
      <w:pPr>
        <w:spacing w:after="0" w:line="27" w:lineRule="exact"/>
        <w:rPr>
          <w:sz w:val="20"/>
          <w:szCs w:val="20"/>
          <w:color w:val="auto"/>
        </w:rPr>
      </w:pPr>
    </w:p>
    <w:p>
      <w:pPr>
        <w:ind w:left="4" w:hanging="4"/>
        <w:spacing w:after="0" w:line="253"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Section 6.5 of the Plan for the full amount of the aggregate Option Price for the exercised Option.</w:t>
      </w:r>
    </w:p>
    <w:p>
      <w:pPr>
        <w:spacing w:after="0" w:line="184" w:lineRule="exact"/>
        <w:rPr>
          <w:rFonts w:ascii="Times New Roman" w:cs="Times New Roman" w:eastAsia="Times New Roman" w:hAnsi="Times New Roman"/>
          <w:sz w:val="18"/>
          <w:szCs w:val="18"/>
          <w:color w:val="auto"/>
        </w:rPr>
      </w:pPr>
    </w:p>
    <w:p>
      <w:pPr>
        <w:ind w:left="4" w:right="680" w:firstLine="436"/>
        <w:spacing w:after="0" w:line="284" w:lineRule="auto"/>
        <w:tabs>
          <w:tab w:leader="none" w:pos="7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Payment</w:t>
      </w:r>
      <w:r>
        <w:rPr>
          <w:rFonts w:ascii="Times New Roman" w:cs="Times New Roman" w:eastAsia="Times New Roman" w:hAnsi="Times New Roman"/>
          <w:sz w:val="18"/>
          <w:szCs w:val="18"/>
          <w:color w:val="auto"/>
        </w:rPr>
        <w:t>. With this notice, I hereby deliver to the Company the full exercise price of the Optioned Shares and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 due in connection with the exercise of my Option or have otherwise satisfied such requirements.</w:t>
      </w:r>
    </w:p>
    <w:p>
      <w:pPr>
        <w:spacing w:after="0" w:line="158"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While the Company will endeavor to process this notice in a timely manner, I acknowledge that until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spacing w:after="0" w:line="183" w:lineRule="exact"/>
        <w:rPr>
          <w:rFonts w:ascii="Times New Roman" w:cs="Times New Roman" w:eastAsia="Times New Roman" w:hAnsi="Times New Roman"/>
          <w:sz w:val="18"/>
          <w:szCs w:val="18"/>
          <w:color w:val="auto"/>
        </w:rPr>
      </w:pPr>
    </w:p>
    <w:p>
      <w:pPr>
        <w:ind w:left="4" w:right="860" w:firstLine="436"/>
        <w:spacing w:after="0" w:line="284" w:lineRule="auto"/>
        <w:tabs>
          <w:tab w:leader="none" w:pos="7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Any dispute regarding the interpretation of this notice shall be submitted promptly by me or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resolution of such a dispute by the Committee shall be final and binding on all parties.</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Severability</w:t>
      </w:r>
      <w:r>
        <w:rPr>
          <w:rFonts w:ascii="Times New Roman" w:cs="Times New Roman" w:eastAsia="Times New Roman" w:hAnsi="Times New Roman"/>
          <w:sz w:val="18"/>
          <w:szCs w:val="18"/>
          <w:color w:val="auto"/>
        </w:rPr>
        <w:t>. This notice is governed by the internal substantive laws but not the choice of law rules, of Delaware.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that any provision hereof becomes or is declared by a court of competent jurisdiction to be illegal, unenforceable or void, this notice will continue in full force and effect without said provision.</w:t>
      </w:r>
    </w:p>
    <w:p>
      <w:pPr>
        <w:spacing w:after="0" w:line="173" w:lineRule="exact"/>
        <w:rPr>
          <w:rFonts w:ascii="Times New Roman" w:cs="Times New Roman" w:eastAsia="Times New Roman" w:hAnsi="Times New Roman"/>
          <w:sz w:val="18"/>
          <w:szCs w:val="18"/>
          <w:color w:val="auto"/>
        </w:rPr>
      </w:pPr>
    </w:p>
    <w:p>
      <w:pPr>
        <w:ind w:left="4" w:right="200" w:firstLine="436"/>
        <w:spacing w:after="0" w:line="284" w:lineRule="auto"/>
        <w:tabs>
          <w:tab w:leader="none" w:pos="7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The Plan and the Award Agreement under which the Optioned Shares were granted are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together with this notice constitute the entire agreement of the parties with respect to the subject matter hereof.</w:t>
      </w:r>
    </w:p>
    <w:p>
      <w:pPr>
        <w:spacing w:after="0" w:line="18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334645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ind w:left="4144"/>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2022 Nonqualified Stock Option Award Agreement No 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10 of 10</w:t>
      </w:r>
    </w:p>
    <w:p>
      <w:pPr>
        <w:sectPr>
          <w:pgSz w:w="11900" w:h="16838" w:orient="portrait"/>
          <w:cols w:equalWidth="0" w:num="1">
            <w:col w:w="11004"/>
          </w:cols>
          <w:pgMar w:left="436" w:top="270" w:right="4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AWARD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FORM)</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t>THIS NONQUALIFIED STOCK OPTION AWARD AGREEMENT (this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is made effective as of June 29, 2022 (the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 Grant</w:t>
      </w:r>
      <w:r>
        <w:rPr>
          <w:rFonts w:ascii="Times New Roman" w:cs="Times New Roman" w:eastAsia="Times New Roman" w:hAnsi="Times New Roman"/>
          <w:sz w:val="17"/>
          <w:szCs w:val="17"/>
          <w:color w:val="auto"/>
        </w:rPr>
        <w:t>”), between Dave &amp; Buster’s Entertainment,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Christopher Morris (the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113" w:lineRule="exact"/>
        <w:rPr>
          <w:sz w:val="20"/>
          <w:szCs w:val="20"/>
          <w:color w:val="auto"/>
        </w:rPr>
      </w:pPr>
    </w:p>
    <w:p>
      <w:pPr>
        <w:jc w:val="both"/>
        <w:ind w:right="40" w:firstLine="436"/>
        <w:spacing w:after="0" w:line="31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the Option</w:t>
      </w:r>
      <w:r>
        <w:rPr>
          <w:rFonts w:ascii="Times New Roman" w:cs="Times New Roman" w:eastAsia="Times New Roman" w:hAnsi="Times New Roman"/>
          <w:sz w:val="17"/>
          <w:szCs w:val="17"/>
          <w:color w:val="auto"/>
        </w:rPr>
        <w:t>. The Company hereby grants to the Participant the right and option (the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to purchase, on the terms and conditions hereinafter set forth, all or any part of an aggregate of 29,612 Shares as of the Date of Grant. The Option is intended to be a Nonqualified Stock Option.</w:t>
      </w:r>
    </w:p>
    <w:p>
      <w:pPr>
        <w:spacing w:after="0" w:line="131"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purchase price of the Shares subject to the Option is $33.77 per Share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60" w:firstLine="436"/>
        <w:spacing w:after="0" w:line="28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the Option shall be ten (10) years, commencing on the Date of Grant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The Option shall automatically terminate upon the expiration of the Option Term, or at such earlier time specified herein or in the Plan.</w:t>
      </w:r>
    </w:p>
    <w:p>
      <w:pPr>
        <w:spacing w:after="0" w:line="158" w:lineRule="exact"/>
        <w:rPr>
          <w:rFonts w:ascii="Times New Roman" w:cs="Times New Roman" w:eastAsia="Times New Roman" w:hAnsi="Times New Roman"/>
          <w:sz w:val="18"/>
          <w:szCs w:val="18"/>
          <w:color w:val="auto"/>
        </w:rPr>
      </w:pPr>
    </w:p>
    <w:p>
      <w:pPr>
        <w:ind w:right="220" w:firstLine="436"/>
        <w:spacing w:after="0" w:line="266" w:lineRule="auto"/>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the Option</w:t>
      </w:r>
      <w:r>
        <w:rPr>
          <w:rFonts w:ascii="Times New Roman" w:cs="Times New Roman" w:eastAsia="Times New Roman" w:hAnsi="Times New Roman"/>
          <w:sz w:val="18"/>
          <w:szCs w:val="18"/>
          <w:color w:val="auto"/>
        </w:rPr>
        <w:t>. Subject to the Participant’s continued Service with the Company through the applicable vesting date, the condition set forth in Subsection 4(a) below, Section 5 of this Award Agreement and the terms of the Plan, the Option shall vest in equal installments on each of the first five (5) anniversaries of the Date of Grant, such that one-fifth (1/5th) of the Option vests on each such anniversary (each,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Condition</w:t>
      </w:r>
      <w:r>
        <w:rPr>
          <w:rFonts w:ascii="Times New Roman" w:cs="Times New Roman" w:eastAsia="Times New Roman" w:hAnsi="Times New Roman"/>
          <w:sz w:val="18"/>
          <w:szCs w:val="18"/>
          <w:color w:val="auto"/>
        </w:rPr>
        <w:t>. Participant must purchase at least $1,000,000 in Company Shares on the open market during the open trading window for Company insiders starting on the second business day following the Company’s release of earnings for the second fiscal quarter for fiscal 2022 and continuing until the close of business on October 14, 2022. If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w:t>
      </w:r>
    </w:p>
    <w:p>
      <w:pPr>
        <w:sectPr>
          <w:pgSz w:w="11900" w:h="16838" w:orient="portrait"/>
          <w:cols w:equalWidth="0" w:num="1">
            <w:col w:w="11020"/>
          </w:cols>
          <w:pgMar w:left="440" w:top="117" w:right="439" w:bottom="1440" w:gutter="0" w:footer="0" w:header="0"/>
        </w:sectPr>
      </w:pPr>
    </w:p>
    <w:bookmarkStart w:id="48" w:name="page49"/>
    <w:bookmarkEnd w:id="48"/>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is blacked out from trading during said trading window, then Participant shall make such purchase in the next available trading window in which he is not blacked out. If Participant fails to comply with this condition, the Option shall immediately terminate and be forfeited without consideration.</w:t>
      </w:r>
    </w:p>
    <w:p>
      <w:pPr>
        <w:spacing w:after="0" w:line="176" w:lineRule="exact"/>
        <w:rPr>
          <w:sz w:val="20"/>
          <w:szCs w:val="20"/>
          <w:color w:val="auto"/>
        </w:rPr>
      </w:pPr>
    </w:p>
    <w:p>
      <w:pPr>
        <w:ind w:left="624" w:hanging="184"/>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987"/>
        <w:spacing w:after="0" w:line="273" w:lineRule="auto"/>
        <w:tabs>
          <w:tab w:leader="none" w:pos="1240"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 for Cause</w:t>
      </w:r>
      <w:r>
        <w:rPr>
          <w:rFonts w:ascii="Times New Roman" w:cs="Times New Roman" w:eastAsia="Times New Roman" w:hAnsi="Times New Roman"/>
          <w:sz w:val="17"/>
          <w:szCs w:val="17"/>
          <w:color w:val="auto"/>
        </w:rPr>
        <w:t>. Upon a termination of the Participant’s Service by the Company for Cause the Option, including any vested portion, shall immediately terminate and be forfeited without consideration. For purposes of this Award Agreement,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xml:space="preserve">” means (i) “Cause” as defined in any employment agreement between the Participant and the Company or any of its Affiliates, or (ii)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misdemeanor involving fraud, theft or moral turpitude, or any other reckless or willful misconduct that is contrary to the best interests of the Company or materially and adversely affects the reputation of the Company.</w:t>
      </w:r>
    </w:p>
    <w:p>
      <w:pPr>
        <w:spacing w:after="0" w:line="171" w:lineRule="exact"/>
        <w:rPr>
          <w:rFonts w:ascii="Times New Roman" w:cs="Times New Roman" w:eastAsia="Times New Roman" w:hAnsi="Times New Roman"/>
          <w:sz w:val="17"/>
          <w:szCs w:val="17"/>
          <w:color w:val="auto"/>
        </w:rPr>
      </w:pPr>
    </w:p>
    <w:p>
      <w:pPr>
        <w:ind w:left="4" w:right="80" w:firstLine="987"/>
        <w:spacing w:after="0" w:line="253" w:lineRule="auto"/>
        <w:tabs>
          <w:tab w:leader="none" w:pos="125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any unvested portion of the Option shall immediately become vested, and any vested portion shall remain exercisable until the earlier of (i) one (1) year following such termination of Service and (ii) the expiration of the Option Term. 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“Disability” as defined in any employment agreement between the Participant and the Company or any of its Affiliates, or (B)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w:t>
      </w:r>
    </w:p>
    <w:p>
      <w:pPr>
        <w:spacing w:after="0" w:line="2" w:lineRule="exact"/>
        <w:rPr>
          <w:rFonts w:ascii="Times New Roman" w:cs="Times New Roman" w:eastAsia="Times New Roman" w:hAnsi="Times New Roman"/>
          <w:sz w:val="18"/>
          <w:szCs w:val="18"/>
          <w:color w:val="auto"/>
        </w:rPr>
      </w:pPr>
    </w:p>
    <w:p>
      <w:pPr>
        <w:ind w:left="4" w:right="720" w:hanging="4"/>
        <w:spacing w:after="0" w:line="260"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under an accident and health plan covering employees of Dave &amp; Buster’s Management Corporation, Inc. The determination of the Participant’s disability shall be made in good faith by a physician reasonably acceptable to the Company.</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subject to the terms of the Plan, any unvested portion of the Option shall continue to vest on each remaining Vesting Date, and any vested portion shall remain exercisable until the expiration of the Option Term. 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2 of 11</w:t>
      </w:r>
    </w:p>
    <w:p>
      <w:pPr>
        <w:sectPr>
          <w:pgSz w:w="11900" w:h="16838" w:orient="portrait"/>
          <w:cols w:equalWidth="0" w:num="1">
            <w:col w:w="10984"/>
          </w:cols>
          <w:pgMar w:left="436" w:top="270" w:right="479" w:bottom="1440" w:gutter="0" w:footer="0" w:header="0"/>
        </w:sectPr>
      </w:pPr>
    </w:p>
    <w:bookmarkStart w:id="49" w:name="page50"/>
    <w:bookmarkEnd w:id="49"/>
    <w:p>
      <w:pPr>
        <w:ind w:left="-20" w:firstLine="987"/>
        <w:spacing w:after="0" w:line="253"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without Cause or for Good Reason related to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a termination by reason of death or Disability), in either case before the final Vesting Date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xml:space="preserve">”), and (ii) the Specified Termination occurs on or within ninety (90) days before or twelve (12) months following the occurrence of a Change of Control of the Company, any unvested portion of the Option shall immediately vest, and any vested portion shall remain exercisable until the expiration of the Option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in the event that all Options issued and outstanding under the Plan are terminated in connection with such Change of Control. 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89"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w:t>
      </w:r>
      <w:r>
        <w:rPr>
          <w:rFonts w:ascii="Times New Roman" w:cs="Times New Roman" w:eastAsia="Times New Roman" w:hAnsi="Times New Roman"/>
          <w:sz w:val="18"/>
          <w:szCs w:val="18"/>
          <w:color w:val="auto"/>
        </w:rPr>
        <w:t>. Upon a termination of the Participant’s Service by the Company without Cause or due to the Participant’s resignation for Good Reason (excluding a termination by reason of death or Disability) other than as provided in Section 5(d): (i) any portion of the Option that is vested as of the date of such termination of employment shall remain exercisable until the earlier of (A) ninety (90) days following such termination of Service and (B) the expiration of the Option Term; provided, that if a Change of Control should occur on or before the earlier of (A) and (B), then any portion of the Option that is vested as of the date of such termination of employment shall remain exercisable until the expiration of the Option Term; and (ii) any portion of the Option that is unvested as of such termination of employment shall remain outstanding but unexercisable until the earliest of (A) the date that is ninety (90) days following such termination of Service, at which time the unvested portion shall terminate and be forfeited, (B) the expiration of the Option Term, at which time the unvested portion shall terminate and be forfeited, and (C) the consummation of a Change of Control of the Company, at which time the unvested portion shall remain eligible for continued vesting in accordance with the terms of this Award notwithstanding such termination of employment (and to the extent the unvested portion would have vested pursuant to Section 4 hereof prior to the Change of Control if the Participant’s Service had not terminated, the unvested portion shall be deemed to have vested in accordance with and to the extent applicable to that vesting schedule).</w:t>
      </w:r>
    </w:p>
    <w:p>
      <w:pPr>
        <w:spacing w:after="0" w:line="189"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1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xml:space="preserve">. Upon a termination of the Participant’s Service for any reason, other than pursuant to </w:t>
      </w:r>
      <w:r>
        <w:rPr>
          <w:rFonts w:ascii="Times New Roman" w:cs="Times New Roman" w:eastAsia="Times New Roman" w:hAnsi="Times New Roman"/>
          <w:sz w:val="18"/>
          <w:szCs w:val="18"/>
          <w:u w:val="single" w:color="auto"/>
          <w:color w:val="auto"/>
        </w:rPr>
        <w:t>Sections 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5(e)</w:t>
      </w:r>
      <w:r>
        <w:rPr>
          <w:rFonts w:ascii="Times New Roman" w:cs="Times New Roman" w:eastAsia="Times New Roman" w:hAnsi="Times New Roman"/>
          <w:sz w:val="18"/>
          <w:szCs w:val="18"/>
          <w:color w:val="auto"/>
        </w:rPr>
        <w:t xml:space="preserve"> above, any unvested portion of the Option shall immediately terminate and be forfeited without consideration, and any vested portion of the Option shall remain exercisable until the earlier of (i) ninety (90) days following such termination of Service and (ii) the expiration of the Option Term.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11</w:t>
      </w:r>
    </w:p>
    <w:p>
      <w:pPr>
        <w:sectPr>
          <w:pgSz w:w="11900" w:h="16838" w:orient="portrait"/>
          <w:cols w:equalWidth="0" w:num="1">
            <w:col w:w="10980"/>
          </w:cols>
          <w:pgMar w:left="460" w:top="270" w:right="459" w:bottom="1440" w:gutter="0" w:footer="0" w:header="0"/>
        </w:sectPr>
      </w:pPr>
    </w:p>
    <w:bookmarkStart w:id="50" w:name="page51"/>
    <w:bookmarkEnd w:id="50"/>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To the extent exercisable, the Participant or the Participant’s representative may exercise any vested portion of the Option or any part thereof prior to the expiration of the Option Term or as otherwise set forth in Section 5 hereof by giving written notice to the Company in the form attached hereto as Exhibit A or any other form acceptable to the Committee or the Committee’s designated administrative representative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Notice of Exercise shall be signed by the person exercising such Option or shall evidence the intent of the person exercising such Option if delivered in electronic format or with an electronic signature. In the event that such Option is being exercised by the Participant’s representative, the Notice of Exercise shall be accompanied by proof (satisfactory to the Company) of such representative’s right to exercise such Option.</w:t>
      </w:r>
    </w:p>
    <w:p>
      <w:pPr>
        <w:spacing w:after="0" w:line="18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The Participant or the Participant’s representative shall deliver to the Company, at the time the Notice of Exercise is given, payment (i) in cash or its equivalent (e.g., by cashier’s check), (ii) in Shares (whether or not previously owned by the Participant) having a Fair Market Value equal to the aggregate Option Price for the Shares being purchased and satisfying such other requirements as may be imposed by the Committee, (iii) partly in cash and partly in Shares (as described in clause (ii) 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Plan for the full amount of the aggregate Option Price for the exercised Option.</w:t>
      </w:r>
    </w:p>
    <w:p>
      <w:pPr>
        <w:spacing w:after="0" w:line="191" w:lineRule="exact"/>
        <w:rPr>
          <w:rFonts w:ascii="Times New Roman" w:cs="Times New Roman" w:eastAsia="Times New Roman" w:hAnsi="Times New Roman"/>
          <w:sz w:val="18"/>
          <w:szCs w:val="18"/>
          <w:color w:val="auto"/>
        </w:rPr>
      </w:pPr>
    </w:p>
    <w:p>
      <w:pPr>
        <w:jc w:val="both"/>
        <w:ind w:right="280" w:firstLine="987"/>
        <w:spacing w:after="0" w:line="266"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Provided the Company receives a properly completed and executed Notice of Exercise and payment for the full amount of the aggregate Option Price and the Participant has made arrangements for appropriate withholding, the Company shall promptly cause the Shares underlying the exercised Option to be issued in the name of the Person exercising the applicable Option.</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w:t>
      </w:r>
    </w:p>
    <w:p>
      <w:pPr>
        <w:spacing w:after="0" w:line="27"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non-solicitation and/or non-hire covenants, the covenants are incorporated herein by reference. To the extent the Participant does not have an employment agreement containing such covenants, the following restrictive covenants shall apply:</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11</w:t>
      </w:r>
    </w:p>
    <w:p>
      <w:pPr>
        <w:sectPr>
          <w:pgSz w:w="11900" w:h="16838" w:orient="portrait"/>
          <w:cols w:equalWidth="0" w:num="1">
            <w:col w:w="11000"/>
          </w:cols>
          <w:pgMar w:left="440" w:top="270" w:right="459" w:bottom="1440" w:gutter="0" w:footer="0" w:header="0"/>
        </w:sectPr>
      </w:pPr>
    </w:p>
    <w:bookmarkStart w:id="51" w:name="page52"/>
    <w:bookmarkEnd w:id="51"/>
    <w:p>
      <w:pPr>
        <w:jc w:val="both"/>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level (including, without limitation, General Managers, Assistant General Managers, store 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w:t>
      </w:r>
    </w:p>
    <w:p>
      <w:pPr>
        <w:spacing w:after="0" w:line="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7 shall survive exercise, termination or settlement of the Option and termination or satisfaction of the Award Agreement.</w:t>
      </w:r>
    </w:p>
    <w:p>
      <w:pPr>
        <w:spacing w:after="0" w:line="225" w:lineRule="exact"/>
        <w:rPr>
          <w:sz w:val="20"/>
          <w:szCs w:val="20"/>
          <w:color w:val="auto"/>
        </w:rPr>
      </w:pPr>
    </w:p>
    <w:p>
      <w:pPr>
        <w:ind w:right="180" w:firstLine="436"/>
        <w:spacing w:after="0" w:line="266" w:lineRule="auto"/>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Option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Times New Roman" w:cs="Times New Roman" w:eastAsia="Times New Roman" w:hAnsi="Times New Roman"/>
          <w:sz w:val="18"/>
          <w:szCs w:val="18"/>
          <w:color w:val="auto"/>
        </w:rPr>
      </w:pPr>
    </w:p>
    <w:p>
      <w:pPr>
        <w:ind w:right="100" w:firstLine="436"/>
        <w:spacing w:after="0" w:line="261"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11</w:t>
      </w:r>
    </w:p>
    <w:p>
      <w:pPr>
        <w:sectPr>
          <w:pgSz w:w="11900" w:h="16838" w:orient="portrait"/>
          <w:cols w:equalWidth="0" w:num="1">
            <w:col w:w="11000"/>
          </w:cols>
          <w:pgMar w:left="440" w:top="270" w:right="459" w:bottom="1440" w:gutter="0" w:footer="0" w:header="0"/>
        </w:sectPr>
      </w:pPr>
    </w:p>
    <w:bookmarkStart w:id="52" w:name="page53"/>
    <w:bookmarkEnd w:id="5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 (or, if the Participant is disabled, the Participant’s representative).</w:t>
      </w:r>
    </w:p>
    <w:p>
      <w:pPr>
        <w:spacing w:after="0" w:line="183" w:lineRule="exact"/>
        <w:rPr>
          <w:sz w:val="20"/>
          <w:szCs w:val="20"/>
          <w:color w:val="auto"/>
        </w:rPr>
      </w:pPr>
    </w:p>
    <w:p>
      <w:pPr>
        <w:ind w:right="420" w:firstLine="436"/>
        <w:spacing w:after="0" w:line="266" w:lineRule="auto"/>
        <w:tabs>
          <w:tab w:leader="none" w:pos="7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ind w:right="280" w:firstLine="436"/>
        <w:spacing w:after="0" w:line="266"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987"/>
        <w:spacing w:after="0" w:line="256" w:lineRule="auto"/>
        <w:tabs>
          <w:tab w:leader="none" w:pos="12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11</w:t>
      </w:r>
    </w:p>
    <w:p>
      <w:pPr>
        <w:sectPr>
          <w:pgSz w:w="11900" w:h="16838" w:orient="portrait"/>
          <w:cols w:equalWidth="0" w:num="1">
            <w:col w:w="11000"/>
          </w:cols>
          <w:pgMar w:left="440" w:top="270" w:right="459" w:bottom="1440" w:gutter="0" w:footer="0" w:header="0"/>
        </w:sectPr>
      </w:pPr>
    </w:p>
    <w:bookmarkStart w:id="53" w:name="page54"/>
    <w:bookmarkEnd w:id="53"/>
    <w:p>
      <w:pPr>
        <w:jc w:val="both"/>
        <w:ind w:left="4"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7"/>
          <w:szCs w:val="17"/>
          <w:b w:val="1"/>
          <w:bCs w:val="1"/>
          <w:color w:val="auto"/>
        </w:rPr>
        <w:t>Chosen Court</w:t>
      </w:r>
      <w:r>
        <w:rPr>
          <w:rFonts w:ascii="Times New Roman" w:cs="Times New Roman" w:eastAsia="Times New Roman" w:hAnsi="Times New Roman"/>
          <w:sz w:val="17"/>
          <w:szCs w:val="17"/>
          <w:color w:val="auto"/>
        </w:rPr>
        <w:t>”) and hereby (i) irrevocably submits to the exclusive jurisdiction of the Chosen Court,</w:t>
      </w:r>
    </w:p>
    <w:p>
      <w:pPr>
        <w:spacing w:after="0" w:line="1" w:lineRule="exact"/>
        <w:rPr>
          <w:sz w:val="20"/>
          <w:szCs w:val="20"/>
          <w:color w:val="auto"/>
        </w:rPr>
      </w:pPr>
    </w:p>
    <w:p>
      <w:pPr>
        <w:ind w:left="4" w:right="280" w:hanging="4"/>
        <w:spacing w:after="0" w:line="255"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85"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Option. The Committee and the Company make no guarantees regarding the tax treatment of the Option.</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Option granted hereunder at any time, subject to the terms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left="4" w:right="180" w:firstLine="436"/>
        <w:spacing w:after="0" w:line="255" w:lineRule="auto"/>
        <w:tabs>
          <w:tab w:leader="none" w:pos="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Page 7 of 11</w:t>
      </w:r>
    </w:p>
    <w:p>
      <w:pPr>
        <w:sectPr>
          <w:pgSz w:w="11900" w:h="16838" w:orient="portrait"/>
          <w:cols w:equalWidth="0" w:num="1">
            <w:col w:w="10964"/>
          </w:cols>
          <w:pgMar w:left="436" w:top="270" w:right="499" w:bottom="1440" w:gutter="0" w:footer="0" w:header="0"/>
        </w:sectPr>
      </w:pPr>
    </w:p>
    <w:bookmarkStart w:id="54" w:name="page55"/>
    <w:bookmarkEnd w:id="54"/>
    <w:p>
      <w:pPr>
        <w:ind w:left="-436" w:firstLine="436"/>
        <w:spacing w:after="0" w:line="282" w:lineRule="auto"/>
        <w:tabs>
          <w:tab w:leader="none" w:pos="2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ind w:left="418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ind w:left="3704"/>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Page 8 of 11</w:t>
      </w:r>
    </w:p>
    <w:p>
      <w:pPr>
        <w:sectPr>
          <w:pgSz w:w="11900" w:h="16838" w:orient="portrait"/>
          <w:cols w:equalWidth="0" w:num="1">
            <w:col w:w="9844"/>
          </w:cols>
          <w:pgMar w:left="876" w:top="270" w:right="1179" w:bottom="1440" w:gutter="0" w:footer="0" w:header="0"/>
        </w:sectPr>
      </w:pPr>
    </w:p>
    <w:bookmarkStart w:id="55" w:name="page56"/>
    <w:bookmarkEnd w:id="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Nonqualified Stock Option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Robert W. Edmund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Secretary and SVP of HR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9 of 11</w:t>
      </w:r>
    </w:p>
    <w:p>
      <w:pPr>
        <w:sectPr>
          <w:pgSz w:w="11900" w:h="16838" w:orient="portrait"/>
          <w:cols w:equalWidth="0" w:num="1">
            <w:col w:w="10860"/>
          </w:cols>
          <w:pgMar w:left="440" w:top="270" w:right="599" w:bottom="1440" w:gutter="0" w:footer="0" w:header="0"/>
        </w:sectPr>
      </w:pPr>
    </w:p>
    <w:bookmarkStart w:id="56" w:name="page57"/>
    <w:bookmarkEnd w:id="56"/>
    <w:tbl>
      <w:tblPr>
        <w:tblLayout w:type="fixed"/>
        <w:tblInd w:w="4"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38"/>
        </w:trPr>
        <w:tc>
          <w:tcPr>
            <w:tcW w:w="1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Notice of Exercise</w:t>
            </w:r>
          </w:p>
        </w:tc>
      </w:tr>
      <w:tr>
        <w:trPr>
          <w:trHeight w:val="4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&amp; Buster’s Entertainment, Inc.</w:t>
            </w:r>
          </w:p>
        </w:tc>
        <w:tc>
          <w:tcPr>
            <w:tcW w:w="248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S. Belt Line Road #500</w:t>
            </w:r>
          </w:p>
        </w:tc>
        <w:tc>
          <w:tcPr>
            <w:tcW w:w="248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Coppell, Texas 75019</w:t>
            </w:r>
          </w:p>
        </w:tc>
        <w:tc>
          <w:tcPr>
            <w:tcW w:w="2480" w:type="dxa"/>
            <w:vAlign w:val="bottom"/>
          </w:tcPr>
          <w:p>
            <w:pPr>
              <w:spacing w:after="0"/>
              <w:rPr>
                <w:sz w:val="18"/>
                <w:szCs w:val="18"/>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General Counsel</w:t>
            </w:r>
          </w:p>
        </w:tc>
        <w:tc>
          <w:tcPr>
            <w:tcW w:w="24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Date of Exercise:</w:t>
            </w:r>
          </w:p>
        </w:tc>
      </w:tr>
      <w:tr>
        <w:trPr>
          <w:trHeight w:val="176"/>
        </w:trPr>
        <w:tc>
          <w:tcPr>
            <w:tcW w:w="1660" w:type="dxa"/>
            <w:vAlign w:val="bottom"/>
            <w:tcBorders>
              <w:bottom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2480" w:type="dxa"/>
            <w:vAlign w:val="bottom"/>
          </w:tcPr>
          <w:p>
            <w:pPr>
              <w:spacing w:after="0"/>
              <w:rPr>
                <w:sz w:val="15"/>
                <w:szCs w:val="15"/>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5" w:lineRule="exact"/>
        <w:rPr>
          <w:sz w:val="20"/>
          <w:szCs w:val="20"/>
          <w:color w:val="auto"/>
        </w:rPr>
      </w:pPr>
    </w:p>
    <w:p>
      <w:pPr>
        <w:ind w:left="4" w:right="20" w:firstLine="436"/>
        <w:spacing w:after="0" w:line="258" w:lineRule="auto"/>
        <w:tabs>
          <w:tab w:leader="none" w:pos="7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This constitutes notice to Dave &amp; Buster’s Entertainment,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pursuant to my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Award Agreement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under the Company’s 2014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 elect to purchase the number of Shares of Company common stock set forth below and for the price set forth below. By signing and delivering this notice to the Company, I hereby acknowledge that I am the holder of the stock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exercised by this notice and have full power and authority to exercise the same. Any capitalized terms used but not defined herein shall have the meanings ascribed to them in the Award Agreement or the Plan, as applicable.</w:t>
      </w:r>
    </w:p>
    <w:p>
      <w:pPr>
        <w:spacing w:after="0" w:line="212"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0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as to which the Option is exercised</w:t>
            </w: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(“Optioned Shares”):</w:t>
            </w:r>
          </w:p>
        </w:tc>
        <w:tc>
          <w:tcPr>
            <w:tcW w:w="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Shares to be issued in name of:</w:t>
            </w:r>
          </w:p>
        </w:tc>
        <w:tc>
          <w:tcPr>
            <w:tcW w:w="3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20" w:type="dxa"/>
            <w:vAlign w:val="bottom"/>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payment or other method of payment permitted under</w:t>
            </w: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6(b) of the Award Agreement delivered herewith:</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Method:</w:t>
            </w:r>
          </w:p>
        </w:tc>
        <w:tc>
          <w:tcPr>
            <w:tcW w:w="30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764" w:hanging="324"/>
        <w:spacing w:after="0"/>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Payment</w:t>
      </w:r>
      <w:r>
        <w:rPr>
          <w:rFonts w:ascii="Times New Roman" w:cs="Times New Roman" w:eastAsia="Times New Roman" w:hAnsi="Times New Roman"/>
          <w:sz w:val="18"/>
          <w:szCs w:val="18"/>
          <w:color w:val="auto"/>
        </w:rPr>
        <w:t>. The Option may be exercised by delivery to the Company of payment (i) in cash or its equivalent (e.g., by cashier’s check),</w:t>
      </w:r>
    </w:p>
    <w:p>
      <w:pPr>
        <w:spacing w:after="0" w:line="29" w:lineRule="exact"/>
        <w:rPr>
          <w:rFonts w:ascii="Times New Roman" w:cs="Times New Roman" w:eastAsia="Times New Roman" w:hAnsi="Times New Roman"/>
          <w:sz w:val="18"/>
          <w:szCs w:val="18"/>
          <w:color w:val="auto"/>
        </w:rPr>
      </w:pPr>
    </w:p>
    <w:p>
      <w:pPr>
        <w:ind w:left="4" w:right="400" w:hanging="4"/>
        <w:spacing w:after="0" w:line="260"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Shares (whether or not previously owned by the Person exercising the Option pursuant to this notice) having a Fair Market Value equal to the aggregate Option Price for the Shares being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10 of 11</w:t>
      </w:r>
    </w:p>
    <w:p>
      <w:pPr>
        <w:sectPr>
          <w:pgSz w:w="11900" w:h="16838" w:orient="portrait"/>
          <w:cols w:equalWidth="0" w:num="1">
            <w:col w:w="11024"/>
          </w:cols>
          <w:pgMar w:left="436" w:top="266" w:right="439" w:bottom="1440" w:gutter="0" w:footer="0" w:header="0"/>
        </w:sectPr>
      </w:pPr>
    </w:p>
    <w:bookmarkStart w:id="57" w:name="page58"/>
    <w:bookmarkEnd w:id="5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and satisfying such other requirements as may be imposed by the Committee, (iii) partly in cash and partly in Shares (as described in clause</w:t>
      </w:r>
    </w:p>
    <w:p>
      <w:pPr>
        <w:spacing w:after="0" w:line="27" w:lineRule="exact"/>
        <w:rPr>
          <w:sz w:val="20"/>
          <w:szCs w:val="20"/>
          <w:color w:val="auto"/>
        </w:rPr>
      </w:pPr>
    </w:p>
    <w:p>
      <w:pPr>
        <w:ind w:left="4" w:hanging="4"/>
        <w:spacing w:after="0" w:line="253"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(iv) if there is a public market for the Shares at such time, subject to such administrative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permitted by the Committee, another form of payment permissible under Section 6.5 of the Plan for the full amount of the aggregate Option Price for the exercised Option.</w:t>
      </w:r>
    </w:p>
    <w:p>
      <w:pPr>
        <w:spacing w:after="0" w:line="184" w:lineRule="exact"/>
        <w:rPr>
          <w:rFonts w:ascii="Times New Roman" w:cs="Times New Roman" w:eastAsia="Times New Roman" w:hAnsi="Times New Roman"/>
          <w:sz w:val="18"/>
          <w:szCs w:val="18"/>
          <w:color w:val="auto"/>
        </w:rPr>
      </w:pPr>
    </w:p>
    <w:p>
      <w:pPr>
        <w:ind w:left="4" w:right="680" w:firstLine="436"/>
        <w:spacing w:after="0" w:line="284"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Payment</w:t>
      </w:r>
      <w:r>
        <w:rPr>
          <w:rFonts w:ascii="Times New Roman" w:cs="Times New Roman" w:eastAsia="Times New Roman" w:hAnsi="Times New Roman"/>
          <w:sz w:val="18"/>
          <w:szCs w:val="18"/>
          <w:color w:val="auto"/>
        </w:rPr>
        <w:t>. With this notice, I hereby deliver to the Company the full exercise price of the Optioned Shares and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taxes due in connection with the exercise of my Option or have otherwise satisfied such requirements.</w:t>
      </w:r>
    </w:p>
    <w:p>
      <w:pPr>
        <w:spacing w:after="0" w:line="158"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While the Company will endeavor to process this notice in a timely manner, I acknowledge that until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spacing w:after="0" w:line="183" w:lineRule="exact"/>
        <w:rPr>
          <w:rFonts w:ascii="Times New Roman" w:cs="Times New Roman" w:eastAsia="Times New Roman" w:hAnsi="Times New Roman"/>
          <w:sz w:val="18"/>
          <w:szCs w:val="18"/>
          <w:color w:val="auto"/>
        </w:rPr>
      </w:pPr>
    </w:p>
    <w:p>
      <w:pPr>
        <w:ind w:left="4" w:right="860" w:firstLine="436"/>
        <w:spacing w:after="0" w:line="284"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Any dispute regarding the interpretation of this notice shall be submitted promptly by me or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resolution of such a dispute by the Committee shall be final and binding on all parties.</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Severability</w:t>
      </w:r>
      <w:r>
        <w:rPr>
          <w:rFonts w:ascii="Times New Roman" w:cs="Times New Roman" w:eastAsia="Times New Roman" w:hAnsi="Times New Roman"/>
          <w:sz w:val="18"/>
          <w:szCs w:val="18"/>
          <w:color w:val="auto"/>
        </w:rPr>
        <w:t>. This notice is governed by the internal substantive laws but not the choice of law rules, of Delaware.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that any provision hereof becomes or is declared by a court of competent jurisdiction to be illegal, unenforceable or void, this notice will continue in full force and effect without said provision.</w:t>
      </w:r>
    </w:p>
    <w:p>
      <w:pPr>
        <w:spacing w:after="0" w:line="173" w:lineRule="exact"/>
        <w:rPr>
          <w:rFonts w:ascii="Times New Roman" w:cs="Times New Roman" w:eastAsia="Times New Roman" w:hAnsi="Times New Roman"/>
          <w:sz w:val="18"/>
          <w:szCs w:val="18"/>
          <w:color w:val="auto"/>
        </w:rPr>
      </w:pPr>
    </w:p>
    <w:p>
      <w:pPr>
        <w:ind w:left="4" w:right="200" w:firstLine="436"/>
        <w:spacing w:after="0" w:line="284" w:lineRule="auto"/>
        <w:tabs>
          <w:tab w:leader="none" w:pos="7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The Plan and the Award Agreement under which the Optioned Shares were granted are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together with this notice constitute the entire agreement of the parties with respect to the subject matter hereof.</w:t>
      </w:r>
    </w:p>
    <w:p>
      <w:pPr>
        <w:spacing w:after="0" w:line="18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334645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ind w:left="4144"/>
        <w:spacing w:after="0"/>
        <w:rPr>
          <w:sz w:val="20"/>
          <w:szCs w:val="20"/>
          <w:color w:val="auto"/>
        </w:rPr>
      </w:pPr>
      <w:r>
        <w:rPr>
          <w:rFonts w:ascii="Times New Roman" w:cs="Times New Roman" w:eastAsia="Times New Roman" w:hAnsi="Times New Roman"/>
          <w:sz w:val="18"/>
          <w:szCs w:val="18"/>
          <w:color w:val="auto"/>
        </w:rPr>
        <w:t>D&amp;B Employee – Christopher Morris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2022 Nonqualified Stock Option Award Agreement No 2</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11 of 11</w:t>
      </w:r>
    </w:p>
    <w:p>
      <w:pPr>
        <w:sectPr>
          <w:pgSz w:w="11900" w:h="16838" w:orient="portrait"/>
          <w:cols w:equalWidth="0" w:num="1">
            <w:col w:w="11004"/>
          </w:cols>
          <w:pgMar w:left="436" w:top="270" w:right="4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Based)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June 29, 2022 (the “</w:t>
      </w:r>
      <w:r>
        <w:rPr>
          <w:rFonts w:ascii="Times New Roman" w:cs="Times New Roman" w:eastAsia="Times New Roman" w:hAnsi="Times New Roman"/>
          <w:sz w:val="18"/>
          <w:szCs w:val="18"/>
          <w:b w:val="1"/>
          <w:b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Morris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in the best interests of the Company and its stockholders to grant the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performance-vesting restricted stock units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760" w:hanging="324"/>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RSUs on the following terms:</w:t>
      </w:r>
    </w:p>
    <w:p>
      <w:pPr>
        <w:spacing w:after="0" w:line="117" w:lineRule="exact"/>
        <w:rPr>
          <w:rFonts w:ascii="Times New Roman" w:cs="Times New Roman" w:eastAsia="Times New Roman" w:hAnsi="Times New Roman"/>
          <w:sz w:val="18"/>
          <w:szCs w:val="18"/>
          <w:color w:val="auto"/>
        </w:rPr>
      </w:pPr>
    </w:p>
    <w:p>
      <w:pPr>
        <w:jc w:val="both"/>
        <w:ind w:right="480" w:firstLine="987"/>
        <w:spacing w:after="0" w:line="276" w:lineRule="auto"/>
        <w:tabs>
          <w:tab w:leader="none" w:pos="13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achievement of target-level performance set forth in this Agreement, 157,931 RSUs may be earned under this Award (the “</w:t>
      </w:r>
      <w:r>
        <w:rPr>
          <w:rFonts w:ascii="Times New Roman" w:cs="Times New Roman" w:eastAsia="Times New Roman" w:hAnsi="Times New Roman"/>
          <w:sz w:val="17"/>
          <w:szCs w:val="17"/>
          <w:b w:val="1"/>
          <w:bCs w:val="1"/>
          <w:color w:val="auto"/>
        </w:rPr>
        <w:t>Target Achievable RSUs</w:t>
      </w:r>
      <w:r>
        <w:rPr>
          <w:rFonts w:ascii="Times New Roman" w:cs="Times New Roman" w:eastAsia="Times New Roman" w:hAnsi="Times New Roman"/>
          <w:sz w:val="17"/>
          <w:szCs w:val="17"/>
          <w:color w:val="auto"/>
        </w:rPr>
        <w:t>”) based on the volume-weighted average closing price of a share of the Company’s common stock for the consecutive</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60-trading day period ending on the fifth anniversary of the Date of Grant (the “</w:t>
      </w:r>
      <w:r>
        <w:rPr>
          <w:rFonts w:ascii="Times New Roman" w:cs="Times New Roman" w:eastAsia="Times New Roman" w:hAnsi="Times New Roman"/>
          <w:sz w:val="18"/>
          <w:szCs w:val="18"/>
          <w:b w:val="1"/>
          <w:bCs w:val="1"/>
          <w:color w:val="auto"/>
        </w:rPr>
        <w:t>Average Share Price</w:t>
      </w:r>
      <w:r>
        <w:rPr>
          <w:rFonts w:ascii="Times New Roman" w:cs="Times New Roman" w:eastAsia="Times New Roman" w:hAnsi="Times New Roman"/>
          <w:sz w:val="18"/>
          <w:szCs w:val="18"/>
          <w:color w:val="auto"/>
        </w:rPr>
        <w:t>”, and the last day of such 60-trading day period,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For purposes of this Award Agreement,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commencing on the Date of Grant and ending on the Closing Date.</w:t>
      </w:r>
    </w:p>
    <w:p>
      <w:pPr>
        <w:spacing w:after="0" w:line="181"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represents one notional share of common stock, par value $.01 per share, of the Company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p>
    <w:p>
      <w:pPr>
        <w:spacing w:after="0" w:line="225" w:lineRule="exact"/>
        <w:rPr>
          <w:rFonts w:ascii="Times New Roman" w:cs="Times New Roman" w:eastAsia="Times New Roman" w:hAnsi="Times New Roman"/>
          <w:sz w:val="18"/>
          <w:szCs w:val="18"/>
          <w:color w:val="auto"/>
        </w:rPr>
      </w:pPr>
    </w:p>
    <w:p>
      <w:pPr>
        <w:ind w:right="220" w:firstLine="987"/>
        <w:spacing w:after="0" w:line="261" w:lineRule="auto"/>
        <w:tabs>
          <w:tab w:leader="none" w:pos="13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Earned Portion</w:t>
      </w:r>
      <w:r>
        <w:rPr>
          <w:rFonts w:ascii="Times New Roman" w:cs="Times New Roman" w:eastAsia="Times New Roman" w:hAnsi="Times New Roman"/>
          <w:sz w:val="18"/>
          <w:szCs w:val="18"/>
          <w:color w:val="auto"/>
        </w:rPr>
        <w:t>. The Award shall be one hundred percent (100%) unvested as of the Date of Grant. Pursuant to the terms of the Plan and this Award Agreement, including, without limitation, Sections 3 and 4 below, as soon as reasonably practicable following the Closing Date, the Company shall determine the number RSUs, if any, that shall be deemed earned and eligible for vesting and settlement (such RSUs, “</w:t>
      </w:r>
      <w:r>
        <w:rPr>
          <w:rFonts w:ascii="Times New Roman" w:cs="Times New Roman" w:eastAsia="Times New Roman" w:hAnsi="Times New Roman"/>
          <w:sz w:val="18"/>
          <w:szCs w:val="18"/>
          <w:b w:val="1"/>
          <w:bCs w:val="1"/>
          <w:color w:val="auto"/>
        </w:rPr>
        <w:t>Earned RSUs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w:t>
      </w:r>
    </w:p>
    <w:p>
      <w:pPr>
        <w:sectPr>
          <w:pgSz w:w="11900" w:h="16838" w:orient="portrait"/>
          <w:cols w:equalWidth="0" w:num="1">
            <w:col w:w="11020"/>
          </w:cols>
          <w:pgMar w:left="440" w:top="117" w:right="439" w:bottom="1440" w:gutter="0" w:footer="0" w:header="0"/>
        </w:sectPr>
      </w:pPr>
    </w:p>
    <w:bookmarkStart w:id="59" w:name="page60"/>
    <w:bookmarkEnd w:id="5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subsections (b) and (c) below. Any and all RSUs that are not deemed to be Earned RSUs shall be forfeited and canceled immediately without consideration and shall not be eligible for settlement in accordance with Section 3 hereof.</w:t>
      </w:r>
    </w:p>
    <w:p>
      <w:pPr>
        <w:spacing w:after="0" w:line="162" w:lineRule="exact"/>
        <w:rPr>
          <w:sz w:val="20"/>
          <w:szCs w:val="20"/>
          <w:color w:val="auto"/>
        </w:rPr>
      </w:pPr>
    </w:p>
    <w:p>
      <w:pPr>
        <w:ind w:right="560" w:firstLine="987"/>
        <w:spacing w:after="0" w:line="266" w:lineRule="auto"/>
        <w:tabs>
          <w:tab w:leader="none" w:pos="13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Vesting</w:t>
      </w:r>
      <w:r>
        <w:rPr>
          <w:rFonts w:ascii="Times New Roman" w:cs="Times New Roman" w:eastAsia="Times New Roman" w:hAnsi="Times New Roman"/>
          <w:sz w:val="18"/>
          <w:szCs w:val="18"/>
          <w:color w:val="auto"/>
        </w:rPr>
        <w:t>. The Earned RSUs shall vest on the Closing Date, subject to the Participant’s continued employment with the Company through such date and subject to earlier vesting of all or a portion of the Earned RSUs in accordance with Subsection 2(c) below (as applicable, each such date is referred to herein as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Calculation</w:t>
      </w:r>
      <w:r>
        <w:rPr>
          <w:rFonts w:ascii="Times New Roman" w:cs="Times New Roman" w:eastAsia="Times New Roman" w:hAnsi="Times New Roman"/>
          <w:sz w:val="18"/>
          <w:szCs w:val="18"/>
          <w:color w:val="auto"/>
        </w:rPr>
        <w:t>. The RSUs shall be deemed earned as set forth in the table below based on the Average Share Price. If on the Closing Date, the Average Share Price fails to achieve the target level specified in the table below, then all RSUs shall be deemed unearned, forfeited, and canceled immediately without consideration. The RSUs that are deemed earned in accordance with this Section 2(c) shall be payable as of (and not before) the Settlement Date (defined below).</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u w:val="single" w:color="auto"/>
          <w:color w:val="auto"/>
        </w:rPr>
        <w:t>Average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16510</wp:posOffset>
            </wp:positionV>
            <wp:extent cx="474916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Greater than or equal to $67.54</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Less than $67.54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u w:val="single" w:color="auto"/>
          <w:color w:val="auto"/>
        </w:rPr>
        <w:t>Earned Percentage of RSUs</w:t>
      </w:r>
    </w:p>
    <w:p>
      <w:pPr>
        <w:spacing w:after="0" w:line="27"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100%</w:t>
      </w:r>
    </w:p>
    <w:p>
      <w:pPr>
        <w:spacing w:after="0" w:line="7"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0%</w:t>
      </w:r>
    </w:p>
    <w:p>
      <w:pPr>
        <w:spacing w:after="0" w:line="99" w:lineRule="exact"/>
        <w:rPr>
          <w:sz w:val="20"/>
          <w:szCs w:val="20"/>
          <w:color w:val="auto"/>
        </w:rPr>
      </w:pPr>
    </w:p>
    <w:p>
      <w:pPr>
        <w:sectPr>
          <w:pgSz w:w="11900" w:h="16838" w:orient="portrait"/>
          <w:cols w:equalWidth="0" w:num="2">
            <w:col w:w="6820" w:space="720"/>
            <w:col w:w="3440"/>
          </w:cols>
          <w:pgMar w:left="440" w:top="270" w:right="479" w:bottom="1440" w:gutter="0" w:footer="0" w:header="0"/>
          <w:type w:val="continuous"/>
        </w:sectPr>
      </w:pPr>
    </w:p>
    <w:p>
      <w:pPr>
        <w:ind w:left="440" w:right="240" w:firstLine="419"/>
        <w:spacing w:after="0" w:line="266" w:lineRule="auto"/>
        <w:tabs>
          <w:tab w:leader="none" w:pos="12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between the Date of Grant and the Closing Date, the volume-weighted average closing price of a share of the Company’s common stock for any consecutive 60-trading day period (the final day of such 60-trading day period, the “</w:t>
      </w:r>
      <w:r>
        <w:rPr>
          <w:rFonts w:ascii="Times New Roman" w:cs="Times New Roman" w:eastAsia="Times New Roman" w:hAnsi="Times New Roman"/>
          <w:sz w:val="18"/>
          <w:szCs w:val="18"/>
          <w:b w:val="1"/>
          <w:bCs w:val="1"/>
          <w:color w:val="auto"/>
        </w:rPr>
        <w:t>Interim Closing Date</w:t>
      </w:r>
      <w:r>
        <w:rPr>
          <w:rFonts w:ascii="Times New Roman" w:cs="Times New Roman" w:eastAsia="Times New Roman" w:hAnsi="Times New Roman"/>
          <w:sz w:val="18"/>
          <w:szCs w:val="18"/>
          <w:color w:val="auto"/>
        </w:rPr>
        <w:t>”) is greater than or equal to $67.54, then vesting shall occur in three installments as follows:</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76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RSUs will vest on the earlier of (x) the first anniversary of the Interim Closing Date or (y) the Closing Date; and</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6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RSUs will vest on the earlier of (x) second anniversary of the Interim Closing Date or (y) the Closing Date; and</w:t>
      </w:r>
    </w:p>
    <w:p>
      <w:pPr>
        <w:spacing w:after="0" w:line="49"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RSUs (the “</w:t>
      </w:r>
      <w:r>
        <w:rPr>
          <w:rFonts w:ascii="Times New Roman" w:cs="Times New Roman" w:eastAsia="Times New Roman" w:hAnsi="Times New Roman"/>
          <w:sz w:val="18"/>
          <w:szCs w:val="18"/>
          <w:b w:val="1"/>
          <w:bCs w:val="1"/>
          <w:color w:val="auto"/>
        </w:rPr>
        <w:t>Remaining RSUs</w:t>
      </w:r>
      <w:r>
        <w:rPr>
          <w:rFonts w:ascii="Times New Roman" w:cs="Times New Roman" w:eastAsia="Times New Roman" w:hAnsi="Times New Roman"/>
          <w:sz w:val="18"/>
          <w:szCs w:val="18"/>
          <w:color w:val="auto"/>
        </w:rPr>
        <w:t>”) will vest on the Closing Date.</w:t>
      </w:r>
    </w:p>
    <w:p>
      <w:pPr>
        <w:spacing w:after="0" w:line="121"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2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if at any time between the one-year anniversary of the Interim Closing Date and the Closing Date, the volume-weighted average closing price of a share of the Company’s common stock for any consecutive 60-trading day period (the final day of such 60-trading day period, the “</w:t>
      </w:r>
      <w:r>
        <w:rPr>
          <w:rFonts w:ascii="Times New Roman" w:cs="Times New Roman" w:eastAsia="Times New Roman" w:hAnsi="Times New Roman"/>
          <w:sz w:val="18"/>
          <w:szCs w:val="18"/>
          <w:b w:val="1"/>
          <w:bCs w:val="1"/>
          <w:color w:val="auto"/>
        </w:rPr>
        <w:t>Subsequent Closing Date</w:t>
      </w:r>
      <w:r>
        <w:rPr>
          <w:rFonts w:ascii="Times New Roman" w:cs="Times New Roman" w:eastAsia="Times New Roman" w:hAnsi="Times New Roman"/>
          <w:sz w:val="18"/>
          <w:szCs w:val="18"/>
          <w:color w:val="auto"/>
        </w:rPr>
        <w:t>”) is greater than or equal to $67.54, then vesting of the Remaining RSUs shall occur as follows (it being understood the vesting of the RSUs in Subsections 2(c)(ii)(1) and (2) shall be unaffected):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 of 11</w:t>
      </w:r>
    </w:p>
    <w:p>
      <w:pPr>
        <w:sectPr>
          <w:pgSz w:w="11900" w:h="16838" w:orient="portrait"/>
          <w:cols w:equalWidth="0" w:num="1">
            <w:col w:w="10980"/>
          </w:cols>
          <w:pgMar w:left="440" w:top="270" w:right="479" w:bottom="1440" w:gutter="0" w:footer="0" w:header="0"/>
          <w:type w:val="continuous"/>
        </w:sectPr>
      </w:pPr>
    </w:p>
    <w:bookmarkStart w:id="60" w:name="page61"/>
    <w:bookmarkEnd w:id="60"/>
    <w:p>
      <w:pPr>
        <w:ind w:left="980" w:right="140" w:firstLine="408"/>
        <w:spacing w:after="0" w:line="282" w:lineRule="auto"/>
        <w:tabs>
          <w:tab w:leader="none" w:pos="17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Fifty percent (50%) of the Remaining RSUs will vest on the earlier of (x) the first anniversary of the Subsequent Closing Date or (y) the Closing Date; and</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Fifty percent (50%) of the Remaining RSUs will vest on the earlier of (x) second anniversary of the Subsequent Closing Date or</w:t>
      </w:r>
    </w:p>
    <w:p>
      <w:pPr>
        <w:spacing w:after="0" w:line="38"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w:t>
      </w:r>
    </w:p>
    <w:p>
      <w:pPr>
        <w:spacing w:after="0" w:line="207" w:lineRule="exact"/>
        <w:rPr>
          <w:sz w:val="20"/>
          <w:szCs w:val="20"/>
          <w:color w:val="auto"/>
        </w:rPr>
      </w:pPr>
    </w:p>
    <w:p>
      <w:pPr>
        <w:ind w:left="1380" w:hanging="393"/>
        <w:spacing w:after="0"/>
        <w:tabs>
          <w:tab w:leader="none" w:pos="13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in Control, notwithstanding Section 2(c), the following shall apply:</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21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in Control of the Company, if the Share Price is greater than or equal to $67.54 on the effective date of the Change in Control (the “CIC Date”), then all RSUs not already deemed to be Earned RSUs shall be converted to Earned RSUs, except that notwithstanding Sections 2(b) and 2(c), vesting of all then outstanding Earned RSUs shall occur as follows:</w:t>
      </w:r>
    </w:p>
    <w:p>
      <w:pPr>
        <w:spacing w:after="0" w:line="6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then outstanding Earned RSUs will vest on the earlier of (x) the CIC Date or (y) the Closing Date;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767"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then outstanding Earned RSUs will vest on the earlier of (x) first anniversary of the CIC Date or (y) the Closing Date; and</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767" w:val="left"/>
        </w:tabs>
        <w:numPr>
          <w:ilvl w:val="3"/>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then outstanding Earned RSUs will vest on the earlier of (x) second anniversary of the CIC Date or (y) the Closing Date.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less than $67.54 on the CIC Date, then all RSUs not deemed to be Earned RSUs shall immediately terminate and be forfeited without consideration.</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39" w:lineRule="auto"/>
        <w:tabs>
          <w:tab w:leader="none" w:pos="1371"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Settlement</w:t>
      </w:r>
      <w:r>
        <w:rPr>
          <w:rFonts w:ascii="Times New Roman" w:cs="Times New Roman" w:eastAsia="Times New Roman" w:hAnsi="Times New Roman"/>
          <w:sz w:val="18"/>
          <w:szCs w:val="18"/>
          <w:color w:val="auto"/>
        </w:rPr>
        <w:t>. Pursuant to the terms of the Plan and this Award Agreement, including, without limitation, Section 4 below, and to the extent that it would not cause a violation of Section 409A, each vested Earned RSU shall be settled by the issuance of a Share as soon as practicable following the applicable Vesting Date, and in all events no later than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such Vesting Date, as determined solely by the Company (the date of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Vested and Earned RSUs settled via Share issuance shall be distributed to the Participant or the Participant’s legal representative; provided, that the Company may, at its election, either (a) on or after the Settlement Date, issue a certificate representing the Shares subject to this Award Agreement, or (b) not issue any certificate representing Shares subject to this Award Agreement and instead document the Participant’s or the Participant’s legal representative’s interest in the Shares by registering the Shares with the Company’s transfer agent (or another custodian selected by the Company) in book-entry form.</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11</w:t>
      </w:r>
    </w:p>
    <w:p>
      <w:pPr>
        <w:sectPr>
          <w:pgSz w:w="11900" w:h="16838" w:orient="portrait"/>
          <w:cols w:equalWidth="0" w:num="1">
            <w:col w:w="11000"/>
          </w:cols>
          <w:pgMar w:left="440" w:top="270" w:right="459" w:bottom="1440" w:gutter="0" w:footer="0" w:header="0"/>
        </w:sectPr>
      </w:pPr>
    </w:p>
    <w:bookmarkStart w:id="61" w:name="page62"/>
    <w:bookmarkEnd w:id="61"/>
    <w:p>
      <w:pPr>
        <w:ind w:right="440" w:firstLine="987"/>
        <w:spacing w:after="0" w:line="282" w:lineRule="auto"/>
        <w:tabs>
          <w:tab w:leader="none" w:pos="1381"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Clawback Policy</w:t>
      </w:r>
      <w:r>
        <w:rPr>
          <w:rFonts w:ascii="Times New Roman" w:cs="Times New Roman" w:eastAsia="Times New Roman" w:hAnsi="Times New Roman"/>
          <w:sz w:val="18"/>
          <w:szCs w:val="18"/>
          <w:color w:val="auto"/>
        </w:rPr>
        <w:t>. The Participant agrees and acknowledges that the Participant is bound by, and the Award is subject to, any clawback policy adopted by the Committee from time to time.</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herein to the contrary:</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occurs:</w:t>
      </w:r>
    </w:p>
    <w:p>
      <w:pPr>
        <w:spacing w:after="0" w:line="98"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21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Date, then the Award shall be settled in accordance with Section 3 above in respect of 100% of the Target Achievable RSUs, notwithstanding the termination of the Participant’s Service, except that notwithstanding Section 2(b), such RSUs shall be immediately fully vested and thereafter settled within sixty (60) days following such termination of Service, subject to the applicable limitations set forth in Section 3 above; and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9" w:lineRule="auto"/>
        <w:tabs>
          <w:tab w:leader="none" w:pos="1263"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Date and prior to the final Settlement Date, then the Award shall be settled in accordance with Section 3 above, in respect of the number of then-outstanding Earned RSUs, except that notwithstanding Section 2(b), such Earned RSUs shall be immediately fully vested and settled within thirty (30) days following such termination of Service, subject to the applicable limitations set forth in Section 3 above.</w:t>
      </w:r>
    </w:p>
    <w:p>
      <w:pPr>
        <w:spacing w:after="0" w:line="1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87" w:lineRule="exact"/>
        <w:rPr>
          <w:sz w:val="20"/>
          <w:szCs w:val="20"/>
          <w:color w:val="auto"/>
        </w:rPr>
      </w:pPr>
    </w:p>
    <w:p>
      <w:pPr>
        <w:ind w:left="1380" w:hanging="393"/>
        <w:spacing w:after="0"/>
        <w:tabs>
          <w:tab w:leader="none" w:pos="13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that occurs:</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2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Vesting Date, then the Award shall be settled in accordance with Section 3 above in respect of the number of RSUs that would have been earned pursuant to this Agreement based on actual performance during the full Performance Period, notwithstanding the termination of the Participant’s Service, multiplied by a fraction, the numerator of which is the number of days from the Date of Grant through and including the date of termination of Service, and the denominator of which is 1,825, except that notwithstanding Section 2(b), such RSUs shall be fully vested and settled on the Settlement Date next following such termination of Service, subject to the applicable limitations set forth in Section 3 above;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11</w:t>
      </w:r>
    </w:p>
    <w:p>
      <w:pPr>
        <w:sectPr>
          <w:pgSz w:w="11900" w:h="16838" w:orient="portrait"/>
          <w:cols w:equalWidth="0" w:num="1">
            <w:col w:w="10980"/>
          </w:cols>
          <w:pgMar w:left="440" w:top="270" w:right="479" w:bottom="1440" w:gutter="0" w:footer="0" w:header="0"/>
        </w:sectPr>
      </w:pPr>
    </w:p>
    <w:bookmarkStart w:id="62" w:name="page63"/>
    <w:bookmarkEnd w:id="62"/>
    <w:p>
      <w:pPr>
        <w:ind w:left="440" w:right="80" w:firstLine="419"/>
        <w:spacing w:after="0" w:line="261" w:lineRule="auto"/>
        <w:tabs>
          <w:tab w:leader="none" w:pos="12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Vesting Date and prior to the final Settlement Date, then the Award shall be settled in accordance with Section 3 above, in respect of the number of then-outstanding Earned RSUs that would have vested on the Vesting Date coincident with or next following such termination of Service, except that notwithstanding Section 2(b), such RSUs shall be immediately fully vested and settled within thirty (30) days following such termination of Service, subject to the applicable limitations set forth in Section 3 above.</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80" w:lineRule="exact"/>
        <w:rPr>
          <w:sz w:val="20"/>
          <w:szCs w:val="20"/>
          <w:color w:val="auto"/>
        </w:rPr>
      </w:pPr>
    </w:p>
    <w:p>
      <w:pPr>
        <w:ind w:firstLine="987"/>
        <w:spacing w:after="0" w:line="261" w:lineRule="auto"/>
        <w:tabs>
          <w:tab w:leader="none" w:pos="13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a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termination by reason of death or Disability)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and (ii) the Specified Termination occurs either within ninety (90) days before or within twenty-four (24) months following the occurrence of a Change of Control of the Company (the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then:</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at any time prior to the expiration of the Performance Period,</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6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that are not deemed to be Earned RSUs shall be forfeited and canceled immediately without consideration and shall not be eligible for settlement in accordance with Section 3 hereof; and</w:t>
      </w:r>
    </w:p>
    <w:p>
      <w:pPr>
        <w:spacing w:after="0" w:line="53"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then-outstanding Earned RSUs shall be settled in accordance with Section 3 above, except that notwithstanding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2(b), such Earned RSUs shall be fully vested upon such termination (or, if later, such Change of Control) and settled within ten</w:t>
      </w:r>
    </w:p>
    <w:p>
      <w:pPr>
        <w:spacing w:after="0" w:line="9" w:lineRule="exact"/>
        <w:rPr>
          <w:sz w:val="20"/>
          <w:szCs w:val="20"/>
          <w:color w:val="auto"/>
        </w:rPr>
      </w:pPr>
    </w:p>
    <w:p>
      <w:pPr>
        <w:ind w:left="980" w:right="420" w:firstLine="7"/>
        <w:spacing w:after="0" w:line="260" w:lineRule="auto"/>
        <w:tabs>
          <w:tab w:leader="none" w:pos="132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termination (or, if later, such Change of Control), subject to the applicable limitations set forth in Section 3 above; and</w:t>
      </w:r>
    </w:p>
    <w:p>
      <w:pPr>
        <w:spacing w:after="0" w:line="7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2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after the expiration of the Performance Period and prior to the final Settlement Date, the Award shall be settled in accordance with Section 3 above, in respect of the number of then-outstanding Earned RSUs, except that notwithstanding Section 2(b), such Earned RSUs shall be fully vested upon such termination (or, if later, such Change of Control) and settled within ten (10) days following such termination (or, if later, such Change of Control), subject to the applicable limitations set forth in Section 3 above;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11</w:t>
      </w:r>
    </w:p>
    <w:p>
      <w:pPr>
        <w:sectPr>
          <w:pgSz w:w="11900" w:h="16838" w:orient="portrait"/>
          <w:cols w:equalWidth="0" w:num="1">
            <w:col w:w="10940"/>
          </w:cols>
          <w:pgMar w:left="440" w:top="270" w:right="51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7"/>
          <w:szCs w:val="17"/>
          <w:color w:val="auto"/>
        </w:rPr>
        <w:t>, that if a Specified Termination should occur prior to a Change of Control of the Company, the Award shall remain outstanding for up to ninety</w:t>
      </w:r>
    </w:p>
    <w:p>
      <w:pPr>
        <w:spacing w:after="0" w:line="39" w:lineRule="exact"/>
        <w:rPr>
          <w:sz w:val="20"/>
          <w:szCs w:val="20"/>
          <w:color w:val="auto"/>
        </w:rPr>
      </w:pPr>
    </w:p>
    <w:p>
      <w:pPr>
        <w:ind w:left="4" w:right="20" w:hanging="4"/>
        <w:spacing w:after="0" w:line="260" w:lineRule="auto"/>
        <w:tabs>
          <w:tab w:leader="none" w:pos="3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Specified Termination in order to determine whether such Specified Termination shall have occurred during a Protected Period such that the Award shall be eligible for settlement pursuant to this Section 4(c).</w:t>
      </w:r>
    </w:p>
    <w:p>
      <w:pPr>
        <w:spacing w:after="0" w:line="18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385"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without Cause</w:t>
      </w:r>
      <w:r>
        <w:rPr>
          <w:rFonts w:ascii="Times New Roman" w:cs="Times New Roman" w:eastAsia="Times New Roman" w:hAnsi="Times New Roman"/>
          <w:sz w:val="18"/>
          <w:szCs w:val="18"/>
          <w:color w:val="auto"/>
        </w:rPr>
        <w:t>. Upon a termination of the Participant’s Service by the Company or one of its successors or Affiliates without Cause that occurs:</w:t>
      </w:r>
    </w:p>
    <w:p>
      <w:pPr>
        <w:spacing w:after="0" w:line="53" w:lineRule="exact"/>
        <w:rPr>
          <w:rFonts w:ascii="Times New Roman" w:cs="Times New Roman" w:eastAsia="Times New Roman" w:hAnsi="Times New Roman"/>
          <w:sz w:val="18"/>
          <w:szCs w:val="18"/>
          <w:color w:val="auto"/>
        </w:rPr>
      </w:pPr>
    </w:p>
    <w:p>
      <w:pPr>
        <w:ind w:left="444" w:right="20" w:firstLine="419"/>
        <w:spacing w:after="0" w:line="256" w:lineRule="auto"/>
        <w:tabs>
          <w:tab w:leader="none" w:pos="121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Vesting Date, then the Award shall be settled in accordance with Section 3 above in respect of the number of RSUs that would have been earned pursuant to this Agreement based on actual performance during the full Performance Period, notwithstanding the termination of the Participant’s Service, multiplied by a fraction, the numerator of which is the number of days from the Date of Grant through and including the date of termination of Service, and the denominator of which is 1,825, except that notwithstanding Section 2(b), such RSUs shall be fully vested and settled on the Settlement Date next following the end of the full Performance Period, subject to the applicable limitations set forth in Section 3 above; and</w:t>
      </w:r>
    </w:p>
    <w:p>
      <w:pPr>
        <w:spacing w:after="0" w:line="79" w:lineRule="exact"/>
        <w:rPr>
          <w:rFonts w:ascii="Times New Roman" w:cs="Times New Roman" w:eastAsia="Times New Roman" w:hAnsi="Times New Roman"/>
          <w:sz w:val="18"/>
          <w:szCs w:val="18"/>
          <w:color w:val="auto"/>
        </w:rPr>
      </w:pPr>
    </w:p>
    <w:p>
      <w:pPr>
        <w:ind w:left="444" w:right="300" w:firstLine="419"/>
        <w:spacing w:after="0" w:line="261" w:lineRule="auto"/>
        <w:tabs>
          <w:tab w:leader="none" w:pos="126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Vesting Date and prior to the final Settlement Date, then the Award shall be settled in accordance with Section 3 above, in respect of the number of then-outstanding Earned RSUs that would have vested on the Vesting Date coincident with or next following such termination of Service, except that notwithstanding Section 2(b), such Earned RSUs shall be fully vested and settled within sixty (60) days following such termination of Service, subject to the applicable limitations set forth in Section 3 above.</w:t>
      </w:r>
    </w:p>
    <w:p>
      <w:pPr>
        <w:spacing w:after="0" w:line="175" w:lineRule="exact"/>
        <w:rPr>
          <w:rFonts w:ascii="Times New Roman" w:cs="Times New Roman" w:eastAsia="Times New Roman" w:hAnsi="Times New Roman"/>
          <w:sz w:val="18"/>
          <w:szCs w:val="18"/>
          <w:color w:val="auto"/>
        </w:rPr>
      </w:pPr>
    </w:p>
    <w:p>
      <w:pPr>
        <w:ind w:left="4" w:right="300" w:firstLine="987"/>
        <w:spacing w:after="0" w:line="257" w:lineRule="auto"/>
        <w:tabs>
          <w:tab w:leader="none" w:pos="137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to a felony, misdemeanor involving fraud, theft or moral turpitude, or any other reckless or willful misconduct that is contrary to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the Company or materially and adversely affects the reputation of the Company.</w:t>
      </w:r>
    </w:p>
    <w:p>
      <w:pPr>
        <w:spacing w:after="0" w:line="182" w:lineRule="exact"/>
        <w:rPr>
          <w:rFonts w:ascii="Times New Roman" w:cs="Times New Roman" w:eastAsia="Times New Roman" w:hAnsi="Times New Roman"/>
          <w:sz w:val="18"/>
          <w:szCs w:val="18"/>
          <w:color w:val="auto"/>
        </w:rPr>
      </w:pPr>
    </w:p>
    <w:p>
      <w:pPr>
        <w:ind w:left="4" w:right="20" w:firstLine="987"/>
        <w:spacing w:after="0" w:line="257" w:lineRule="auto"/>
        <w:tabs>
          <w:tab w:leader="none" w:pos="135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6 of 11</w:t>
      </w:r>
    </w:p>
    <w:p>
      <w:pPr>
        <w:sectPr>
          <w:pgSz w:w="11900" w:h="16838" w:orient="portrait"/>
          <w:cols w:equalWidth="0" w:num="1">
            <w:col w:w="10984"/>
          </w:cols>
          <w:pgMar w:left="436" w:top="270" w:right="479" w:bottom="1440" w:gutter="0" w:footer="0" w:header="0"/>
        </w:sectPr>
      </w:pPr>
    </w:p>
    <w:bookmarkStart w:id="64" w:name="page65"/>
    <w:bookmarkEnd w:id="64"/>
    <w:p>
      <w:pPr>
        <w:ind w:firstLine="987"/>
        <w:spacing w:after="0" w:line="266" w:lineRule="auto"/>
        <w:tabs>
          <w:tab w:leader="none" w:pos="138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Terminations of Service</w:t>
      </w:r>
      <w:r>
        <w:rPr>
          <w:rFonts w:ascii="Times New Roman" w:cs="Times New Roman" w:eastAsia="Times New Roman" w:hAnsi="Times New Roman"/>
          <w:sz w:val="18"/>
          <w:szCs w:val="18"/>
          <w:color w:val="auto"/>
        </w:rPr>
        <w:t>. Upon a termination of the Participant’s Service prior to the final Settlement Date for any reason other than pursuant to Sections 4(a), 4(b), 4(c) and 4(d) above, the Award, including any then-outstanding Earned RSUs, shall immediately terminate and be forfeited without consideration.</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38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Upon a termination of the Participant’s Service prior to the final Settlement Date for termination without Cause pursuant to Section 4(d), settlement of any Award shall be conditioned first upon the Participant’s execution of a fully effective and non-revocable general release (“Release”) in favor of the Company, its Board of Directors, Affiliates, and employees, in such form as reasonably approved by the Company and the Participant within sixty (60) days of the Participant’s termination of Service, which Release shall be provided to the Participant within five (5) days of the Participant’s termination of Service.</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7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7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7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into this Award Agreement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7 of 11</w:t>
      </w:r>
    </w:p>
    <w:p>
      <w:pPr>
        <w:sectPr>
          <w:pgSz w:w="11900" w:h="16838" w:orient="portrait"/>
          <w:cols w:equalWidth="0" w:num="1">
            <w:col w:w="10940"/>
          </w:cols>
          <w:pgMar w:left="440" w:top="270" w:right="519" w:bottom="1440" w:gutter="0" w:footer="0" w:header="0"/>
        </w:sectPr>
      </w:pPr>
    </w:p>
    <w:bookmarkStart w:id="65" w:name="page66"/>
    <w:bookmarkEnd w:id="65"/>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7 shall survive termination or settlement of the Award and termination or satisfaction of the Award Agreement.</w:t>
      </w:r>
    </w:p>
    <w:p>
      <w:pPr>
        <w:spacing w:after="0" w:line="225" w:lineRule="exact"/>
        <w:rPr>
          <w:sz w:val="20"/>
          <w:szCs w:val="20"/>
          <w:color w:val="auto"/>
        </w:rPr>
      </w:pPr>
    </w:p>
    <w:p>
      <w:pPr>
        <w:ind w:firstLine="436"/>
        <w:spacing w:after="0" w:line="254" w:lineRule="auto"/>
        <w:tabs>
          <w:tab w:leader="none" w:pos="7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8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8 of 11</w:t>
      </w:r>
    </w:p>
    <w:p>
      <w:pPr>
        <w:sectPr>
          <w:pgSz w:w="11900" w:h="16838" w:orient="portrait"/>
          <w:cols w:equalWidth="0" w:num="1">
            <w:col w:w="10960"/>
          </w:cols>
          <w:pgMar w:left="440" w:top="270" w:right="499" w:bottom="1440" w:gutter="0" w:footer="0" w:header="0"/>
        </w:sectPr>
      </w:pPr>
    </w:p>
    <w:bookmarkStart w:id="66" w:name="page67"/>
    <w:bookmarkEnd w:id="66"/>
    <w:p>
      <w:pPr>
        <w:ind w:left="-60" w:firstLine="436"/>
        <w:spacing w:after="0" w:line="261" w:lineRule="auto"/>
        <w:tabs>
          <w:tab w:leader="none" w:pos="7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left="-60" w:right="220" w:firstLine="436"/>
        <w:spacing w:after="0" w:line="266"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5" w:lineRule="exact"/>
        <w:rPr>
          <w:rFonts w:ascii="Times New Roman" w:cs="Times New Roman" w:eastAsia="Times New Roman" w:hAnsi="Times New Roman"/>
          <w:sz w:val="18"/>
          <w:szCs w:val="18"/>
          <w:color w:val="auto"/>
        </w:rPr>
      </w:pPr>
    </w:p>
    <w:p>
      <w:pPr>
        <w:ind w:left="-60" w:firstLine="436"/>
        <w:spacing w:after="0" w:line="282"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left="-60" w:right="60" w:firstLine="436"/>
        <w:spacing w:after="0" w:line="261"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780" w:hanging="404"/>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20" w:firstLine="987"/>
        <w:spacing w:after="0" w:line="253" w:lineRule="auto"/>
        <w:tabs>
          <w:tab w:leader="none" w:pos="130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94" w:lineRule="exact"/>
        <w:rPr>
          <w:rFonts w:ascii="Times New Roman" w:cs="Times New Roman" w:eastAsia="Times New Roman" w:hAnsi="Times New Roman"/>
          <w:sz w:val="18"/>
          <w:szCs w:val="18"/>
          <w:color w:val="auto"/>
        </w:rPr>
      </w:pPr>
    </w:p>
    <w:p>
      <w:pPr>
        <w:ind w:left="-60" w:right="300" w:firstLine="987"/>
        <w:spacing w:after="0" w:line="266" w:lineRule="auto"/>
        <w:tabs>
          <w:tab w:leader="none" w:pos="132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11</w:t>
      </w:r>
    </w:p>
    <w:p>
      <w:pPr>
        <w:sectPr>
          <w:pgSz w:w="11900" w:h="16838" w:orient="portrait"/>
          <w:cols w:equalWidth="0" w:num="1">
            <w:col w:w="10880"/>
          </w:cols>
          <w:pgMar w:left="500" w:top="270" w:right="519" w:bottom="1440" w:gutter="0" w:footer="0" w:header="0"/>
        </w:sectPr>
      </w:pPr>
    </w:p>
    <w:bookmarkStart w:id="67" w:name="page68"/>
    <w:bookmarkEnd w:id="67"/>
    <w:p>
      <w:pPr>
        <w:ind w:firstLine="436"/>
        <w:spacing w:after="0" w:line="258" w:lineRule="auto"/>
        <w:tabs>
          <w:tab w:leader="none" w:pos="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Award granted hereunder at any time, subject to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w:t>
      </w:r>
    </w:p>
    <w:p>
      <w:pPr>
        <w:spacing w:after="0" w:line="206" w:lineRule="exact"/>
        <w:rPr>
          <w:rFonts w:ascii="Times New Roman" w:cs="Times New Roman" w:eastAsia="Times New Roman" w:hAnsi="Times New Roman"/>
          <w:sz w:val="18"/>
          <w:szCs w:val="18"/>
          <w:color w:val="auto"/>
        </w:rPr>
      </w:pPr>
    </w:p>
    <w:p>
      <w:pPr>
        <w:ind w:right="180" w:firstLine="436"/>
        <w:spacing w:after="0" w:line="282" w:lineRule="auto"/>
        <w:tabs>
          <w:tab w:leader="none" w:pos="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00" w:firstLine="436"/>
        <w:spacing w:after="0" w:line="255" w:lineRule="auto"/>
        <w:tabs>
          <w:tab w:leader="none" w:pos="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8" w:lineRule="exact"/>
        <w:rPr>
          <w:rFonts w:ascii="Times New Roman" w:cs="Times New Roman" w:eastAsia="Times New Roman" w:hAnsi="Times New Roman"/>
          <w:sz w:val="18"/>
          <w:szCs w:val="18"/>
          <w:color w:val="auto"/>
        </w:rPr>
      </w:pPr>
    </w:p>
    <w:p>
      <w:pPr>
        <w:ind w:right="580" w:firstLine="436"/>
        <w:spacing w:after="0" w:line="282" w:lineRule="auto"/>
        <w:tabs>
          <w:tab w:leader="none" w:pos="8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10 of 11</w:t>
      </w:r>
    </w:p>
    <w:p>
      <w:pPr>
        <w:sectPr>
          <w:pgSz w:w="11900" w:h="16838" w:orient="portrait"/>
          <w:cols w:equalWidth="0" w:num="1">
            <w:col w:w="10980"/>
          </w:cols>
          <w:pgMar w:left="440" w:top="270" w:right="479" w:bottom="1440" w:gutter="0" w:footer="0" w:header="0"/>
        </w:sectPr>
      </w:pPr>
    </w:p>
    <w:bookmarkStart w:id="68" w:name="page69"/>
    <w:bookmarkEnd w:id="6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Robert W. Edmund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Secretary &amp; SVP of HR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1</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Page 11 of 11</w:t>
      </w:r>
    </w:p>
    <w:p>
      <w:pPr>
        <w:sectPr>
          <w:pgSz w:w="11900" w:h="16838" w:orient="portrait"/>
          <w:cols w:equalWidth="0" w:num="1">
            <w:col w:w="10700"/>
          </w:cols>
          <w:pgMar w:left="440" w:top="270" w:right="7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Based)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June 29, 2022 (the “</w:t>
      </w:r>
      <w:r>
        <w:rPr>
          <w:rFonts w:ascii="Times New Roman" w:cs="Times New Roman" w:eastAsia="Times New Roman" w:hAnsi="Times New Roman"/>
          <w:sz w:val="18"/>
          <w:szCs w:val="18"/>
          <w:b w:val="1"/>
          <w:b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Morris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in the best interests of the Company and its stockholders to grant the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performance-vesting restricted stock units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760" w:hanging="324"/>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RSUs on the following terms:</w:t>
      </w:r>
    </w:p>
    <w:p>
      <w:pPr>
        <w:spacing w:after="0" w:line="117" w:lineRule="exact"/>
        <w:rPr>
          <w:rFonts w:ascii="Times New Roman" w:cs="Times New Roman" w:eastAsia="Times New Roman" w:hAnsi="Times New Roman"/>
          <w:sz w:val="18"/>
          <w:szCs w:val="18"/>
          <w:color w:val="auto"/>
        </w:rPr>
      </w:pPr>
    </w:p>
    <w:p>
      <w:pPr>
        <w:jc w:val="both"/>
        <w:ind w:right="520" w:firstLine="987"/>
        <w:spacing w:after="0" w:line="276" w:lineRule="auto"/>
        <w:tabs>
          <w:tab w:leader="none" w:pos="137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achievement of target-level performance set forth in this Agreement, 98,706 RSUs may be earned under this Award (the “</w:t>
      </w:r>
      <w:r>
        <w:rPr>
          <w:rFonts w:ascii="Times New Roman" w:cs="Times New Roman" w:eastAsia="Times New Roman" w:hAnsi="Times New Roman"/>
          <w:sz w:val="17"/>
          <w:szCs w:val="17"/>
          <w:b w:val="1"/>
          <w:bCs w:val="1"/>
          <w:color w:val="auto"/>
        </w:rPr>
        <w:t>Target Achievable RSUs</w:t>
      </w:r>
      <w:r>
        <w:rPr>
          <w:rFonts w:ascii="Times New Roman" w:cs="Times New Roman" w:eastAsia="Times New Roman" w:hAnsi="Times New Roman"/>
          <w:sz w:val="17"/>
          <w:szCs w:val="17"/>
          <w:color w:val="auto"/>
        </w:rPr>
        <w:t>”) based on the volume-weighted average closing price of a share of the Company’s common stock for the consecutive</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60-trading day period ending on the fifth anniversary of the Date of Grant (the “</w:t>
      </w:r>
      <w:r>
        <w:rPr>
          <w:rFonts w:ascii="Times New Roman" w:cs="Times New Roman" w:eastAsia="Times New Roman" w:hAnsi="Times New Roman"/>
          <w:sz w:val="18"/>
          <w:szCs w:val="18"/>
          <w:b w:val="1"/>
          <w:bCs w:val="1"/>
          <w:color w:val="auto"/>
        </w:rPr>
        <w:t>Average Share Price</w:t>
      </w:r>
      <w:r>
        <w:rPr>
          <w:rFonts w:ascii="Times New Roman" w:cs="Times New Roman" w:eastAsia="Times New Roman" w:hAnsi="Times New Roman"/>
          <w:sz w:val="18"/>
          <w:szCs w:val="18"/>
          <w:color w:val="auto"/>
        </w:rPr>
        <w:t>”, and the last day of such 60-trading day period,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For purposes of this Award Agreement,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commencing on the Date of Grant and ending on the Closing Date.</w:t>
      </w:r>
    </w:p>
    <w:p>
      <w:pPr>
        <w:spacing w:after="0" w:line="181"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represents one notional share of common stock, par value $.01 per share, of the Company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p>
    <w:p>
      <w:pPr>
        <w:spacing w:after="0" w:line="225" w:lineRule="exact"/>
        <w:rPr>
          <w:rFonts w:ascii="Times New Roman" w:cs="Times New Roman" w:eastAsia="Times New Roman" w:hAnsi="Times New Roman"/>
          <w:sz w:val="18"/>
          <w:szCs w:val="18"/>
          <w:color w:val="auto"/>
        </w:rPr>
      </w:pPr>
    </w:p>
    <w:p>
      <w:pPr>
        <w:ind w:right="220" w:firstLine="987"/>
        <w:spacing w:after="0" w:line="261" w:lineRule="auto"/>
        <w:tabs>
          <w:tab w:leader="none" w:pos="13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Earned Portion</w:t>
      </w:r>
      <w:r>
        <w:rPr>
          <w:rFonts w:ascii="Times New Roman" w:cs="Times New Roman" w:eastAsia="Times New Roman" w:hAnsi="Times New Roman"/>
          <w:sz w:val="18"/>
          <w:szCs w:val="18"/>
          <w:color w:val="auto"/>
        </w:rPr>
        <w:t>. The Award shall be one hundred percent (100%) unvested as of the Date of Grant. Pursuant to the terms of the Plan and this Award Agreement, including, without limitation, Sections 3 and 4 below, as soon as reasonably practicable following the Closing Date, the Company shall determine the number RSUs, if any, that shall be deemed earned and eligible for vesting and settlement (such RSUs, “</w:t>
      </w:r>
      <w:r>
        <w:rPr>
          <w:rFonts w:ascii="Times New Roman" w:cs="Times New Roman" w:eastAsia="Times New Roman" w:hAnsi="Times New Roman"/>
          <w:sz w:val="18"/>
          <w:szCs w:val="18"/>
          <w:b w:val="1"/>
          <w:bCs w:val="1"/>
          <w:color w:val="auto"/>
        </w:rPr>
        <w:t>Earned RSUs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w:t>
      </w:r>
    </w:p>
    <w:p>
      <w:pPr>
        <w:sectPr>
          <w:pgSz w:w="11900" w:h="16838" w:orient="portrait"/>
          <w:cols w:equalWidth="0" w:num="1">
            <w:col w:w="11020"/>
          </w:cols>
          <w:pgMar w:left="440" w:top="117" w:right="439" w:bottom="1440" w:gutter="0" w:footer="0" w:header="0"/>
        </w:sectPr>
      </w:pPr>
    </w:p>
    <w:bookmarkStart w:id="70" w:name="page71"/>
    <w:bookmarkEnd w:id="7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subsections (b) and (c) below. Any and all RSUs that are not deemed to be Earned RSUs shall be forfeited and canceled immediately without consideration and shall not be eligible for settlement in accordance with Section 3 hereof.</w:t>
      </w:r>
    </w:p>
    <w:p>
      <w:pPr>
        <w:spacing w:after="0" w:line="162" w:lineRule="exact"/>
        <w:rPr>
          <w:sz w:val="20"/>
          <w:szCs w:val="20"/>
          <w:color w:val="auto"/>
        </w:rPr>
      </w:pPr>
    </w:p>
    <w:p>
      <w:pPr>
        <w:ind w:right="620" w:firstLine="987"/>
        <w:spacing w:after="0" w:line="266" w:lineRule="auto"/>
        <w:tabs>
          <w:tab w:leader="none" w:pos="138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Vesting</w:t>
      </w:r>
      <w:r>
        <w:rPr>
          <w:rFonts w:ascii="Times New Roman" w:cs="Times New Roman" w:eastAsia="Times New Roman" w:hAnsi="Times New Roman"/>
          <w:sz w:val="18"/>
          <w:szCs w:val="18"/>
          <w:color w:val="auto"/>
        </w:rPr>
        <w:t>. The Earned RSUs shall vest on the Closing Date subject to the Participant’s continued employment with the Company through such date and subject to earlier vesting of all or a portion of the Earned RSUs in accordance with Subsection 2(c) below (as applicable, each such date is referred to herein as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3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Calculation</w:t>
      </w:r>
      <w:r>
        <w:rPr>
          <w:rFonts w:ascii="Times New Roman" w:cs="Times New Roman" w:eastAsia="Times New Roman" w:hAnsi="Times New Roman"/>
          <w:sz w:val="18"/>
          <w:szCs w:val="18"/>
          <w:color w:val="auto"/>
        </w:rPr>
        <w:t>. The RSUs shall be deemed earned as set forth in the table below based on the Average Share Price. If on the Closing Date, the Average Share Price fails to achieve the target level specified in the table below, then all RSUs shall be deemed unearned, forfeited, and canceled immediately without consideration. The RSUs that are deemed earned in accordance with this Section 2(c) shall be payable as of (and not before) the Settlement Date (defined below).</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u w:val="single" w:color="auto"/>
          <w:color w:val="auto"/>
        </w:rPr>
        <w:t>Average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16510</wp:posOffset>
            </wp:positionV>
            <wp:extent cx="474916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Greater than or equal to $101.31</w:t>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Less than $101.31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u w:val="single" w:color="auto"/>
          <w:color w:val="auto"/>
        </w:rPr>
        <w:t>Earned Percentage of RSUs</w:t>
      </w:r>
    </w:p>
    <w:p>
      <w:pPr>
        <w:spacing w:after="0" w:line="27"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100%</w:t>
      </w:r>
    </w:p>
    <w:p>
      <w:pPr>
        <w:spacing w:after="0" w:line="7"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0%</w:t>
      </w:r>
    </w:p>
    <w:p>
      <w:pPr>
        <w:spacing w:after="0" w:line="99" w:lineRule="exact"/>
        <w:rPr>
          <w:sz w:val="20"/>
          <w:szCs w:val="20"/>
          <w:color w:val="auto"/>
        </w:rPr>
      </w:pPr>
    </w:p>
    <w:p>
      <w:pPr>
        <w:sectPr>
          <w:pgSz w:w="11900" w:h="16838" w:orient="portrait"/>
          <w:cols w:equalWidth="0" w:num="2">
            <w:col w:w="6820" w:space="720"/>
            <w:col w:w="3440"/>
          </w:cols>
          <w:pgMar w:left="440" w:top="270" w:right="479" w:bottom="1440" w:gutter="0" w:footer="0" w:header="0"/>
          <w:type w:val="continuous"/>
        </w:sectPr>
      </w:pPr>
    </w:p>
    <w:p>
      <w:pPr>
        <w:ind w:left="440" w:right="240" w:firstLine="419"/>
        <w:spacing w:after="0" w:line="266" w:lineRule="auto"/>
        <w:tabs>
          <w:tab w:leader="none" w:pos="12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between the Date of Grant and the Closing Date, the volume-weighted average closing price of a share of the Company’s common stock for any consecutive 60-trading day period (the final day of such 60-trading day period, the “</w:t>
      </w:r>
      <w:r>
        <w:rPr>
          <w:rFonts w:ascii="Times New Roman" w:cs="Times New Roman" w:eastAsia="Times New Roman" w:hAnsi="Times New Roman"/>
          <w:sz w:val="18"/>
          <w:szCs w:val="18"/>
          <w:b w:val="1"/>
          <w:bCs w:val="1"/>
          <w:color w:val="auto"/>
        </w:rPr>
        <w:t>Interim Closing Date</w:t>
      </w:r>
      <w:r>
        <w:rPr>
          <w:rFonts w:ascii="Times New Roman" w:cs="Times New Roman" w:eastAsia="Times New Roman" w:hAnsi="Times New Roman"/>
          <w:sz w:val="18"/>
          <w:szCs w:val="18"/>
          <w:color w:val="auto"/>
        </w:rPr>
        <w:t>”) is greater than or equal to $101.31, then vesting shall occur in three installments as follows:</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76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RSUs will vest on the earlier of (x) the first anniversary of the Interim Closing Date or (y) the Closing Date; and</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6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RSUs will vest on the earlier of (x) second anniversary of the Interim Closing Date or (y) the Closing Date; and</w:t>
      </w:r>
    </w:p>
    <w:p>
      <w:pPr>
        <w:spacing w:after="0" w:line="49"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RSUs (the “</w:t>
      </w:r>
      <w:r>
        <w:rPr>
          <w:rFonts w:ascii="Times New Roman" w:cs="Times New Roman" w:eastAsia="Times New Roman" w:hAnsi="Times New Roman"/>
          <w:sz w:val="18"/>
          <w:szCs w:val="18"/>
          <w:b w:val="1"/>
          <w:bCs w:val="1"/>
          <w:color w:val="auto"/>
        </w:rPr>
        <w:t>Remaining RSUs</w:t>
      </w:r>
      <w:r>
        <w:rPr>
          <w:rFonts w:ascii="Times New Roman" w:cs="Times New Roman" w:eastAsia="Times New Roman" w:hAnsi="Times New Roman"/>
          <w:sz w:val="18"/>
          <w:szCs w:val="18"/>
          <w:color w:val="auto"/>
        </w:rPr>
        <w:t>”) will vest on the Closing Date.</w:t>
      </w:r>
    </w:p>
    <w:p>
      <w:pPr>
        <w:spacing w:after="0" w:line="121" w:lineRule="exact"/>
        <w:rPr>
          <w:rFonts w:ascii="Times New Roman" w:cs="Times New Roman" w:eastAsia="Times New Roman" w:hAnsi="Times New Roman"/>
          <w:sz w:val="18"/>
          <w:szCs w:val="18"/>
          <w:color w:val="auto"/>
        </w:rPr>
      </w:pPr>
    </w:p>
    <w:p>
      <w:pPr>
        <w:ind w:left="440" w:firstLine="419"/>
        <w:spacing w:after="0" w:line="261" w:lineRule="auto"/>
        <w:tabs>
          <w:tab w:leader="none" w:pos="12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if at any time between the one-year anniversary of the Interim Closing Date and the Closing Date, the volume-weighted average closing price of a share of the Company’s common stock for any consecutive 60-trading day period (the final day of such 60-trading day period, the “</w:t>
      </w:r>
      <w:r>
        <w:rPr>
          <w:rFonts w:ascii="Times New Roman" w:cs="Times New Roman" w:eastAsia="Times New Roman" w:hAnsi="Times New Roman"/>
          <w:sz w:val="18"/>
          <w:szCs w:val="18"/>
          <w:b w:val="1"/>
          <w:bCs w:val="1"/>
          <w:color w:val="auto"/>
        </w:rPr>
        <w:t>Subsequent Closing Date</w:t>
      </w:r>
      <w:r>
        <w:rPr>
          <w:rFonts w:ascii="Times New Roman" w:cs="Times New Roman" w:eastAsia="Times New Roman" w:hAnsi="Times New Roman"/>
          <w:sz w:val="18"/>
          <w:szCs w:val="18"/>
          <w:color w:val="auto"/>
        </w:rPr>
        <w:t>”) is greater than or equal to $101.31, then vesting of the Remaining RSUs shall occur as follows (it being understood the vesting of the RSUs in Subsections 2(c)(ii)(1) and (2) shall be unaffected):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 of 11</w:t>
      </w:r>
    </w:p>
    <w:p>
      <w:pPr>
        <w:sectPr>
          <w:pgSz w:w="11900" w:h="16838" w:orient="portrait"/>
          <w:cols w:equalWidth="0" w:num="1">
            <w:col w:w="10980"/>
          </w:cols>
          <w:pgMar w:left="440" w:top="270" w:right="479" w:bottom="1440" w:gutter="0" w:footer="0" w:header="0"/>
          <w:type w:val="continuous"/>
        </w:sectPr>
      </w:pPr>
    </w:p>
    <w:bookmarkStart w:id="71" w:name="page72"/>
    <w:bookmarkEnd w:id="71"/>
    <w:p>
      <w:pPr>
        <w:ind w:left="980" w:right="140" w:firstLine="408"/>
        <w:spacing w:after="0" w:line="282" w:lineRule="auto"/>
        <w:tabs>
          <w:tab w:leader="none" w:pos="177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Fifty percent (50%) of the Remaining RSUs will vest on the earlier of (x) the first anniversary of the Subsequent Closing Date or (y) the Closing Date; and</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Fifty percent (50%) of the Remaining RSUs will vest on the earlier of (x) second anniversary of the Subsequent Closing Date or</w:t>
      </w:r>
    </w:p>
    <w:p>
      <w:pPr>
        <w:spacing w:after="0" w:line="38"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w:t>
      </w:r>
    </w:p>
    <w:p>
      <w:pPr>
        <w:spacing w:after="0" w:line="207" w:lineRule="exact"/>
        <w:rPr>
          <w:sz w:val="20"/>
          <w:szCs w:val="20"/>
          <w:color w:val="auto"/>
        </w:rPr>
      </w:pPr>
    </w:p>
    <w:p>
      <w:pPr>
        <w:ind w:left="1380" w:hanging="393"/>
        <w:spacing w:after="0"/>
        <w:tabs>
          <w:tab w:leader="none" w:pos="138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in Control, notwithstanding Section 2(c), the following shall apply:</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21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in Control of the Company, if the Share Price is greater than or equal to $101.31 on the effective date of the Change in Control (the “CIC Date”), then all RSUs not already deemed to be Earned RSUs shall be converted to Earned RSUs, except that notwithstanding Sections 2(b) and 2(c), vesting of all then outstanding Earned RSUs shall occur as follows:</w:t>
      </w:r>
    </w:p>
    <w:p>
      <w:pPr>
        <w:spacing w:after="0" w:line="6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then outstanding Earned RSUs will vest on the earlier of (x) the CIC Date or (y) the Closing Date;</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767"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then outstanding Earned RSUs will vest on the earlier of (x) first anniversary of the CIC Date or (y) the Closing Date; and</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767"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(25%) of the then outstanding Earned RSUs will vest on the earlier of (x) second anniversary of the CIC Date or (y) the Closing Date.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6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less than $101.31 on the CIC Date, then all RSUs not deemed to be Earned RSUs shall immediately terminate and be forfeited without consideration.</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39" w:lineRule="auto"/>
        <w:tabs>
          <w:tab w:leader="none" w:pos="1371"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Settlement</w:t>
      </w:r>
      <w:r>
        <w:rPr>
          <w:rFonts w:ascii="Times New Roman" w:cs="Times New Roman" w:eastAsia="Times New Roman" w:hAnsi="Times New Roman"/>
          <w:sz w:val="18"/>
          <w:szCs w:val="18"/>
          <w:color w:val="auto"/>
        </w:rPr>
        <w:t>. Pursuant to the terms of the Plan and this Award Agreement, including, without limitation, Section 4 below, and to the extent that it would not cause a violation of Section 409A, each vested Earned RSU shall be settled by the issuance of a Share as soon as practicable following the applicable Vesting Date, and in all events no later than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such Vesting Date, as determined solely by the Company (the date of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Vested and Earned RSUs settled via Share issuance shall be distributed to the Participant or the Participant’s legal representative; provided, that the Company may, at its election, either (a) on or after the Settlement Date, issue a certificate representing the Shares subject to this Award Agreement, or (b) not issue any certificate representing Shares subject to this Award Agreement and instead document the Participant’s or the Participant’s legal representative’s interest in the Shares by registering the Shares with the Company’s transfer agent (or another custodian selected by the Company) in book-entry form.</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11</w:t>
      </w:r>
    </w:p>
    <w:p>
      <w:pPr>
        <w:sectPr>
          <w:pgSz w:w="11900" w:h="16838" w:orient="portrait"/>
          <w:cols w:equalWidth="0" w:num="1">
            <w:col w:w="11000"/>
          </w:cols>
          <w:pgMar w:left="440" w:top="270" w:right="459" w:bottom="1440" w:gutter="0" w:footer="0" w:header="0"/>
        </w:sectPr>
      </w:pPr>
    </w:p>
    <w:bookmarkStart w:id="72" w:name="page73"/>
    <w:bookmarkEnd w:id="72"/>
    <w:p>
      <w:pPr>
        <w:ind w:right="440" w:firstLine="987"/>
        <w:spacing w:after="0" w:line="282" w:lineRule="auto"/>
        <w:tabs>
          <w:tab w:leader="none" w:pos="138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Clawback Policy</w:t>
      </w:r>
      <w:r>
        <w:rPr>
          <w:rFonts w:ascii="Times New Roman" w:cs="Times New Roman" w:eastAsia="Times New Roman" w:hAnsi="Times New Roman"/>
          <w:sz w:val="18"/>
          <w:szCs w:val="18"/>
          <w:color w:val="auto"/>
        </w:rPr>
        <w:t>. The Participant agrees and acknowledges that the Participant is bound by, and the Award is subject to, any clawback policy adopted by the Committee from time to time.</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herein to the contrary:</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occurs:</w:t>
      </w:r>
    </w:p>
    <w:p>
      <w:pPr>
        <w:spacing w:after="0" w:line="98"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21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Date, then the Award shall be settled in accordance with Section 3 above in respect of 100% of the Target Achievable RSUs, notwithstanding the termination of the Participant’s Service, except that notwithstanding Section 2(b), such RSUs shall be immediately fully vested and thereafter settled within sixty (60) days following such termination of Service, subject to the applicable limitations set forth in Section 3 above; and</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9" w:lineRule="auto"/>
        <w:tabs>
          <w:tab w:leader="none" w:pos="1263"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Date and prior to the final Settlement Date, then the Award shall be settled in accordance with Section 3 above, in respect of the number of then-outstanding Earned RSUs, except that notwithstanding Section 2(b), such Earned RSUs shall be immediately fully vested and settled within thirty (30) days following such termination of Service, subject to the applicable limitations set forth in Section 3 above.</w:t>
      </w:r>
    </w:p>
    <w:p>
      <w:pPr>
        <w:spacing w:after="0" w:line="1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87" w:lineRule="exact"/>
        <w:rPr>
          <w:sz w:val="20"/>
          <w:szCs w:val="20"/>
          <w:color w:val="auto"/>
        </w:rPr>
      </w:pPr>
    </w:p>
    <w:p>
      <w:pPr>
        <w:ind w:left="1380" w:hanging="393"/>
        <w:spacing w:after="0"/>
        <w:tabs>
          <w:tab w:leader="none" w:pos="13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that occurs:</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2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Vesting Date, then the Award shall be settled in accordance with Section 3 above in respect of the number of RSUs that would have been earned pursuant to this Agreement based on actual performance during the full Performance Period, notwithstanding the termination of the Participant’s Service, multiplied by a fraction, the numerator of which is the number of days from the Date of Grant through and including the date of termination of Service, and the denominator of which is 1,825, except that notwithstanding Section 2(b), such RSUs shall be fully vested and settled on the Settlement Date next following such termination of Service, subject to the applicable limitations set forth in Section 3 above;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11</w:t>
      </w:r>
    </w:p>
    <w:p>
      <w:pPr>
        <w:sectPr>
          <w:pgSz w:w="11900" w:h="16838" w:orient="portrait"/>
          <w:cols w:equalWidth="0" w:num="1">
            <w:col w:w="10980"/>
          </w:cols>
          <w:pgMar w:left="440" w:top="270" w:right="479" w:bottom="1440" w:gutter="0" w:footer="0" w:header="0"/>
        </w:sectPr>
      </w:pPr>
    </w:p>
    <w:bookmarkStart w:id="73" w:name="page74"/>
    <w:bookmarkEnd w:id="73"/>
    <w:p>
      <w:pPr>
        <w:ind w:left="440" w:right="80" w:firstLine="419"/>
        <w:spacing w:after="0" w:line="261" w:lineRule="auto"/>
        <w:tabs>
          <w:tab w:leader="none" w:pos="12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Vesting Date and prior to the final Settlement Date, then the Award shall be settled in accordance with Section 3 above, in respect of the number of then-outstanding Earned RSUs that would have vested on the Vesting Date coincident with or next following such termination of Service, except that notwithstanding Section 2(b), such RSUs shall be immediately fully vested and settled within thirty (30) days following such termination of Service, subject to the applicable limitations set forth in Section 3 above.</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80" w:lineRule="exact"/>
        <w:rPr>
          <w:sz w:val="20"/>
          <w:szCs w:val="20"/>
          <w:color w:val="auto"/>
        </w:rPr>
      </w:pPr>
    </w:p>
    <w:p>
      <w:pPr>
        <w:ind w:firstLine="987"/>
        <w:spacing w:after="0" w:line="261" w:lineRule="auto"/>
        <w:tabs>
          <w:tab w:leader="none" w:pos="13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a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termination by reason of death or Disability)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and (ii) the Specified Termination occurs either within ninety (90) days before or within twenty-four (24) months following the occurrence of a Change of Control of the Company (the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then:</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at any time prior to the expiration of the Performance Period,</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6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that are not deemed to be Earned RSUs shall be forfeited and canceled immediately without consideration and shall not be eligible for settlement in accordance with Section 3 hereof; and</w:t>
      </w:r>
    </w:p>
    <w:p>
      <w:pPr>
        <w:spacing w:after="0" w:line="53"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then-outstanding Earned RSUs shall be settled in accordance with Section 3 above, except that notwithstanding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2(b), such Earned RSUs shall be fully vested upon such termination (or, if later, such Change of Control) and settled within ten</w:t>
      </w:r>
    </w:p>
    <w:p>
      <w:pPr>
        <w:spacing w:after="0" w:line="9" w:lineRule="exact"/>
        <w:rPr>
          <w:sz w:val="20"/>
          <w:szCs w:val="20"/>
          <w:color w:val="auto"/>
        </w:rPr>
      </w:pPr>
    </w:p>
    <w:p>
      <w:pPr>
        <w:ind w:left="980" w:right="420" w:firstLine="7"/>
        <w:spacing w:after="0" w:line="260" w:lineRule="auto"/>
        <w:tabs>
          <w:tab w:leader="none" w:pos="132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termination (or, if later, such Change of Control), subject to the applicable limitations set forth in Section 3 above; and</w:t>
      </w:r>
    </w:p>
    <w:p>
      <w:pPr>
        <w:spacing w:after="0" w:line="7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occurs after the expiration of the Performance Period and prior to the final Settlement Date, the Award shall be settled in accordance with Section 3 above, in respect of the number of then-outstanding Earned RSUs, except that notwithstanding Section 2(b), such Earned RSUs shall be fully vested upon such termination (or, if later, such Change of Control) and settled within ten (10) days following such termination (or, if later, such Change of Control), subject to the applicable limitations set forth in Section 3 above;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 of 11</w:t>
      </w:r>
    </w:p>
    <w:p>
      <w:pPr>
        <w:sectPr>
          <w:pgSz w:w="11900" w:h="16838" w:orient="portrait"/>
          <w:cols w:equalWidth="0" w:num="1">
            <w:col w:w="10940"/>
          </w:cols>
          <w:pgMar w:left="440" w:top="270" w:right="51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7"/>
          <w:szCs w:val="17"/>
          <w:color w:val="auto"/>
        </w:rPr>
        <w:t>, that if a Specified Termination should occur prior to a Change of Control of the Company, the Award shall remain outstanding for up to ninety</w:t>
      </w:r>
    </w:p>
    <w:p>
      <w:pPr>
        <w:spacing w:after="0" w:line="39" w:lineRule="exact"/>
        <w:rPr>
          <w:sz w:val="20"/>
          <w:szCs w:val="20"/>
          <w:color w:val="auto"/>
        </w:rPr>
      </w:pPr>
    </w:p>
    <w:p>
      <w:pPr>
        <w:ind w:left="4" w:right="20" w:hanging="4"/>
        <w:spacing w:after="0" w:line="260" w:lineRule="auto"/>
        <w:tabs>
          <w:tab w:leader="none" w:pos="3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Specified Termination in order to determine whether such Specified Termination shall have occurred during a Protected Period such that the Award shall be eligible for settlement pursuant to this Section 4(c).</w:t>
      </w:r>
    </w:p>
    <w:p>
      <w:pPr>
        <w:spacing w:after="0" w:line="18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38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without Cause</w:t>
      </w:r>
      <w:r>
        <w:rPr>
          <w:rFonts w:ascii="Times New Roman" w:cs="Times New Roman" w:eastAsia="Times New Roman" w:hAnsi="Times New Roman"/>
          <w:sz w:val="18"/>
          <w:szCs w:val="18"/>
          <w:color w:val="auto"/>
        </w:rPr>
        <w:t>. Upon a termination of the Participant’s Service by the Company or one of its successors or Affiliates without Cause that occurs:</w:t>
      </w:r>
    </w:p>
    <w:p>
      <w:pPr>
        <w:spacing w:after="0" w:line="53" w:lineRule="exact"/>
        <w:rPr>
          <w:rFonts w:ascii="Times New Roman" w:cs="Times New Roman" w:eastAsia="Times New Roman" w:hAnsi="Times New Roman"/>
          <w:sz w:val="18"/>
          <w:szCs w:val="18"/>
          <w:color w:val="auto"/>
        </w:rPr>
      </w:pPr>
    </w:p>
    <w:p>
      <w:pPr>
        <w:ind w:left="444" w:right="20" w:firstLine="419"/>
        <w:spacing w:after="0" w:line="256" w:lineRule="auto"/>
        <w:tabs>
          <w:tab w:leader="none" w:pos="121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Vesting Date, then the Award shall be settled in accordance with Section 3 above in respect of the number of RSUs that would have been earned pursuant to this Agreement based on actual performance during the full Performance Period, notwithstanding the termination of the Participant’s Service, multiplied by a fraction, the numerator of which is the number of days from the Date of Grant through and including the date of termination of Service, and the denominator of which is 1,825, except that notwithstanding Section 2(b), such RSUs shall be fully vested and settled on the Settlement Date next following the end of the full Performance Period, subject to the applicable limitations set forth in Section 3 above; and</w:t>
      </w:r>
    </w:p>
    <w:p>
      <w:pPr>
        <w:spacing w:after="0" w:line="79" w:lineRule="exact"/>
        <w:rPr>
          <w:rFonts w:ascii="Times New Roman" w:cs="Times New Roman" w:eastAsia="Times New Roman" w:hAnsi="Times New Roman"/>
          <w:sz w:val="18"/>
          <w:szCs w:val="18"/>
          <w:color w:val="auto"/>
        </w:rPr>
      </w:pPr>
    </w:p>
    <w:p>
      <w:pPr>
        <w:ind w:left="444" w:right="300" w:firstLine="419"/>
        <w:spacing w:after="0" w:line="261" w:lineRule="auto"/>
        <w:tabs>
          <w:tab w:leader="none" w:pos="126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Vesting Date and prior to the final Settlement Date, then the Award shall be settled in accordance with Section 3 above, in respect of the number of then-outstanding Earned RSUs that would have vested on the Vesting Date coincident with or next following such termination of Service, except that notwithstanding Section 2(b), such Earned RSUs shall be fully vested and settled within sixty (60) days following such termination of Service, subject to the applicable limitations set forth in Section 3 above.</w:t>
      </w:r>
    </w:p>
    <w:p>
      <w:pPr>
        <w:spacing w:after="0" w:line="175" w:lineRule="exact"/>
        <w:rPr>
          <w:rFonts w:ascii="Times New Roman" w:cs="Times New Roman" w:eastAsia="Times New Roman" w:hAnsi="Times New Roman"/>
          <w:sz w:val="18"/>
          <w:szCs w:val="18"/>
          <w:color w:val="auto"/>
        </w:rPr>
      </w:pPr>
    </w:p>
    <w:p>
      <w:pPr>
        <w:ind w:left="4" w:right="300" w:firstLine="987"/>
        <w:spacing w:after="0" w:line="257" w:lineRule="auto"/>
        <w:tabs>
          <w:tab w:leader="none" w:pos="1375"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to a felony, misdemeanor involving fraud, theft or moral turpitude, or any other reckless or willful misconduct that is contrary to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the Company or materially and adversely affects the reputation of the Company.</w:t>
      </w:r>
    </w:p>
    <w:p>
      <w:pPr>
        <w:spacing w:after="0" w:line="182" w:lineRule="exact"/>
        <w:rPr>
          <w:rFonts w:ascii="Times New Roman" w:cs="Times New Roman" w:eastAsia="Times New Roman" w:hAnsi="Times New Roman"/>
          <w:sz w:val="18"/>
          <w:szCs w:val="18"/>
          <w:color w:val="auto"/>
        </w:rPr>
      </w:pPr>
    </w:p>
    <w:p>
      <w:pPr>
        <w:ind w:left="4" w:right="20" w:firstLine="987"/>
        <w:spacing w:after="0" w:line="257" w:lineRule="auto"/>
        <w:tabs>
          <w:tab w:leader="none" w:pos="1355"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6 of 11</w:t>
      </w:r>
    </w:p>
    <w:p>
      <w:pPr>
        <w:sectPr>
          <w:pgSz w:w="11900" w:h="16838" w:orient="portrait"/>
          <w:cols w:equalWidth="0" w:num="1">
            <w:col w:w="10984"/>
          </w:cols>
          <w:pgMar w:left="436" w:top="270" w:right="479" w:bottom="1440" w:gutter="0" w:footer="0" w:header="0"/>
        </w:sectPr>
      </w:pPr>
    </w:p>
    <w:bookmarkStart w:id="75" w:name="page76"/>
    <w:bookmarkEnd w:id="75"/>
    <w:p>
      <w:pPr>
        <w:ind w:firstLine="987"/>
        <w:spacing w:after="0" w:line="266" w:lineRule="auto"/>
        <w:tabs>
          <w:tab w:leader="none" w:pos="13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Terminations of Service</w:t>
      </w:r>
      <w:r>
        <w:rPr>
          <w:rFonts w:ascii="Times New Roman" w:cs="Times New Roman" w:eastAsia="Times New Roman" w:hAnsi="Times New Roman"/>
          <w:sz w:val="18"/>
          <w:szCs w:val="18"/>
          <w:color w:val="auto"/>
        </w:rPr>
        <w:t>. Upon a termination of the Participant’s Service prior to the final Settlement Date for any reason other than pursuant to Sections 4(a), 4(b), 4(c) and 4(d) above, the Award, including any then-outstanding Earned RSUs, shall immediately terminate and be forfeited without consideration.</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38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Upon a termination of the Participant’s Service prior to the final Settlement Date for termination without Cause pursuant to Section 4(d), settlement of any Award shall be conditioned first upon the Participant’s execution of a fully effective and non-revocable general release (“Release”) in favor of the Company, its Board of Directors, Affiliates, and employees, in such form as reasonably approved by the Company and the Participant within sixty (60) days of the Participant’s termination of Service, which Release shall be provided to the Participant within five (5) days of the Participant’s termination of Service.</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7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7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7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into this Award Agreement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7,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7 of 11</w:t>
      </w:r>
    </w:p>
    <w:p>
      <w:pPr>
        <w:sectPr>
          <w:pgSz w:w="11900" w:h="16838" w:orient="portrait"/>
          <w:cols w:equalWidth="0" w:num="1">
            <w:col w:w="10940"/>
          </w:cols>
          <w:pgMar w:left="440" w:top="270" w:right="519" w:bottom="1440" w:gutter="0" w:footer="0" w:header="0"/>
        </w:sectPr>
      </w:pPr>
    </w:p>
    <w:bookmarkStart w:id="76" w:name="page77"/>
    <w:bookmarkEnd w:id="76"/>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 (ii) 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7 shall survive termination or settlement of the Award and termination or satisfaction of the Award Agreement.</w:t>
      </w:r>
    </w:p>
    <w:p>
      <w:pPr>
        <w:spacing w:after="0" w:line="225" w:lineRule="exact"/>
        <w:rPr>
          <w:sz w:val="20"/>
          <w:szCs w:val="20"/>
          <w:color w:val="auto"/>
        </w:rPr>
      </w:pPr>
    </w:p>
    <w:p>
      <w:pPr>
        <w:ind w:firstLine="436"/>
        <w:spacing w:after="0" w:line="254" w:lineRule="auto"/>
        <w:tabs>
          <w:tab w:leader="none" w:pos="7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8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8 of 11</w:t>
      </w:r>
    </w:p>
    <w:p>
      <w:pPr>
        <w:sectPr>
          <w:pgSz w:w="11900" w:h="16838" w:orient="portrait"/>
          <w:cols w:equalWidth="0" w:num="1">
            <w:col w:w="10960"/>
          </w:cols>
          <w:pgMar w:left="440" w:top="270" w:right="499" w:bottom="1440" w:gutter="0" w:footer="0" w:header="0"/>
        </w:sectPr>
      </w:pPr>
    </w:p>
    <w:bookmarkStart w:id="77" w:name="page78"/>
    <w:bookmarkEnd w:id="77"/>
    <w:p>
      <w:pPr>
        <w:ind w:left="-60" w:firstLine="436"/>
        <w:spacing w:after="0" w:line="261" w:lineRule="auto"/>
        <w:tabs>
          <w:tab w:leader="none" w:pos="7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left="-60" w:right="220" w:firstLine="436"/>
        <w:spacing w:after="0" w:line="266" w:lineRule="auto"/>
        <w:tabs>
          <w:tab w:leader="none" w:pos="7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75" w:lineRule="exact"/>
        <w:rPr>
          <w:rFonts w:ascii="Times New Roman" w:cs="Times New Roman" w:eastAsia="Times New Roman" w:hAnsi="Times New Roman"/>
          <w:sz w:val="18"/>
          <w:szCs w:val="18"/>
          <w:color w:val="auto"/>
        </w:rPr>
      </w:pPr>
    </w:p>
    <w:p>
      <w:pPr>
        <w:ind w:left="-60" w:firstLine="436"/>
        <w:spacing w:after="0" w:line="282" w:lineRule="auto"/>
        <w:tabs>
          <w:tab w:leader="none" w:pos="7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left="-60" w:right="60" w:firstLine="436"/>
        <w:spacing w:after="0" w:line="261" w:lineRule="auto"/>
        <w:tabs>
          <w:tab w:leader="none" w:pos="7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780" w:hanging="404"/>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20" w:firstLine="987"/>
        <w:spacing w:after="0" w:line="253" w:lineRule="auto"/>
        <w:tabs>
          <w:tab w:leader="none" w:pos="130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94" w:lineRule="exact"/>
        <w:rPr>
          <w:rFonts w:ascii="Times New Roman" w:cs="Times New Roman" w:eastAsia="Times New Roman" w:hAnsi="Times New Roman"/>
          <w:sz w:val="18"/>
          <w:szCs w:val="18"/>
          <w:color w:val="auto"/>
        </w:rPr>
      </w:pPr>
    </w:p>
    <w:p>
      <w:pPr>
        <w:ind w:left="-60" w:right="300" w:firstLine="987"/>
        <w:spacing w:after="0" w:line="266" w:lineRule="auto"/>
        <w:tabs>
          <w:tab w:leader="none" w:pos="132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11</w:t>
      </w:r>
    </w:p>
    <w:p>
      <w:pPr>
        <w:sectPr>
          <w:pgSz w:w="11900" w:h="16838" w:orient="portrait"/>
          <w:cols w:equalWidth="0" w:num="1">
            <w:col w:w="10880"/>
          </w:cols>
          <w:pgMar w:left="500" w:top="270" w:right="519" w:bottom="1440" w:gutter="0" w:footer="0" w:header="0"/>
        </w:sectPr>
      </w:pPr>
    </w:p>
    <w:bookmarkStart w:id="78" w:name="page79"/>
    <w:bookmarkEnd w:id="78"/>
    <w:p>
      <w:pPr>
        <w:ind w:firstLine="436"/>
        <w:spacing w:after="0" w:line="258" w:lineRule="auto"/>
        <w:tabs>
          <w:tab w:leader="none" w:pos="8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8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Award granted hereunder at any time, subject to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w:t>
      </w:r>
    </w:p>
    <w:p>
      <w:pPr>
        <w:spacing w:after="0" w:line="206" w:lineRule="exact"/>
        <w:rPr>
          <w:rFonts w:ascii="Times New Roman" w:cs="Times New Roman" w:eastAsia="Times New Roman" w:hAnsi="Times New Roman"/>
          <w:sz w:val="18"/>
          <w:szCs w:val="18"/>
          <w:color w:val="auto"/>
        </w:rPr>
      </w:pPr>
    </w:p>
    <w:p>
      <w:pPr>
        <w:ind w:right="180" w:firstLine="436"/>
        <w:spacing w:after="0" w:line="282" w:lineRule="auto"/>
        <w:tabs>
          <w:tab w:leader="none" w:pos="8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00" w:firstLine="436"/>
        <w:spacing w:after="0" w:line="255" w:lineRule="auto"/>
        <w:tabs>
          <w:tab w:leader="none" w:pos="8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8" w:lineRule="exact"/>
        <w:rPr>
          <w:rFonts w:ascii="Times New Roman" w:cs="Times New Roman" w:eastAsia="Times New Roman" w:hAnsi="Times New Roman"/>
          <w:sz w:val="18"/>
          <w:szCs w:val="18"/>
          <w:color w:val="auto"/>
        </w:rPr>
      </w:pPr>
    </w:p>
    <w:p>
      <w:pPr>
        <w:ind w:right="580" w:firstLine="436"/>
        <w:spacing w:after="0" w:line="282" w:lineRule="auto"/>
        <w:tabs>
          <w:tab w:leader="none" w:pos="8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10 of 11</w:t>
      </w:r>
    </w:p>
    <w:p>
      <w:pPr>
        <w:sectPr>
          <w:pgSz w:w="11900" w:h="16838" w:orient="portrait"/>
          <w:cols w:equalWidth="0" w:num="1">
            <w:col w:w="10980"/>
          </w:cols>
          <w:pgMar w:left="440" w:top="270" w:right="479" w:bottom="1440" w:gutter="0" w:footer="0" w:header="0"/>
        </w:sectPr>
      </w:pPr>
    </w:p>
    <w:bookmarkStart w:id="79" w:name="page80"/>
    <w:bookmarkEnd w:id="7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Award Agreement as of the date first set forth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Robert W. Edmund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Secretary &amp; SVP of HR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2022 Restricted Stock Unit Award Agreement – Performance Based No 2</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Page 11 of 11</w:t>
      </w:r>
    </w:p>
    <w:p>
      <w:pPr>
        <w:sectPr>
          <w:pgSz w:w="11900" w:h="16838" w:orient="portrait"/>
          <w:cols w:equalWidth="0" w:num="1">
            <w:col w:w="10700"/>
          </w:cols>
          <w:pgMar w:left="440" w:top="270" w:right="7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(Time-Based)</w:t>
      </w:r>
    </w:p>
    <w:p>
      <w:pPr>
        <w:spacing w:after="0" w:line="203"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THIS RESTRICTED STOCK UNIT AGREEMENT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is made effective as of June 29, 2022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between Dave &amp; Buster’s Entertainment,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Christopher Morris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Dave &amp; Buster’s Entertainment, Inc. 2014 Omnibus Incentive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“Committee”) has determined that it would be in the best interests of the Company and its stockholders to grant the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of restricted stock units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provided for herein to the Participant pursuant to the Plan and the terms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right="120" w:firstLine="436"/>
        <w:spacing w:after="0" w:line="258" w:lineRule="auto"/>
        <w:tabs>
          <w:tab w:leader="none" w:pos="7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14,806 RSUs. The RSU Award will vest in five (5) installments as follows: 2,962 RSUs on the first anniversary of the Date of Grant, 2,961 RSUs on the second anniversary of the Date of Grant, 2,961 RSUs on third anniversary of the Date of Grant, 2,961 RSUs on fourth anniversary of the Date of Grant, and 2,961 RSUs on fifth anniversary of the Date of Grant. Each RSU represents one notional share of common stock, par value $.01 per share, of the Company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provided that the RSUs shall be settled in Shares in accordance with Section 2 below.</w:t>
      </w:r>
    </w:p>
    <w:p>
      <w:pPr>
        <w:spacing w:after="0" w:line="18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54" w:lineRule="auto"/>
        <w:tabs>
          <w:tab w:leader="none" w:pos="137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Subject to the terms of the Plan and this Award Agreement, including, without limitation, Section 4 hereof, and to the extent that it would not cause a violation of Section 409A, each RSU shall be settled by the issuance of a Share as soon as practicable following the applicable date of vesting, and in all events no later than sixty (60) days following the applicable date of vesting, as determined solely by the Company (the date of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RSUs settled via Share issuance shall be distributed to the Participant or the Participant’s legal representative; provided, that the Company may, at its election, either (a) on or after the Settlement Date, issue a certificate representing the Shares subject to this Award Agreement, or (b) not issue any certificate representing Shares subject to this Award Agreement and instead document the Participant’s or the Participant’s legal representative’s interest in the Shares by registering the Shares with the Company’s transfer agent (or another custodian selected by the Company) in book-entry form.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w:t>
      </w:r>
    </w:p>
    <w:p>
      <w:pPr>
        <w:sectPr>
          <w:pgSz w:w="11900" w:h="16838" w:orient="portrait"/>
          <w:cols w:equalWidth="0" w:num="1">
            <w:col w:w="11020"/>
          </w:cols>
          <w:pgMar w:left="440" w:top="117" w:right="439" w:bottom="1440" w:gutter="0" w:footer="0" w:header="0"/>
        </w:sectPr>
      </w:pPr>
    </w:p>
    <w:bookmarkStart w:id="81" w:name="page82"/>
    <w:bookmarkEnd w:id="81"/>
    <w:p>
      <w:pPr>
        <w:ind w:right="440" w:firstLine="987"/>
        <w:spacing w:after="0" w:line="282" w:lineRule="auto"/>
        <w:tabs>
          <w:tab w:leader="none" w:pos="13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Clawback Policy</w:t>
      </w:r>
      <w:r>
        <w:rPr>
          <w:rFonts w:ascii="Times New Roman" w:cs="Times New Roman" w:eastAsia="Times New Roman" w:hAnsi="Times New Roman"/>
          <w:sz w:val="18"/>
          <w:szCs w:val="18"/>
          <w:color w:val="auto"/>
        </w:rPr>
        <w:t>. The Participant agrees and acknowledges that the Participant is bound by, and the Award is subject to, any clawback policy adopted by the Committee from time to time.</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Notwithstanding anything herein to the contrary:</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3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Death or Disability</w:t>
      </w:r>
      <w:r>
        <w:rPr>
          <w:rFonts w:ascii="Times New Roman" w:cs="Times New Roman" w:eastAsia="Times New Roman" w:hAnsi="Times New Roman"/>
          <w:sz w:val="18"/>
          <w:szCs w:val="18"/>
          <w:color w:val="auto"/>
        </w:rPr>
        <w:t>. Upon a termination of the Participant’s Service by reason of death or Disability that occurs at any time prior to the final Settlement Date, then the Award shall be settled in accordance with Section 2 above in respect of the number of then-outstanding RSUs, except that notwithstanding Section 1, such RSUs shall be immediately fully vested and settled within sixty (60) days following such termination of Service, subject to the applicable limitations set forth in Section 2 above.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 “Disability” as defined in any employment agreement between the Participant and the Company or any of its Affiliates, or (ii) if there is no such employment agreement or if it does not define Disability: the Participant is disabled to the extent that he or she is unable to engage in any substantial gainful activity by reason of any medically determinable physical or mental impairment which can be expected to result in death or can be expected to last for a continuous period of not less than twelve (12) months, or is receiving income replacement benefits for a period of not less than three (3) months under an accident and health plan covering employees of Dave &amp; Buster’s Management Corporation, Inc. The determination of the Participant’s Disability shall be made in good faith by a physician reasonably acceptable to the Company.</w:t>
      </w:r>
    </w:p>
    <w:p>
      <w:pPr>
        <w:spacing w:after="0" w:line="187" w:lineRule="exact"/>
        <w:rPr>
          <w:sz w:val="20"/>
          <w:szCs w:val="20"/>
          <w:color w:val="auto"/>
        </w:rPr>
      </w:pPr>
    </w:p>
    <w:p>
      <w:pPr>
        <w:jc w:val="both"/>
        <w:ind w:firstLine="987"/>
        <w:spacing w:after="0" w:line="266" w:lineRule="auto"/>
        <w:tabs>
          <w:tab w:leader="none" w:pos="138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Due to Retirement</w:t>
      </w:r>
      <w:r>
        <w:rPr>
          <w:rFonts w:ascii="Times New Roman" w:cs="Times New Roman" w:eastAsia="Times New Roman" w:hAnsi="Times New Roman"/>
          <w:sz w:val="18"/>
          <w:szCs w:val="18"/>
          <w:color w:val="auto"/>
        </w:rPr>
        <w:t>. Upon a termination of the Participant’s Service by reason of Retirement that occurs at any time prior to the final Settlement Date, then the Award shall continue to vest and be settled in accordance with Section 2 above, subject to the applicable limitations set forth in Section 2 above.</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(i) “Retirement” as defined in any employment agreement between the Participant and the Company or any of its Affiliates, or (ii) if there is no such employment agreement or if it does not define Retirement: termination of the Participant’s Service, other than for Cause, after attaining (A) age sixty (60) and completing ten (10) years of continued Service (i.e., without any termination of Service) with the Company or its Affiliates or (B) age sixty-five (65).</w:t>
      </w:r>
    </w:p>
    <w:p>
      <w:pPr>
        <w:spacing w:after="0" w:line="180" w:lineRule="exact"/>
        <w:rPr>
          <w:sz w:val="20"/>
          <w:szCs w:val="20"/>
          <w:color w:val="auto"/>
        </w:rPr>
      </w:pPr>
    </w:p>
    <w:p>
      <w:pPr>
        <w:ind w:right="40" w:firstLine="987"/>
        <w:spacing w:after="0" w:line="255" w:lineRule="auto"/>
        <w:tabs>
          <w:tab w:leader="none" w:pos="13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for Good Reason related to a Change of Control</w:t>
      </w:r>
      <w:r>
        <w:rPr>
          <w:rFonts w:ascii="Times New Roman" w:cs="Times New Roman" w:eastAsia="Times New Roman" w:hAnsi="Times New Roman"/>
          <w:sz w:val="18"/>
          <w:szCs w:val="18"/>
          <w:color w:val="auto"/>
        </w:rPr>
        <w:t>. Upon (i) a termination of the Participant’s Service by the Company or one of its successors or Affiliates without Cause or due to the Participant’s resignation for Good Reason (excluding termination by reason of death or Disability), in either case prior to the final Settlement Date (a “</w:t>
      </w:r>
      <w:r>
        <w:rPr>
          <w:rFonts w:ascii="Times New Roman" w:cs="Times New Roman" w:eastAsia="Times New Roman" w:hAnsi="Times New Roman"/>
          <w:sz w:val="18"/>
          <w:szCs w:val="18"/>
          <w:b w:val="1"/>
          <w:bCs w:val="1"/>
          <w:color w:val="auto"/>
        </w:rPr>
        <w:t>Specified Termination</w:t>
      </w:r>
      <w:r>
        <w:rPr>
          <w:rFonts w:ascii="Times New Roman" w:cs="Times New Roman" w:eastAsia="Times New Roman" w:hAnsi="Times New Roman"/>
          <w:sz w:val="18"/>
          <w:szCs w:val="18"/>
          <w:color w:val="auto"/>
        </w:rPr>
        <w:t>”) and (ii) the Specified Termination occurs either within ninety (90) days before or within twelve (12) months following the occurrence of a Change of Control of the Company (the “</w:t>
      </w:r>
      <w:r>
        <w:rPr>
          <w:rFonts w:ascii="Times New Roman" w:cs="Times New Roman" w:eastAsia="Times New Roman" w:hAnsi="Times New Roman"/>
          <w:sz w:val="18"/>
          <w:szCs w:val="18"/>
          <w:b w:val="1"/>
          <w:bCs w:val="1"/>
          <w:color w:val="auto"/>
        </w:rPr>
        <w:t>Protected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that occurs at any time prior to the final Settlement Date, then the Award shall be settled in accordance with Section 2 above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of then-outstanding RSUs, except that notwithstanding Section 1, such RSUs shall be immediately fully vested and thereafter settled on the Settlement Date next following such termination of Service, subject to the applicable limitations set forth in Section 2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 of 7</w:t>
      </w:r>
    </w:p>
    <w:p>
      <w:pPr>
        <w:sectPr>
          <w:pgSz w:w="11900" w:h="16838" w:orient="portrait"/>
          <w:cols w:equalWidth="0" w:num="1">
            <w:col w:w="10980"/>
          </w:cols>
          <w:pgMar w:left="440" w:top="270" w:right="479" w:bottom="1440" w:gutter="0" w:footer="0" w:header="0"/>
        </w:sectPr>
      </w:pPr>
    </w:p>
    <w:bookmarkStart w:id="82" w:name="page83"/>
    <w:bookmarkEnd w:id="8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Termination should occur prior to a Change of Control of the Company, the Award shall remain outstanding for up to ninety (90) days following such Specified Termination in order to determine whether such Specified Termination shall have occurred during a Protected Period such that the Award shall be eligible for settlement pursuant to this Section 3(c).</w:t>
      </w:r>
    </w:p>
    <w:p>
      <w:pPr>
        <w:spacing w:after="0" w:line="176" w:lineRule="exact"/>
        <w:rPr>
          <w:sz w:val="20"/>
          <w:szCs w:val="20"/>
          <w:color w:val="auto"/>
        </w:rPr>
      </w:pPr>
    </w:p>
    <w:p>
      <w:pPr>
        <w:ind w:firstLine="987"/>
        <w:spacing w:after="0" w:line="256" w:lineRule="auto"/>
        <w:tabs>
          <w:tab w:leader="none" w:pos="13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Upon a termination of the Participant’s Service by the Company or one of its successors or Affiliates without Cause, that occurs at any time prior to the final Settlement Date, then the Award shall be settled in accordance with Section 2 above in respect of the number of then-outstanding RSUs that would have vested on the applicable date of vesting coincident with or next following such termination of Service, multiplied by a fraction, the numerator of which is the number of days elapsed after the immediately preceding date of vesting through and including the date of termination of Service, and the denominator of which is 1,825, except that notwithstanding Section 1, such RSUs shall be fully vested and settled on the Settlement Date next following such termination of Service, subject to the applicable limitations set forth in Section 2 above.</w:t>
      </w:r>
    </w:p>
    <w:p>
      <w:pPr>
        <w:spacing w:after="0" w:line="183" w:lineRule="exact"/>
        <w:rPr>
          <w:rFonts w:ascii="Times New Roman" w:cs="Times New Roman" w:eastAsia="Times New Roman" w:hAnsi="Times New Roman"/>
          <w:sz w:val="18"/>
          <w:szCs w:val="18"/>
          <w:color w:val="auto"/>
        </w:rPr>
      </w:pPr>
    </w:p>
    <w:p>
      <w:pPr>
        <w:ind w:right="320" w:firstLine="987"/>
        <w:spacing w:after="0" w:line="257" w:lineRule="auto"/>
        <w:tabs>
          <w:tab w:leader="none" w:pos="1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(x) “Cause” as defined in any employment agreement between the Participant and the Company or any of its Affiliates, or (y) if there is no such employment agreement or if it does not define Cause: the willful and continued failure by the Participant to perform the duties assigned by the Company, failure to follow reasonable business-related directions from the Company, gross insubordination, theft from the Company or its Affiliates, habitual absenteeism or tardiness, conviction or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to a felony, misdemeanor involving fraud, theft or moral turpitude, or any other reckless or willful misconduct that is contrary to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the Company or materially and adversely affects the reputation of the Company.</w:t>
      </w:r>
    </w:p>
    <w:p>
      <w:pPr>
        <w:spacing w:after="0" w:line="182" w:lineRule="exact"/>
        <w:rPr>
          <w:rFonts w:ascii="Times New Roman" w:cs="Times New Roman" w:eastAsia="Times New Roman" w:hAnsi="Times New Roman"/>
          <w:sz w:val="18"/>
          <w:szCs w:val="18"/>
          <w:color w:val="auto"/>
        </w:rPr>
      </w:pPr>
    </w:p>
    <w:p>
      <w:pPr>
        <w:ind w:right="40" w:firstLine="987"/>
        <w:spacing w:after="0" w:line="257" w:lineRule="auto"/>
        <w:tabs>
          <w:tab w:leader="none" w:pos="13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Award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“Good Reason” as defined in any employment agreement between the Participant and the Company or any of its Affiliates, or (ii) if there is no such employment agreement or if it does not define Good Reason: Without the Participant’s consent, (A) a material reduction in the Participant’s annual base salary or (B) a relocation of the Participant’s primary place of employment with the Company by more than fifty (50) miles from that in effect as of the Date of Grant; provided, however, that neither item (A) nor item (B) shall constitute Good Reason unless the Participant has provided written notice to the Company within thirty (30) days of the occurrence of such event and the Company shall have failed to cure such event within thirty (30) days of receipt of such written notice.</w:t>
      </w:r>
    </w:p>
    <w:p>
      <w:pPr>
        <w:spacing w:after="0" w:line="186"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3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 of Service</w:t>
      </w:r>
      <w:r>
        <w:rPr>
          <w:rFonts w:ascii="Times New Roman" w:cs="Times New Roman" w:eastAsia="Times New Roman" w:hAnsi="Times New Roman"/>
          <w:sz w:val="18"/>
          <w:szCs w:val="18"/>
          <w:color w:val="auto"/>
        </w:rPr>
        <w:t>. Upon a termination of the Participant’s Service prior to the final Settlement Date for any reason other than pursuant to Sections 3(a), 3(b), 3(c) and 3(d) above, the Award, including any then-outstanding RSUs, shall immediately terminate and be forfeited without consideration.</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3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Upon a termination of the Participant’s Service prior to the final Settlement Date for termination without Cause pursuant to Section 3(d), settlement of any Award shall be conditioned first upon the Participant’s execution of a fully effective and non-revocable general release (“Release”) in favor of the Company, its Board of Directors, Affiliates, and employees, in such form as reasonably approved by the Company and the Participant within sixty (60) days of the Participant’s termination of Service, which Release shall be provided to the Participant within five (5) days of the Participant’s termination of Service.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7</w:t>
      </w:r>
    </w:p>
    <w:p>
      <w:pPr>
        <w:sectPr>
          <w:pgSz w:w="11900" w:h="16838" w:orient="portrait"/>
          <w:cols w:equalWidth="0" w:num="1">
            <w:col w:w="11000"/>
          </w:cols>
          <w:pgMar w:left="440" w:top="270" w:right="459" w:bottom="1440" w:gutter="0" w:footer="0" w:header="0"/>
        </w:sectPr>
      </w:pPr>
    </w:p>
    <w:bookmarkStart w:id="83" w:name="page84"/>
    <w:bookmarkEnd w:id="83"/>
    <w:p>
      <w:pPr>
        <w:ind w:left="4" w:right="180" w:firstLine="436"/>
        <w:spacing w:after="0" w:line="266" w:lineRule="auto"/>
        <w:tabs>
          <w:tab w:leader="none" w:pos="7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Right to Continued Service</w:t>
      </w:r>
      <w:r>
        <w:rPr>
          <w:rFonts w:ascii="Times New Roman" w:cs="Times New Roman" w:eastAsia="Times New Roman" w:hAnsi="Times New Roman"/>
          <w:sz w:val="18"/>
          <w:szCs w:val="18"/>
          <w:color w:val="auto"/>
        </w:rPr>
        <w:t>. The granting of the Award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75"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7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Neither the Participant nor the Participant’s representative shall have any rights as a shareholder of the Company with respect to the RSUs until such Person receives the Shares, if any, issued upon settlement.</w:t>
      </w:r>
    </w:p>
    <w:p>
      <w:pPr>
        <w:spacing w:after="0" w:line="161"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7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and Non-Hire</w:t>
      </w:r>
      <w:r>
        <w:rPr>
          <w:rFonts w:ascii="Times New Roman" w:cs="Times New Roman" w:eastAsia="Times New Roman" w:hAnsi="Times New Roman"/>
          <w:sz w:val="18"/>
          <w:szCs w:val="18"/>
          <w:color w:val="auto"/>
        </w:rPr>
        <w:t>. If the Participant has an employment agreement with the Company or any of its Subsidiaries that contains non-solicitation and/or non-hire covenants, the covenants are incorporated into this Award Agreement by reference. To the extent the Participant does not have an employment agreement containing such covenants, the following restrictive covenants shall apply:</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As a material incentive for the Company to enter into this Award Agreement, during the term of the Participant’s employment with the Company or any of its Subsidiaries and for a period of twelve (12) months from the termination of the Participant’s employment for any reason (including, without limitation, resignation by the Participant) (the “Non-Solicitation and Non-Hire Period”) the Participant shall not, directly or indirectly, on the Participant’s own behalf or on behalf of any other person, partnership, entity, association, or corporation, induce or attempt to influence, induce, or encourage anyone who is or, within the six (6) months prior to the date of termination was, an employee of the Company or any of its Subsidiaries at or above the managerial level (including, without limitation, General Managers, Assistant General Managers, store departmental managers, and all higher-ranking managers) (for purposes of this Section 6, an “Employee”), client, supplier, vendor, licensee, distributor, contractor or other business relation of the Company or any of its Subsidiaries to cease doing business with, adversely alter or interfere with its business relationship with, the Company or any of its Subsidiaries. Further, during the Non-Solicitation and Non-Hire Period, the Participant shall not, on the Participant’s own behalf or on behalf of any other person, partnership, entity, association, or corporation, (i) solicit or seek to hire any Employee, or in any other manner attempt directly or indirectly to influence, induce, or encourage any Employee to leave their employ (provided, however, that nothing herein shall restrict the Participant from engaging in any general solicitation that is not specifically targeted at such persons), nor shall the Participant use or disclose to any person, partnership, entity, association, or corporation any information concerning the names, addresses or personal telephone numbers of any Employee,</w:t>
      </w:r>
    </w:p>
    <w:p>
      <w:pPr>
        <w:spacing w:after="0" w:line="1" w:lineRule="exact"/>
        <w:rPr>
          <w:sz w:val="20"/>
          <w:szCs w:val="20"/>
          <w:color w:val="auto"/>
        </w:rPr>
      </w:pPr>
    </w:p>
    <w:p>
      <w:pPr>
        <w:ind w:left="4" w:right="60" w:hanging="4"/>
        <w:spacing w:after="0" w:line="253" w:lineRule="auto"/>
        <w:tabs>
          <w:tab w:leader="none" w:pos="2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Company’s prior written consent, hire, employ or engage as a consultant any Employee, or (iii) directly or indirectly solicit, induce, or attempt to influence, induce, or encourage any person, partnership, entity, association, or corporation that is a client or customer of the Company or its Subsidiaries and who or which the Participant helped to schedule or conduct a special event or corporate teambuilding while employed by the Company or its Subsidiaries to schedule or conduct a special event or corporate teambuilding through another person, partnership, entity, association, or corporation.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4 of 7</w:t>
      </w:r>
    </w:p>
    <w:p>
      <w:pPr>
        <w:sectPr>
          <w:pgSz w:w="11900" w:h="16838" w:orient="portrait"/>
          <w:cols w:equalWidth="0" w:num="1">
            <w:col w:w="11004"/>
          </w:cols>
          <w:pgMar w:left="436" w:top="270" w:right="459" w:bottom="1440" w:gutter="0" w:footer="0" w:header="0"/>
        </w:sectPr>
      </w:pPr>
    </w:p>
    <w:bookmarkStart w:id="84" w:name="page85"/>
    <w:bookmarkEnd w:id="84"/>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6 shall survive termination or settlement of the Award and termination or satisfaction of the Award Agreement.</w:t>
      </w:r>
    </w:p>
    <w:p>
      <w:pPr>
        <w:spacing w:after="0" w:line="225" w:lineRule="exact"/>
        <w:rPr>
          <w:sz w:val="20"/>
          <w:szCs w:val="20"/>
          <w:color w:val="auto"/>
        </w:rPr>
      </w:pPr>
    </w:p>
    <w:p>
      <w:pPr>
        <w:ind w:left="-60" w:firstLine="436"/>
        <w:spacing w:after="0" w:line="254"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Laws/Legend on Certificates</w:t>
      </w:r>
      <w:r>
        <w:rPr>
          <w:rFonts w:ascii="Times New Roman" w:cs="Times New Roman" w:eastAsia="Times New Roman" w:hAnsi="Times New Roman"/>
          <w:sz w:val="18"/>
          <w:szCs w:val="18"/>
          <w:color w:val="auto"/>
        </w:rPr>
        <w:t>. The issuance and delivery of Shares shall comply with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If the Company deems it necessary to ensure that the issuance of securities under the Plan is not required to be registered under any applicable securities laws, the Participant shall deliver to the Company an agreement or certificate containing such representations, warranties and covenants as the Company which satisfies such requirements. The certificates representing the Shares shall be subject to such stop transfer orders and other restrictions as the Committee may deem reasonably advisable, and the Committee may cause a legend or legends to be put on any such certificates to make appropriate reference to such restrictions.</w:t>
      </w:r>
    </w:p>
    <w:p>
      <w:pPr>
        <w:spacing w:after="0" w:line="191" w:lineRule="exact"/>
        <w:rPr>
          <w:rFonts w:ascii="Times New Roman" w:cs="Times New Roman" w:eastAsia="Times New Roman" w:hAnsi="Times New Roman"/>
          <w:sz w:val="18"/>
          <w:szCs w:val="18"/>
          <w:color w:val="auto"/>
        </w:rPr>
      </w:pPr>
    </w:p>
    <w:p>
      <w:pPr>
        <w:ind w:left="-60" w:right="20" w:firstLine="436"/>
        <w:spacing w:after="0" w:line="255"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Unless otherwise provided by the Committee, the Award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 No such permitted transfer of the Award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ind w:left="-60" w:right="320" w:firstLine="436"/>
        <w:spacing w:after="0" w:line="266"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may be required to pay to the Company or any Affiliate and the Company shall have the right and is hereby authorized to withhold any applicable withholding taxes in respect of the Award, its exercise or transfer and to take such other action as may be necessary in the opinion of the Committee to satisfy all obligations for the payment of such withholding taxes.</w:t>
      </w:r>
    </w:p>
    <w:p>
      <w:pPr>
        <w:spacing w:after="0" w:line="175" w:lineRule="exact"/>
        <w:rPr>
          <w:rFonts w:ascii="Times New Roman" w:cs="Times New Roman" w:eastAsia="Times New Roman" w:hAnsi="Times New Roman"/>
          <w:sz w:val="18"/>
          <w:szCs w:val="18"/>
          <w:color w:val="auto"/>
        </w:rPr>
      </w:pPr>
    </w:p>
    <w:p>
      <w:pPr>
        <w:ind w:left="-60" w:right="20" w:firstLine="436"/>
        <w:spacing w:after="0" w:line="261" w:lineRule="auto"/>
        <w:tabs>
          <w:tab w:leader="none" w:pos="7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jc w:val="both"/>
        <w:ind w:left="-60" w:right="240" w:firstLine="436"/>
        <w:spacing w:after="0" w:line="266" w:lineRule="auto"/>
        <w:tabs>
          <w:tab w:leader="none" w:pos="7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and the Plan constitute the entire contract between the parties hereto with regard to the subject matter hereof and supersede any other agreements, representations or understandings (whether oral or written and whether express or implied) which relate to the subject matter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w:t>
      </w:r>
    </w:p>
    <w:p>
      <w:pPr>
        <w:sectPr>
          <w:pgSz w:w="11900" w:h="16838" w:orient="portrait"/>
          <w:cols w:equalWidth="0" w:num="1">
            <w:col w:w="10900"/>
          </w:cols>
          <w:pgMar w:left="500" w:top="270" w:right="499" w:bottom="1440" w:gutter="0" w:footer="0" w:header="0"/>
        </w:sectPr>
      </w:pPr>
    </w:p>
    <w:bookmarkStart w:id="85" w:name="page86"/>
    <w:bookmarkEnd w:id="85"/>
    <w:p>
      <w:pPr>
        <w:ind w:firstLine="436"/>
        <w:spacing w:after="0" w:line="282" w:lineRule="auto"/>
        <w:tabs>
          <w:tab w:leader="none" w:pos="8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w:t>
      </w:r>
      <w:r>
        <w:rPr>
          <w:rFonts w:ascii="Times New Roman" w:cs="Times New Roman" w:eastAsia="Times New Roman" w:hAnsi="Times New Roman"/>
          <w:sz w:val="18"/>
          <w:szCs w:val="18"/>
          <w:color w:val="auto"/>
        </w:rPr>
        <w:t>. No waiver of any breach or condition of this Award Agreement shall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8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36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Agreement and all claims, causes of action or proceedings (whether in contract, in tort, at law or otherwise) that may be based upon, arise out of or relate to this Award Agreement shall be governed by the internal laws of the State of Delaware, excluding any conflicts or choice-of-law rule or principle that might otherwise refer construction or interpretation of the Award Agreement to the substantive law of another jurisdiction. Each party to this Award Agreement agrees that it shall bring all claims, causes of action and proceedings (whether in contract, in tort, at law or otherwise) that may be based upon, arise out of or be related to the Award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b w:val="1"/>
          <w:b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this Award Agreement.</w:t>
      </w:r>
    </w:p>
    <w:p>
      <w:pPr>
        <w:spacing w:after="0" w:line="194" w:lineRule="exact"/>
        <w:rPr>
          <w:rFonts w:ascii="Times New Roman" w:cs="Times New Roman" w:eastAsia="Times New Roman" w:hAnsi="Times New Roman"/>
          <w:sz w:val="18"/>
          <w:szCs w:val="18"/>
          <w:color w:val="auto"/>
        </w:rPr>
      </w:pPr>
    </w:p>
    <w:p>
      <w:pPr>
        <w:ind w:right="300" w:firstLine="987"/>
        <w:spacing w:after="0" w:line="266" w:lineRule="auto"/>
        <w:tabs>
          <w:tab w:leader="none" w:pos="138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WAIVES ALL RIGHT TO A TRIAL BY JURY IN ANY CLAIM OR CAUSE OF ACTION (WHETHER IN CONTRACT, IN TORT, AT LAW OR OTHERWISE) INSTITUTED BY OR AGAINST SUCH PARTY IN RESPECT OF ITS, HIS OR HER OBLIGATIONS HEREUNDER.</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8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Subject to Plan</w:t>
      </w:r>
      <w:r>
        <w:rPr>
          <w:rFonts w:ascii="Times New Roman" w:cs="Times New Roman" w:eastAsia="Times New Roman" w:hAnsi="Times New Roman"/>
          <w:sz w:val="18"/>
          <w:szCs w:val="18"/>
          <w:color w:val="auto"/>
        </w:rPr>
        <w:t>. By entering into this Award Agreement, the Participant agrees and acknowledges that the Participant has received and read a copy of the Plan. The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Capitalized terms not otherwise defined herein shall have the same meanings as in the Plan.</w:t>
      </w:r>
    </w:p>
    <w:p>
      <w:pPr>
        <w:spacing w:after="0" w:line="183" w:lineRule="exact"/>
        <w:rPr>
          <w:rFonts w:ascii="Times New Roman" w:cs="Times New Roman" w:eastAsia="Times New Roman" w:hAnsi="Times New Roman"/>
          <w:sz w:val="18"/>
          <w:szCs w:val="18"/>
          <w:color w:val="auto"/>
        </w:rPr>
      </w:pPr>
    </w:p>
    <w:p>
      <w:pPr>
        <w:ind w:right="180" w:firstLine="436"/>
        <w:spacing w:after="0" w:line="282" w:lineRule="auto"/>
        <w:tabs>
          <w:tab w:leader="none" w:pos="8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Guarantees Regarding Tax Treatment</w:t>
      </w:r>
      <w:r>
        <w:rPr>
          <w:rFonts w:ascii="Times New Roman" w:cs="Times New Roman" w:eastAsia="Times New Roman" w:hAnsi="Times New Roman"/>
          <w:sz w:val="18"/>
          <w:szCs w:val="18"/>
          <w:color w:val="auto"/>
        </w:rPr>
        <w:t>. The Participant shall be responsible for all taxes with respect to the Award. The Committee and the Company make no guarantees regarding the tax treatment of the Award.</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Committee may amend or alter this Award Agreement and the Award granted hereunder at any time, subject to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6 of 7</w:t>
      </w:r>
    </w:p>
    <w:p>
      <w:pPr>
        <w:sectPr>
          <w:pgSz w:w="11900" w:h="16838" w:orient="portrait"/>
          <w:cols w:equalWidth="0" w:num="1">
            <w:col w:w="10940"/>
          </w:cols>
          <w:pgMar w:left="440" w:top="270" w:right="519" w:bottom="1440" w:gutter="0" w:footer="0" w:header="0"/>
        </w:sectPr>
      </w:pPr>
    </w:p>
    <w:bookmarkStart w:id="86" w:name="page87"/>
    <w:bookmarkEnd w:id="86"/>
    <w:p>
      <w:pPr>
        <w:ind w:firstLine="436"/>
        <w:spacing w:after="0" w:line="282" w:lineRule="auto"/>
        <w:tabs>
          <w:tab w:leader="none" w:pos="8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in Counterparts</w:t>
      </w:r>
      <w:r>
        <w:rPr>
          <w:rFonts w:ascii="Times New Roman" w:cs="Times New Roman" w:eastAsia="Times New Roman" w:hAnsi="Times New Roman"/>
          <w:sz w:val="18"/>
          <w:szCs w:val="18"/>
          <w:color w:val="auto"/>
        </w:rPr>
        <w:t>. This Award Agreement may be signed in counterparts, manually or electronically, and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right="20" w:firstLine="436"/>
        <w:spacing w:after="0" w:line="255" w:lineRule="auto"/>
        <w:tabs>
          <w:tab w:leader="none" w:pos="8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Award Agreement may be accepted by return signature or by electronic confirmation. Each party agrees that the electronic signatures, whether digital or encrypted, of the parties included in this Award 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w:t>
      </w:r>
    </w:p>
    <w:p>
      <w:pPr>
        <w:spacing w:after="0" w:line="188" w:lineRule="exact"/>
        <w:rPr>
          <w:rFonts w:ascii="Times New Roman" w:cs="Times New Roman" w:eastAsia="Times New Roman" w:hAnsi="Times New Roman"/>
          <w:sz w:val="18"/>
          <w:szCs w:val="18"/>
          <w:color w:val="auto"/>
        </w:rPr>
      </w:pPr>
    </w:p>
    <w:p>
      <w:pPr>
        <w:ind w:right="400" w:firstLine="436"/>
        <w:spacing w:after="0" w:line="282" w:lineRule="auto"/>
        <w:tabs>
          <w:tab w:leader="none" w:pos="8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Restricted Stock Unit Agreement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first set forth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Robert W. Edmund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Secretary &amp; SVP of HR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D&amp;B Team Member – Christopher Morris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2022 Restricted Stock Unit Award Agreement – Time Based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7 of 7</w:t>
      </w:r>
    </w:p>
    <w:p>
      <w:pPr>
        <w:sectPr>
          <w:pgSz w:w="11900" w:h="16838" w:orient="portrait"/>
          <w:cols w:equalWidth="0" w:num="1">
            <w:col w:w="10800"/>
          </w:cols>
          <w:pgMar w:left="440" w:top="270" w:right="6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Christopher Morris,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September 7, 2022</w:t>
      </w:r>
      <w:r>
        <w:rPr>
          <w:sz w:val="20"/>
          <w:szCs w:val="20"/>
          <w:color w:val="auto"/>
        </w:rPr>
        <w:tab/>
      </w:r>
      <w:r>
        <w:rPr>
          <w:rFonts w:ascii="Times New Roman" w:cs="Times New Roman" w:eastAsia="Times New Roman" w:hAnsi="Times New Roman"/>
          <w:sz w:val="17"/>
          <w:szCs w:val="17"/>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4"/>
          </w:cols>
          <w:pgMar w:left="436" w:top="117" w:right="4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A. Quartieri,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September 7, 2022</w:t>
      </w:r>
      <w:r>
        <w:rPr>
          <w:sz w:val="20"/>
          <w:szCs w:val="20"/>
          <w:color w:val="auto"/>
        </w:rPr>
        <w:tab/>
      </w:r>
      <w:r>
        <w:rPr>
          <w:rFonts w:ascii="Times New Roman" w:cs="Times New Roman" w:eastAsia="Times New Roman" w:hAnsi="Times New Roman"/>
          <w:sz w:val="17"/>
          <w:szCs w:val="17"/>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4"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4"/>
          </w:cols>
          <w:pgMar w:left="436" w:top="117"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July 31, 2022 as filed with the Securities and Exchange Commission on the date hereof (the “Report”), I, Christopher Morris,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September 7, 2022</w:t>
      </w:r>
      <w:r>
        <w:rPr>
          <w:sz w:val="20"/>
          <w:szCs w:val="20"/>
          <w:color w:val="auto"/>
        </w:rPr>
        <w:tab/>
      </w:r>
      <w:r>
        <w:rPr>
          <w:rFonts w:ascii="Times New Roman" w:cs="Times New Roman" w:eastAsia="Times New Roman" w:hAnsi="Times New Roman"/>
          <w:sz w:val="17"/>
          <w:szCs w:val="17"/>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July 31, 2022 as filed with the Securities and Exchange Commission on the date hereof (the “Report”), I, Michael A. Quartieri, Chief Financial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7,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1"/>
    </w:lvl>
    <w:lvl w:ilvl="1">
      <w:lvlJc w:val="left"/>
      <w:lvlText w:val="(%2)"/>
      <w:numFmt w:val="lowerLetter"/>
      <w:start w:val="1"/>
    </w:lvl>
  </w:abstractNum>
  <w:abstractNum w:abstractNumId="14">
    <w:nsid w:val="15B5AF5C"/>
    <w:multiLevelType w:val="hybridMultilevel"/>
    <w:lvl w:ilvl="0">
      <w:lvlJc w:val="left"/>
      <w:lvlText w:val="%1"/>
      <w:numFmt w:val="decimal"/>
      <w:start w:val="1"/>
    </w:lvl>
    <w:lvl w:ilvl="1">
      <w:lvlJc w:val="left"/>
      <w:lvlText w:val="(%2)"/>
      <w:numFmt w:val="lowerLetter"/>
      <w:start w:val="2"/>
    </w:lvl>
  </w:abstractNum>
  <w:abstractNum w:abstractNumId="15">
    <w:nsid w:val="741226BB"/>
    <w:multiLevelType w:val="hybridMultilevel"/>
    <w:lvl w:ilvl="0">
      <w:lvlJc w:val="left"/>
      <w:lvlText w:val="(%1)"/>
      <w:numFmt w:val="decimal"/>
      <w:start w:val="3"/>
    </w:lvl>
    <w:lvl w:ilvl="1">
      <w:lvlJc w:val="left"/>
      <w:lvlText w:val="(%2)"/>
      <w:numFmt w:val="lowerLetter"/>
      <w:start w:val="3"/>
    </w:lvl>
  </w:abstractNum>
  <w:abstractNum w:abstractNumId="16">
    <w:nsid w:val="D34B6A8"/>
    <w:multiLevelType w:val="hybridMultilevel"/>
    <w:lvl w:ilvl="0">
      <w:lvlJc w:val="left"/>
      <w:lvlText w:val="(%1)"/>
      <w:numFmt w:val="decimal"/>
      <w:start w:val="30"/>
    </w:lvl>
    <w:lvl w:ilvl="1">
      <w:lvlJc w:val="left"/>
      <w:lvlText w:val="%2."/>
      <w:numFmt w:val="decimal"/>
      <w:start w:val="5"/>
    </w:lvl>
    <w:lvl w:ilvl="2">
      <w:lvlJc w:val="left"/>
      <w:lvlText w:val="(%3)"/>
      <w:numFmt w:val="lowerLetter"/>
      <w:start w:val="5"/>
    </w:lvl>
  </w:abstractNum>
  <w:abstractNum w:abstractNumId="17">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8">
    <w:nsid w:val="3F6AB60F"/>
    <w:multiLevelType w:val="hybridMultilevel"/>
    <w:lvl w:ilvl="0">
      <w:lvlJc w:val="left"/>
      <w:lvlText w:val="%1"/>
      <w:numFmt w:val="decimal"/>
      <w:start w:val="1"/>
    </w:lvl>
    <w:lvl w:ilvl="1">
      <w:lvlJc w:val="left"/>
      <w:lvlText w:val="(%2)"/>
      <w:numFmt w:val="lowerLetter"/>
      <w:start w:val="2"/>
    </w:lvl>
  </w:abstractNum>
  <w:abstractNum w:abstractNumId="19">
    <w:nsid w:val="61574095"/>
    <w:multiLevelType w:val="hybridMultilevel"/>
    <w:lvl w:ilvl="0">
      <w:lvlJc w:val="left"/>
      <w:lvlText w:val="%1."/>
      <w:numFmt w:val="decimal"/>
      <w:start w:val="7"/>
    </w:lvl>
    <w:lvl w:ilvl="1">
      <w:lvlJc w:val="left"/>
      <w:lvlText w:val="%2"/>
      <w:numFmt w:val="lowerLetter"/>
      <w:start w:val="1"/>
    </w:lvl>
  </w:abstractNum>
  <w:abstractNum w:abstractNumId="20">
    <w:nsid w:val="7E0C57B1"/>
    <w:multiLevelType w:val="hybridMultilevel"/>
    <w:lvl w:ilvl="0">
      <w:lvlJc w:val="left"/>
      <w:lvlText w:val="%1."/>
      <w:numFmt w:val="decimal"/>
      <w:start w:val="8"/>
    </w:lvl>
  </w:abstractNum>
  <w:abstractNum w:abstractNumId="21">
    <w:nsid w:val="77AE35EB"/>
    <w:multiLevelType w:val="hybridMultilevel"/>
    <w:lvl w:ilvl="0">
      <w:lvlJc w:val="left"/>
      <w:lvlText w:val="%1."/>
      <w:numFmt w:val="decimal"/>
      <w:start w:val="11"/>
    </w:lvl>
    <w:lvl w:ilvl="1">
      <w:lvlJc w:val="left"/>
      <w:lvlText w:val="(%2)"/>
      <w:numFmt w:val="lowerLetter"/>
      <w:start w:val="1"/>
    </w:lvl>
  </w:abstractNum>
  <w:abstractNum w:abstractNumId="22">
    <w:nsid w:val="579BE4F1"/>
    <w:multiLevelType w:val="hybridMultilevel"/>
    <w:lvl w:ilvl="0">
      <w:lvlJc w:val="left"/>
      <w:lvlText w:val="%1"/>
      <w:numFmt w:val="decimal"/>
      <w:start w:val="1"/>
    </w:lvl>
    <w:lvl w:ilvl="1">
      <w:lvlJc w:val="left"/>
      <w:lvlText w:val="(%2)"/>
      <w:numFmt w:val="lowerLetter"/>
      <w:start w:val="2"/>
    </w:lvl>
  </w:abstractNum>
  <w:abstractNum w:abstractNumId="23">
    <w:nsid w:val="310C50B3"/>
    <w:multiLevelType w:val="hybridMultilevel"/>
    <w:lvl w:ilvl="0">
      <w:lvlJc w:val="left"/>
      <w:lvlText w:val="%1."/>
      <w:numFmt w:val="decimal"/>
      <w:start w:val="17"/>
    </w:lvl>
    <w:lvl w:ilvl="1">
      <w:lvlJc w:val="left"/>
      <w:lvlText w:val="%2"/>
      <w:numFmt w:val="lowerLetter"/>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lowerRoman"/>
      <w:start w:val="1"/>
    </w:lvl>
    <w:lvl w:ilvl="1">
      <w:lvlJc w:val="left"/>
      <w:lvlText w:val="%2."/>
      <w:numFmt w:val="decimal"/>
      <w:start w:val="2"/>
    </w:lvl>
  </w:abstractNum>
  <w:abstractNum w:abstractNumId="26">
    <w:nsid w:val="25A70BF7"/>
    <w:multiLevelType w:val="hybridMultilevel"/>
    <w:lvl w:ilvl="0">
      <w:lvlJc w:val="left"/>
      <w:lvlText w:val="(%1)"/>
      <w:numFmt w:val="lowerRoman"/>
      <w:start w:val="2"/>
    </w:lvl>
    <w:lvl w:ilvl="1">
      <w:lvlJc w:val="left"/>
      <w:lvlText w:val="%2"/>
      <w:numFmt w:val="decimal"/>
      <w:start w:val="1"/>
    </w:lvl>
  </w:abstractNum>
  <w:abstractNum w:abstractNumId="27">
    <w:nsid w:val="1DBABF00"/>
    <w:multiLevelType w:val="hybridMultilevel"/>
    <w:lvl w:ilvl="0">
      <w:lvlJc w:val="left"/>
      <w:lvlText w:val="(%1)"/>
      <w:numFmt w:val="lowerRoman"/>
      <w:start w:val="2"/>
    </w:lvl>
    <w:lvl w:ilvl="1">
      <w:lvlJc w:val="left"/>
      <w:lvlText w:val="%2."/>
      <w:numFmt w:val="decimal"/>
      <w:start w:val="3"/>
    </w:lvl>
  </w:abstractNum>
  <w:abstractNum w:abstractNumId="28">
    <w:nsid w:val="4AD084E9"/>
    <w:multiLevelType w:val="hybridMultilevel"/>
    <w:lvl w:ilvl="0">
      <w:lvlJc w:val="left"/>
      <w:lvlText w:val="%1."/>
      <w:numFmt w:val="decimal"/>
      <w:start w:val="1"/>
    </w:lvl>
    <w:lvl w:ilvl="1">
      <w:lvlJc w:val="left"/>
      <w:lvlText w:val="(%2)"/>
      <w:numFmt w:val="lowerLetter"/>
      <w:start w:val="1"/>
    </w:lvl>
  </w:abstractNum>
  <w:abstractNum w:abstractNumId="29">
    <w:nsid w:val="1F48EAA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0">
    <w:nsid w:val="1381823A"/>
    <w:multiLevelType w:val="hybridMultilevel"/>
    <w:lvl w:ilvl="0">
      <w:lvlJc w:val="left"/>
      <w:lvlText w:val="(%1)"/>
      <w:numFmt w:val="decimal"/>
      <w:start w:val="3"/>
    </w:lvl>
    <w:lvl w:ilvl="1">
      <w:lvlJc w:val="left"/>
      <w:lvlText w:val="%2"/>
      <w:numFmt w:val="decimal"/>
      <w:start w:val="1"/>
    </w:lvl>
    <w:lvl w:ilvl="2">
      <w:lvlJc w:val="left"/>
      <w:lvlText w:val="(%3)"/>
      <w:numFmt w:val="lowerLetter"/>
      <w:start w:val="3"/>
    </w:lvl>
  </w:abstractNum>
  <w:abstractNum w:abstractNumId="31">
    <w:nsid w:val="5DB70AE5"/>
    <w:multiLevelType w:val="hybridMultilevel"/>
    <w:lvl w:ilvl="0">
      <w:lvlJc w:val="left"/>
      <w:lvlText w:val="(%1)"/>
      <w:numFmt w:val="lowerLetter"/>
      <w:start w:val="4"/>
    </w:lvl>
  </w:abstractNum>
  <w:abstractNum w:abstractNumId="32">
    <w:nsid w:val="100F8FCA"/>
    <w:multiLevelType w:val="hybridMultilevel"/>
    <w:lvl w:ilvl="0">
      <w:lvlJc w:val="left"/>
      <w:lvlText w:val="%1."/>
      <w:numFmt w:val="decimal"/>
      <w:start w:val="6"/>
    </w:lvl>
    <w:lvl w:ilvl="1">
      <w:lvlJc w:val="left"/>
      <w:lvlText w:val="(%2)"/>
      <w:numFmt w:val="lowerLetter"/>
      <w:start w:val="1"/>
    </w:lvl>
  </w:abstractNum>
  <w:abstractNum w:abstractNumId="33">
    <w:nsid w:val="6590700B"/>
    <w:multiLevelType w:val="hybridMultilevel"/>
    <w:lvl w:ilvl="0">
      <w:lvlJc w:val="left"/>
      <w:lvlText w:val="%1."/>
      <w:numFmt w:val="decimal"/>
      <w:start w:val="8"/>
    </w:lvl>
  </w:abstractNum>
  <w:abstractNum w:abstractNumId="34">
    <w:nsid w:val="15014ACB"/>
    <w:multiLevelType w:val="hybridMultilevel"/>
    <w:lvl w:ilvl="0">
      <w:lvlJc w:val="left"/>
      <w:lvlText w:val="%1."/>
      <w:numFmt w:val="decimal"/>
      <w:start w:val="11"/>
    </w:lvl>
    <w:lvl w:ilvl="1">
      <w:lvlJc w:val="left"/>
      <w:lvlText w:val="(%2)"/>
      <w:numFmt w:val="lowerLetter"/>
      <w:start w:val="1"/>
    </w:lvl>
  </w:abstractNum>
  <w:abstractNum w:abstractNumId="35">
    <w:nsid w:val="5F5E7FD0"/>
    <w:multiLevelType w:val="hybridMultilevel"/>
    <w:lvl w:ilvl="0">
      <w:lvlJc w:val="left"/>
      <w:lvlText w:val="(%1)"/>
      <w:numFmt w:val="lowerLetter"/>
      <w:start w:val="35"/>
    </w:lvl>
    <w:lvl w:ilvl="1">
      <w:lvlJc w:val="left"/>
      <w:lvlText w:val="%2."/>
      <w:numFmt w:val="decimal"/>
      <w:start w:val="16"/>
    </w:lvl>
    <w:lvl w:ilvl="2">
      <w:lvlJc w:val="left"/>
      <w:lvlText w:val="(%3)"/>
      <w:numFmt w:val="lowerLetter"/>
      <w:start w:val="2"/>
    </w:lvl>
  </w:abstractNum>
  <w:abstractNum w:abstractNumId="36">
    <w:nsid w:val="98A3148"/>
    <w:multiLevelType w:val="hybridMultilevel"/>
    <w:lvl w:ilvl="0">
      <w:lvlJc w:val="left"/>
      <w:lvlText w:val="%1."/>
      <w:numFmt w:val="decimal"/>
      <w:start w:val="22"/>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lowerRoman"/>
      <w:start w:val="1"/>
    </w:lvl>
    <w:lvl w:ilvl="1">
      <w:lvlJc w:val="left"/>
      <w:lvlText w:val="%2."/>
      <w:numFmt w:val="decimal"/>
      <w:start w:val="2"/>
    </w:lvl>
  </w:abstractNum>
  <w:abstractNum w:abstractNumId="39">
    <w:nsid w:val="42C296BD"/>
    <w:multiLevelType w:val="hybridMultilevel"/>
    <w:lvl w:ilvl="0">
      <w:lvlJc w:val="left"/>
      <w:lvlText w:val="(%1)"/>
      <w:numFmt w:val="lowerRoman"/>
      <w:start w:val="2"/>
    </w:lvl>
    <w:lvl w:ilvl="1">
      <w:lvlJc w:val="left"/>
      <w:lvlText w:val="%2"/>
      <w:numFmt w:val="decimal"/>
      <w:start w:val="1"/>
    </w:lvl>
  </w:abstractNum>
  <w:abstractNum w:abstractNumId="40">
    <w:nsid w:val="168E121F"/>
    <w:multiLevelType w:val="hybridMultilevel"/>
    <w:lvl w:ilvl="0">
      <w:lvlJc w:val="left"/>
      <w:lvlText w:val="(%1)"/>
      <w:numFmt w:val="lowerRoman"/>
      <w:start w:val="2"/>
    </w:lvl>
    <w:lvl w:ilvl="1">
      <w:lvlJc w:val="left"/>
      <w:lvlText w:val="%2."/>
      <w:numFmt w:val="decimal"/>
      <w:start w:val="3"/>
    </w:lvl>
  </w:abstractNum>
  <w:abstractNum w:abstractNumId="41">
    <w:nsid w:val="1EBA5D23"/>
    <w:multiLevelType w:val="hybridMultilevel"/>
    <w:lvl w:ilvl="0">
      <w:lvlJc w:val="left"/>
      <w:lvlText w:val="%1."/>
      <w:numFmt w:val="decimal"/>
      <w:start w:val="1"/>
    </w:lvl>
    <w:lvl w:ilvl="1">
      <w:lvlJc w:val="left"/>
      <w:lvlText w:val="(%2)"/>
      <w:numFmt w:val="lowerLetter"/>
      <w:start w:val="1"/>
    </w:lvl>
  </w:abstractNum>
  <w:abstractNum w:abstractNumId="42">
    <w:nsid w:val="661E3F1E"/>
    <w:multiLevelType w:val="hybridMultilevel"/>
    <w:lvl w:ilvl="0">
      <w:lvlJc w:val="left"/>
      <w:lvlText w:val="(%1)"/>
      <w:numFmt w:val="lowerLetter"/>
      <w:start w:val="2"/>
    </w:lvl>
  </w:abstractNum>
  <w:abstractNum w:abstractNumId="43">
    <w:nsid w:val="5DC79EA8"/>
    <w:multiLevelType w:val="hybridMultilevel"/>
    <w:lvl w:ilvl="0">
      <w:lvlJc w:val="left"/>
      <w:lvlText w:val="(%1)"/>
      <w:numFmt w:val="lowerRoman"/>
      <w:start w:val="1"/>
    </w:lvl>
    <w:lvl w:ilvl="1">
      <w:lvlJc w:val="left"/>
      <w:lvlText w:val="(%2)"/>
      <w:numFmt w:val="decimal"/>
      <w:start w:val="1"/>
    </w:lvl>
  </w:abstractNum>
  <w:abstractNum w:abstractNumId="44">
    <w:nsid w:val="540A471C"/>
    <w:multiLevelType w:val="hybridMultilevel"/>
    <w:lvl w:ilvl="0">
      <w:lvlJc w:val="left"/>
      <w:lvlText w:val="%1"/>
      <w:numFmt w:val="lowerLetter"/>
      <w:start w:val="1"/>
    </w:lvl>
    <w:lvl w:ilvl="1">
      <w:lvlJc w:val="left"/>
      <w:lvlText w:val="(%2)"/>
      <w:numFmt w:val="decimal"/>
      <w:start w:val="1"/>
    </w:lvl>
  </w:abstractNum>
  <w:abstractNum w:abstractNumId="45">
    <w:nsid w:val="7BD3EE7B"/>
    <w:multiLevelType w:val="hybridMultilevel"/>
    <w:lvl w:ilvl="0">
      <w:lvlJc w:val="left"/>
      <w:lvlText w:val="(%1)"/>
      <w:numFmt w:val="lowerLetter"/>
      <w:start w:val="25"/>
    </w:lvl>
    <w:lvl w:ilvl="1">
      <w:lvlJc w:val="left"/>
      <w:lvlText w:val="%2"/>
      <w:numFmt w:val="decimal"/>
      <w:start w:val="1"/>
    </w:lvl>
  </w:abstractNum>
  <w:abstractNum w:abstractNumId="46">
    <w:nsid w:val="51D9C56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lvl w:ilvl="3">
      <w:lvlJc w:val="left"/>
      <w:lvlText w:val="%4"/>
      <w:numFmt w:val="decimal"/>
      <w:start w:val="1"/>
    </w:lvl>
  </w:abstractNum>
  <w:abstractNum w:abstractNumId="47">
    <w:nsid w:val="613EFDC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48">
    <w:nsid w:val="BF72B14"/>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49">
    <w:nsid w:val="11447B7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50">
    <w:nsid w:val="42963E5A"/>
    <w:multiLevelType w:val="hybridMultilevel"/>
    <w:lvl w:ilvl="0">
      <w:lvlJc w:val="left"/>
      <w:lvlText w:val="%1."/>
      <w:numFmt w:val="decimal"/>
      <w:start w:val="4"/>
    </w:lvl>
    <w:lvl w:ilvl="1">
      <w:lvlJc w:val="left"/>
      <w:lvlText w:val="(%2)"/>
      <w:numFmt w:val="lowerRoman"/>
    </w:lvl>
    <w:lvl w:ilvl="2">
      <w:lvlJc w:val="left"/>
      <w:lvlText w:val="(%3)"/>
      <w:numFmt w:val="lowerLetter"/>
      <w:start w:val="1"/>
    </w:lvl>
  </w:abstractNum>
  <w:abstractNum w:abstractNumId="51">
    <w:nsid w:val="A0382C5"/>
    <w:multiLevelType w:val="hybridMultilevel"/>
    <w:lvl w:ilvl="0">
      <w:lvlJc w:val="left"/>
      <w:lvlText w:val="%1"/>
      <w:numFmt w:val="lowerLetter"/>
      <w:start w:val="1"/>
    </w:lvl>
    <w:lvl w:ilvl="1">
      <w:lvlJc w:val="left"/>
      <w:lvlText w:val="(%2)"/>
      <w:numFmt w:val="lowerLetter"/>
      <w:start w:val="2"/>
    </w:lvl>
  </w:abstractNum>
  <w:abstractNum w:abstractNumId="52">
    <w:nsid w:val="8F2B15E"/>
    <w:multiLevelType w:val="hybridMultilevel"/>
    <w:lvl w:ilvl="0">
      <w:lvlJc w:val="left"/>
      <w:lvlText w:val="(%1)"/>
      <w:numFmt w:val="lowerLetter"/>
      <w:start w:val="9"/>
    </w:lvl>
    <w:lvl w:ilvl="1">
      <w:lvlJc w:val="left"/>
      <w:lvlText w:val="%2"/>
      <w:numFmt w:val="lowerLetter"/>
      <w:start w:val="1"/>
    </w:lvl>
  </w:abstractNum>
  <w:abstractNum w:abstractNumId="53">
    <w:nsid w:val="1A32234B"/>
    <w:multiLevelType w:val="hybridMultilevel"/>
    <w:lvl w:ilvl="0">
      <w:lvlJc w:val="left"/>
      <w:lvlText w:val="(%1)"/>
      <w:numFmt w:val="lowerRoman"/>
      <w:start w:val="2"/>
    </w:lvl>
  </w:abstractNum>
  <w:abstractNum w:abstractNumId="54">
    <w:nsid w:val="3B0FD379"/>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55">
    <w:nsid w:val="68EB2F63"/>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56">
    <w:nsid w:val="4962813B"/>
    <w:multiLevelType w:val="hybridMultilevel"/>
    <w:lvl w:ilvl="0">
      <w:lvlJc w:val="left"/>
      <w:lvlText w:val="%1"/>
      <w:numFmt w:val="lowerRoman"/>
      <w:start w:val="1"/>
    </w:lvl>
    <w:lvl w:ilvl="1">
      <w:lvlJc w:val="left"/>
      <w:lvlText w:val="(%2)"/>
      <w:numFmt w:val="decimal"/>
      <w:start w:val="10"/>
    </w:lvl>
  </w:abstractNum>
  <w:abstractNum w:abstractNumId="57">
    <w:nsid w:val="60B6DF70"/>
    <w:multiLevelType w:val="hybridMultilevel"/>
    <w:lvl w:ilvl="0">
      <w:lvlJc w:val="left"/>
      <w:lvlText w:val="(%1)"/>
      <w:numFmt w:val="lowerRoman"/>
      <w:start w:val="2"/>
    </w:lvl>
    <w:lvl w:ilvl="1">
      <w:lvlJc w:val="left"/>
      <w:lvlText w:val="%2"/>
      <w:numFmt w:val="decimal"/>
      <w:start w:val="1"/>
    </w:lvl>
  </w:abstractNum>
  <w:abstractNum w:abstractNumId="58">
    <w:nsid w:val="6A5EE64"/>
    <w:multiLevelType w:val="hybridMultilevel"/>
    <w:lvl w:ilvl="0">
      <w:lvlJc w:val="left"/>
      <w:lvlText w:val="(%1)"/>
      <w:numFmt w:val="decimal"/>
      <w:start w:val="90"/>
    </w:lvl>
    <w:lvl w:ilvl="1">
      <w:lvlJc w:val="left"/>
      <w:lvlText w:val="(%2)"/>
      <w:numFmt w:val="lowerRoman"/>
    </w:lvl>
    <w:lvl w:ilvl="2">
      <w:lvlJc w:val="left"/>
      <w:lvlText w:val="(%3)"/>
      <w:numFmt w:val="lowerLetter"/>
      <w:start w:val="4"/>
    </w:lvl>
  </w:abstractNum>
  <w:abstractNum w:abstractNumId="59">
    <w:nsid w:val="1433062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60">
    <w:nsid w:val="7FFFCA11"/>
    <w:multiLevelType w:val="hybridMultilevel"/>
    <w:lvl w:ilvl="0">
      <w:lvlJc w:val="left"/>
      <w:lvlText w:val="%1"/>
      <w:numFmt w:val="decimal"/>
      <w:start w:val="1"/>
    </w:lvl>
    <w:lvl w:ilvl="1">
      <w:lvlJc w:val="left"/>
      <w:lvlText w:val="(%2)"/>
      <w:numFmt w:val="lowerLetter"/>
      <w:start w:val="7"/>
    </w:lvl>
  </w:abstractNum>
  <w:abstractNum w:abstractNumId="61">
    <w:nsid w:val="1A27709E"/>
    <w:multiLevelType w:val="hybridMultilevel"/>
    <w:lvl w:ilvl="0">
      <w:lvlJc w:val="left"/>
      <w:lvlText w:val="%1."/>
      <w:numFmt w:val="decimal"/>
      <w:start w:val="5"/>
    </w:lvl>
    <w:lvl w:ilvl="1">
      <w:lvlJc w:val="left"/>
      <w:lvlText w:val="%2"/>
      <w:numFmt w:val="lowerLetter"/>
      <w:start w:val="1"/>
    </w:lvl>
  </w:abstractNum>
  <w:abstractNum w:abstractNumId="62">
    <w:nsid w:val="71EA1109"/>
    <w:multiLevelType w:val="hybridMultilevel"/>
    <w:lvl w:ilvl="0">
      <w:lvlJc w:val="left"/>
      <w:lvlText w:val="%1."/>
      <w:numFmt w:val="decimal"/>
      <w:start w:val="8"/>
    </w:lvl>
  </w:abstractNum>
  <w:abstractNum w:abstractNumId="63">
    <w:nsid w:val="100F59DC"/>
    <w:multiLevelType w:val="hybridMultilevel"/>
    <w:lvl w:ilvl="0">
      <w:lvlJc w:val="left"/>
      <w:lvlText w:val="%1."/>
      <w:numFmt w:val="decimal"/>
      <w:start w:val="11"/>
    </w:lvl>
    <w:lvl w:ilvl="1">
      <w:lvlJc w:val="left"/>
      <w:lvlText w:val="(%2)"/>
      <w:numFmt w:val="lowerLetter"/>
      <w:start w:val="1"/>
    </w:lvl>
  </w:abstractNum>
  <w:abstractNum w:abstractNumId="64">
    <w:nsid w:val="7FB7E0AA"/>
    <w:multiLevelType w:val="hybridMultilevel"/>
    <w:lvl w:ilvl="0">
      <w:lvlJc w:val="left"/>
      <w:lvlText w:val="%1."/>
      <w:numFmt w:val="decimal"/>
      <w:start w:val="16"/>
    </w:lvl>
  </w:abstractNum>
  <w:abstractNum w:abstractNumId="65">
    <w:nsid w:val="6EB5BD4"/>
    <w:multiLevelType w:val="hybridMultilevel"/>
    <w:lvl w:ilvl="0">
      <w:lvlJc w:val="left"/>
      <w:lvlText w:val="%1."/>
      <w:numFmt w:val="decimal"/>
      <w:start w:val="1"/>
    </w:lvl>
    <w:lvl w:ilvl="1">
      <w:lvlJc w:val="left"/>
      <w:lvlText w:val="(%2)"/>
      <w:numFmt w:val="lowerLetter"/>
      <w:start w:val="1"/>
    </w:lvl>
  </w:abstractNum>
  <w:abstractNum w:abstractNumId="66">
    <w:nsid w:val="6F6DD9AC"/>
    <w:multiLevelType w:val="hybridMultilevel"/>
    <w:lvl w:ilvl="0">
      <w:lvlJc w:val="left"/>
      <w:lvlText w:val="(%1)"/>
      <w:numFmt w:val="lowerLetter"/>
      <w:start w:val="2"/>
    </w:lvl>
  </w:abstractNum>
  <w:abstractNum w:abstractNumId="67">
    <w:nsid w:val="94211F2"/>
    <w:multiLevelType w:val="hybridMultilevel"/>
    <w:lvl w:ilvl="0">
      <w:lvlJc w:val="left"/>
      <w:lvlText w:val="(%1)"/>
      <w:numFmt w:val="lowerRoman"/>
      <w:start w:val="1"/>
    </w:lvl>
    <w:lvl w:ilvl="1">
      <w:lvlJc w:val="left"/>
      <w:lvlText w:val="(%2)"/>
      <w:numFmt w:val="decimal"/>
      <w:start w:val="1"/>
    </w:lvl>
  </w:abstractNum>
  <w:abstractNum w:abstractNumId="68">
    <w:nsid w:val="885E1B"/>
    <w:multiLevelType w:val="hybridMultilevel"/>
    <w:lvl w:ilvl="0">
      <w:lvlJc w:val="left"/>
      <w:lvlText w:val="%1"/>
      <w:numFmt w:val="lowerLetter"/>
      <w:start w:val="1"/>
    </w:lvl>
    <w:lvl w:ilvl="1">
      <w:lvlJc w:val="left"/>
      <w:lvlText w:val="(%2)"/>
      <w:numFmt w:val="decimal"/>
      <w:start w:val="1"/>
    </w:lvl>
  </w:abstractNum>
  <w:abstractNum w:abstractNumId="69">
    <w:nsid w:val="76272110"/>
    <w:multiLevelType w:val="hybridMultilevel"/>
    <w:lvl w:ilvl="0">
      <w:lvlJc w:val="left"/>
      <w:lvlText w:val="(%1)"/>
      <w:numFmt w:val="lowerLetter"/>
      <w:start w:val="25"/>
    </w:lvl>
    <w:lvl w:ilvl="1">
      <w:lvlJc w:val="left"/>
      <w:lvlText w:val="%2"/>
      <w:numFmt w:val="decimal"/>
      <w:start w:val="1"/>
    </w:lvl>
  </w:abstractNum>
  <w:abstractNum w:abstractNumId="70">
    <w:nsid w:val="4C04A8A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lvl w:ilvl="3">
      <w:lvlJc w:val="left"/>
      <w:lvlText w:val="%4"/>
      <w:numFmt w:val="decimal"/>
      <w:start w:val="1"/>
    </w:lvl>
  </w:abstractNum>
  <w:abstractNum w:abstractNumId="71">
    <w:nsid w:val="1716703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72">
    <w:nsid w:val="14E17E33"/>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73">
    <w:nsid w:val="3222E7C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74">
    <w:nsid w:val="74DE0EE3"/>
    <w:multiLevelType w:val="hybridMultilevel"/>
    <w:lvl w:ilvl="0">
      <w:lvlJc w:val="left"/>
      <w:lvlText w:val="%1."/>
      <w:numFmt w:val="decimal"/>
      <w:start w:val="4"/>
    </w:lvl>
    <w:lvl w:ilvl="1">
      <w:lvlJc w:val="left"/>
      <w:lvlText w:val="(%2)"/>
      <w:numFmt w:val="lowerRoman"/>
    </w:lvl>
    <w:lvl w:ilvl="2">
      <w:lvlJc w:val="left"/>
      <w:lvlText w:val="(%3)"/>
      <w:numFmt w:val="lowerLetter"/>
      <w:start w:val="1"/>
    </w:lvl>
  </w:abstractNum>
  <w:abstractNum w:abstractNumId="75">
    <w:nsid w:val="68EBC550"/>
    <w:multiLevelType w:val="hybridMultilevel"/>
    <w:lvl w:ilvl="0">
      <w:lvlJc w:val="left"/>
      <w:lvlText w:val="%1"/>
      <w:numFmt w:val="lowerLetter"/>
      <w:start w:val="1"/>
    </w:lvl>
    <w:lvl w:ilvl="1">
      <w:lvlJc w:val="left"/>
      <w:lvlText w:val="(%2)"/>
      <w:numFmt w:val="lowerLetter"/>
      <w:start w:val="2"/>
    </w:lvl>
  </w:abstractNum>
  <w:abstractNum w:abstractNumId="76">
    <w:nsid w:val="2DF6D648"/>
    <w:multiLevelType w:val="hybridMultilevel"/>
    <w:lvl w:ilvl="0">
      <w:lvlJc w:val="left"/>
      <w:lvlText w:val="(%1)"/>
      <w:numFmt w:val="lowerLetter"/>
      <w:start w:val="9"/>
    </w:lvl>
    <w:lvl w:ilvl="1">
      <w:lvlJc w:val="left"/>
      <w:lvlText w:val="%2"/>
      <w:numFmt w:val="lowerLetter"/>
      <w:start w:val="1"/>
    </w:lvl>
  </w:abstractNum>
  <w:abstractNum w:abstractNumId="77">
    <w:nsid w:val="46B7D447"/>
    <w:multiLevelType w:val="hybridMultilevel"/>
    <w:lvl w:ilvl="0">
      <w:lvlJc w:val="left"/>
      <w:lvlText w:val="(%1)"/>
      <w:numFmt w:val="lowerRoman"/>
      <w:start w:val="2"/>
    </w:lvl>
  </w:abstractNum>
  <w:abstractNum w:abstractNumId="78">
    <w:nsid w:val="4A2AC315"/>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79">
    <w:nsid w:val="39EE015C"/>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80">
    <w:nsid w:val="57FC4FBB"/>
    <w:multiLevelType w:val="hybridMultilevel"/>
    <w:lvl w:ilvl="0">
      <w:lvlJc w:val="left"/>
      <w:lvlText w:val="%1"/>
      <w:numFmt w:val="lowerRoman"/>
      <w:start w:val="1"/>
    </w:lvl>
    <w:lvl w:ilvl="1">
      <w:lvlJc w:val="left"/>
      <w:lvlText w:val="(%2)"/>
      <w:numFmt w:val="decimal"/>
      <w:start w:val="10"/>
    </w:lvl>
  </w:abstractNum>
  <w:abstractNum w:abstractNumId="81">
    <w:nsid w:val="CC1016F"/>
    <w:multiLevelType w:val="hybridMultilevel"/>
    <w:lvl w:ilvl="0">
      <w:lvlJc w:val="left"/>
      <w:lvlText w:val="(%1)"/>
      <w:numFmt w:val="lowerRoman"/>
      <w:start w:val="2"/>
    </w:lvl>
    <w:lvl w:ilvl="1">
      <w:lvlJc w:val="left"/>
      <w:lvlText w:val="%2"/>
      <w:numFmt w:val="decimal"/>
      <w:start w:val="1"/>
    </w:lvl>
  </w:abstractNum>
  <w:abstractNum w:abstractNumId="82">
    <w:nsid w:val="43F18422"/>
    <w:multiLevelType w:val="hybridMultilevel"/>
    <w:lvl w:ilvl="0">
      <w:lvlJc w:val="left"/>
      <w:lvlText w:val="(%1)"/>
      <w:numFmt w:val="decimal"/>
      <w:start w:val="90"/>
    </w:lvl>
    <w:lvl w:ilvl="1">
      <w:lvlJc w:val="left"/>
      <w:lvlText w:val="(%2)"/>
      <w:numFmt w:val="lowerRoman"/>
    </w:lvl>
    <w:lvl w:ilvl="2">
      <w:lvlJc w:val="left"/>
      <w:lvlText w:val="(%3)"/>
      <w:numFmt w:val="lowerLetter"/>
      <w:start w:val="4"/>
    </w:lvl>
  </w:abstractNum>
  <w:abstractNum w:abstractNumId="83">
    <w:nsid w:val="60EF011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84">
    <w:nsid w:val="26F324BA"/>
    <w:multiLevelType w:val="hybridMultilevel"/>
    <w:lvl w:ilvl="0">
      <w:lvlJc w:val="left"/>
      <w:lvlText w:val="%1"/>
      <w:numFmt w:val="decimal"/>
      <w:start w:val="1"/>
    </w:lvl>
    <w:lvl w:ilvl="1">
      <w:lvlJc w:val="left"/>
      <w:lvlText w:val="(%2)"/>
      <w:numFmt w:val="lowerLetter"/>
      <w:start w:val="7"/>
    </w:lvl>
  </w:abstractNum>
  <w:abstractNum w:abstractNumId="85">
    <w:nsid w:val="7F01579B"/>
    <w:multiLevelType w:val="hybridMultilevel"/>
    <w:lvl w:ilvl="0">
      <w:lvlJc w:val="left"/>
      <w:lvlText w:val="%1."/>
      <w:numFmt w:val="decimal"/>
      <w:start w:val="5"/>
    </w:lvl>
    <w:lvl w:ilvl="1">
      <w:lvlJc w:val="left"/>
      <w:lvlText w:val="%2"/>
      <w:numFmt w:val="lowerLetter"/>
      <w:start w:val="1"/>
    </w:lvl>
  </w:abstractNum>
  <w:abstractNum w:abstractNumId="86">
    <w:nsid w:val="49DA307D"/>
    <w:multiLevelType w:val="hybridMultilevel"/>
    <w:lvl w:ilvl="0">
      <w:lvlJc w:val="left"/>
      <w:lvlText w:val="%1."/>
      <w:numFmt w:val="decimal"/>
      <w:start w:val="8"/>
    </w:lvl>
  </w:abstractNum>
  <w:abstractNum w:abstractNumId="87">
    <w:nsid w:val="7055A5F5"/>
    <w:multiLevelType w:val="hybridMultilevel"/>
    <w:lvl w:ilvl="0">
      <w:lvlJc w:val="left"/>
      <w:lvlText w:val="%1."/>
      <w:numFmt w:val="decimal"/>
      <w:start w:val="11"/>
    </w:lvl>
    <w:lvl w:ilvl="1">
      <w:lvlJc w:val="left"/>
      <w:lvlText w:val="(%2)"/>
      <w:numFmt w:val="lowerLetter"/>
      <w:start w:val="1"/>
    </w:lvl>
  </w:abstractNum>
  <w:abstractNum w:abstractNumId="88">
    <w:nsid w:val="5FB8370B"/>
    <w:multiLevelType w:val="hybridMultilevel"/>
    <w:lvl w:ilvl="0">
      <w:lvlJc w:val="left"/>
      <w:lvlText w:val="%1."/>
      <w:numFmt w:val="decimal"/>
      <w:start w:val="16"/>
    </w:lvl>
  </w:abstractNum>
  <w:abstractNum w:abstractNumId="89">
    <w:nsid w:val="50801EE1"/>
    <w:multiLevelType w:val="hybridMultilevel"/>
    <w:lvl w:ilvl="0">
      <w:lvlJc w:val="left"/>
      <w:lvlText w:val="%1."/>
      <w:numFmt w:val="decimal"/>
      <w:start w:val="1"/>
    </w:lvl>
    <w:lvl w:ilvl="1">
      <w:lvlJc w:val="left"/>
      <w:lvlText w:val="(%2)"/>
      <w:numFmt w:val="lowerLetter"/>
      <w:start w:val="1"/>
    </w:lvl>
  </w:abstractNum>
  <w:abstractNum w:abstractNumId="90">
    <w:nsid w:val="488AC1A"/>
    <w:multiLevelType w:val="hybridMultilevel"/>
    <w:lvl w:ilvl="0">
      <w:lvlJc w:val="left"/>
      <w:lvlText w:val="%1"/>
      <w:numFmt w:val="decimal"/>
      <w:start w:val="1"/>
    </w:lvl>
    <w:lvl w:ilvl="1">
      <w:lvlJc w:val="left"/>
      <w:lvlText w:val="(%2)"/>
      <w:numFmt w:val="lowerLetter"/>
      <w:start w:val="2"/>
    </w:lvl>
  </w:abstractNum>
  <w:abstractNum w:abstractNumId="91">
    <w:nsid w:val="5FB8011C"/>
    <w:multiLevelType w:val="hybridMultilevel"/>
    <w:lvl w:ilvl="0">
      <w:lvlJc w:val="left"/>
      <w:lvlText w:val="%1."/>
      <w:numFmt w:val="decimal"/>
      <w:start w:val="3"/>
    </w:lvl>
    <w:lvl w:ilvl="1">
      <w:lvlJc w:val="left"/>
      <w:lvlText w:val="(%2)"/>
      <w:numFmt w:val="lowerLetter"/>
      <w:start w:val="1"/>
    </w:lvl>
  </w:abstractNum>
  <w:abstractNum w:abstractNumId="92">
    <w:nsid w:val="6AA78F7F"/>
    <w:multiLevelType w:val="hybridMultilevel"/>
    <w:lvl w:ilvl="0">
      <w:lvlJc w:val="left"/>
      <w:lvlText w:val="(%1)"/>
      <w:numFmt w:val="lowerLetter"/>
      <w:start w:val="2"/>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1)"/>
      <w:numFmt w:val="lowerLetter"/>
      <w:start w:val="4"/>
    </w:lvl>
  </w:abstractNum>
  <w:abstractNum w:abstractNumId="95">
    <w:nsid w:val="6A5F7029"/>
    <w:multiLevelType w:val="hybridMultilevel"/>
    <w:lvl w:ilvl="0">
      <w:lvlJc w:val="left"/>
      <w:lvlText w:val="%1."/>
      <w:numFmt w:val="decimal"/>
      <w:start w:val="4"/>
    </w:lvl>
  </w:abstractNum>
  <w:abstractNum w:abstractNumId="96">
    <w:nsid w:val="7D5E18F8"/>
    <w:multiLevelType w:val="hybridMultilevel"/>
    <w:lvl w:ilvl="0">
      <w:lvlJc w:val="left"/>
      <w:lvlText w:val="(%1)"/>
      <w:numFmt w:val="lowerRoman"/>
      <w:start w:val="2"/>
    </w:lvl>
  </w:abstractNum>
  <w:abstractNum w:abstractNumId="97">
    <w:nsid w:val="5F3534A4"/>
    <w:multiLevelType w:val="hybridMultilevel"/>
    <w:lvl w:ilvl="0">
      <w:lvlJc w:val="left"/>
      <w:lvlText w:val="%1."/>
      <w:numFmt w:val="decimal"/>
      <w:start w:val="7"/>
    </w:lvl>
  </w:abstractNum>
  <w:abstractNum w:abstractNumId="98">
    <w:nsid w:val="73A1821B"/>
    <w:multiLevelType w:val="hybridMultilevel"/>
    <w:lvl w:ilvl="0">
      <w:lvlJc w:val="left"/>
      <w:lvlText w:val="%1."/>
      <w:numFmt w:val="decimal"/>
      <w:start w:val="12"/>
    </w:lvl>
    <w:lvl w:ilvl="1">
      <w:lvlJc w:val="left"/>
      <w:lvlText w:val="(%2)"/>
      <w:numFmt w:val="lowerLetter"/>
      <w:start w:val="1"/>
    </w:lvl>
  </w:abstractNum>
  <w:abstractNum w:abstractNumId="99">
    <w:nsid w:val="7DE67713"/>
    <w:multiLevelType w:val="hybridMultilevel"/>
    <w:lvl w:ilvl="0">
      <w:lvlJc w:val="left"/>
      <w:lvlText w:val="%1."/>
      <w:numFmt w:val="decimal"/>
      <w:start w:val="18"/>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2022-09-07T15:36:49Z</dcterms:created>
  <dcterms:modified xsi:type="dcterms:W3CDTF">2022-09-07T15:36:49Z</dcterms:modified>
</cp:coreProperties>
</file>