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135255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May 3, 2020</w:t>
      </w:r>
    </w:p>
    <w:p>
      <w:pPr>
        <w:spacing w:after="0" w:line="7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28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-7620</wp:posOffset>
            </wp:positionV>
            <wp:extent cx="1362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5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001-35664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137160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Dave &amp; Buster’s Entertainment,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tbl>
      <w:tblPr>
        <w:tblLayout w:type="fixed"/>
        <w:tblInd w:w="120" w:type="dxa"/>
        <w:tblCellMar>
          <w:top w:w="0" w:type="dxa"/>
          <w:left w:w="0" w:type="dxa"/>
          <w:bottom w:w="0" w:type="dxa"/>
          <w:right w:w="0" w:type="dxa"/>
        </w:tblCellMar>
      </w:tblPr>
      <w:tr>
        <w:trPr>
          <w:trHeight w:val="212"/>
        </w:trPr>
        <w:tc>
          <w:tcPr>
            <w:tcW w:w="4800" w:type="dxa"/>
            <w:vAlign w:val="bottom"/>
            <w:gridSpan w:val="3"/>
          </w:tcPr>
          <w:p>
            <w:pPr>
              <w:jc w:val="center"/>
              <w:ind w:left="677"/>
              <w:spacing w:after="0"/>
              <w:rPr>
                <w:sz w:val="20"/>
                <w:szCs w:val="20"/>
                <w:color w:val="auto"/>
              </w:rPr>
            </w:pPr>
            <w:r>
              <w:rPr>
                <w:rFonts w:ascii="Arial" w:cs="Arial" w:eastAsia="Arial" w:hAnsi="Arial"/>
                <w:sz w:val="18"/>
                <w:szCs w:val="18"/>
                <w:b w:val="1"/>
                <w:bCs w:val="1"/>
                <w:color w:val="auto"/>
                <w:w w:val="91"/>
              </w:rPr>
              <w:t>Delaware</w:t>
            </w:r>
          </w:p>
        </w:tc>
        <w:tc>
          <w:tcPr>
            <w:tcW w:w="1820" w:type="dxa"/>
            <w:vAlign w:val="bottom"/>
          </w:tcPr>
          <w:p>
            <w:pPr>
              <w:spacing w:after="0"/>
              <w:rPr>
                <w:sz w:val="18"/>
                <w:szCs w:val="18"/>
                <w:color w:val="auto"/>
              </w:rPr>
            </w:pPr>
          </w:p>
        </w:tc>
        <w:tc>
          <w:tcPr>
            <w:tcW w:w="4400" w:type="dxa"/>
            <w:vAlign w:val="bottom"/>
            <w:gridSpan w:val="3"/>
          </w:tcPr>
          <w:p>
            <w:pPr>
              <w:jc w:val="right"/>
              <w:ind w:right="2161"/>
              <w:spacing w:after="0"/>
              <w:rPr>
                <w:sz w:val="20"/>
                <w:szCs w:val="20"/>
                <w:color w:val="auto"/>
              </w:rPr>
            </w:pPr>
            <w:r>
              <w:rPr>
                <w:rFonts w:ascii="Arial" w:cs="Arial" w:eastAsia="Arial" w:hAnsi="Arial"/>
                <w:sz w:val="18"/>
                <w:szCs w:val="18"/>
                <w:b w:val="1"/>
                <w:bCs w:val="1"/>
                <w:color w:val="auto"/>
              </w:rPr>
              <w:t>35-2382255</w:t>
            </w:r>
          </w:p>
        </w:tc>
        <w:tc>
          <w:tcPr>
            <w:tcW w:w="0" w:type="dxa"/>
            <w:vAlign w:val="bottom"/>
          </w:tcPr>
          <w:p>
            <w:pPr>
              <w:spacing w:after="0"/>
              <w:rPr>
                <w:sz w:val="1"/>
                <w:szCs w:val="1"/>
                <w:color w:val="auto"/>
              </w:rPr>
            </w:pPr>
          </w:p>
        </w:tc>
      </w:tr>
      <w:tr>
        <w:trPr>
          <w:trHeight w:val="186"/>
        </w:trPr>
        <w:tc>
          <w:tcPr>
            <w:tcW w:w="4800" w:type="dxa"/>
            <w:vAlign w:val="bottom"/>
            <w:gridSpan w:val="3"/>
          </w:tcPr>
          <w:p>
            <w:pPr>
              <w:jc w:val="center"/>
              <w:ind w:left="657"/>
              <w:spacing w:after="0"/>
              <w:rPr>
                <w:sz w:val="20"/>
                <w:szCs w:val="20"/>
                <w:color w:val="auto"/>
              </w:rPr>
            </w:pPr>
            <w:r>
              <w:rPr>
                <w:rFonts w:ascii="Arial" w:cs="Arial" w:eastAsia="Arial" w:hAnsi="Arial"/>
                <w:sz w:val="14"/>
                <w:szCs w:val="14"/>
                <w:b w:val="1"/>
                <w:bCs w:val="1"/>
                <w:color w:val="auto"/>
                <w:w w:val="94"/>
              </w:rPr>
              <w:t>(State of Incorporation)</w:t>
            </w:r>
          </w:p>
        </w:tc>
        <w:tc>
          <w:tcPr>
            <w:tcW w:w="1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ind w:right="1741"/>
              <w:spacing w:after="0"/>
              <w:rPr>
                <w:sz w:val="20"/>
                <w:szCs w:val="20"/>
                <w:color w:val="auto"/>
              </w:rPr>
            </w:pPr>
            <w:r>
              <w:rPr>
                <w:rFonts w:ascii="Arial" w:cs="Arial" w:eastAsia="Arial" w:hAnsi="Arial"/>
                <w:sz w:val="14"/>
                <w:szCs w:val="14"/>
                <w:b w:val="1"/>
                <w:bCs w:val="1"/>
                <w:color w:val="auto"/>
                <w:w w:val="98"/>
              </w:rPr>
              <w:t>(I.R.S. Employer ID)</w:t>
            </w:r>
          </w:p>
        </w:tc>
        <w:tc>
          <w:tcPr>
            <w:tcW w:w="0" w:type="dxa"/>
            <w:vAlign w:val="bottom"/>
          </w:tcPr>
          <w:p>
            <w:pPr>
              <w:spacing w:after="0"/>
              <w:rPr>
                <w:sz w:val="1"/>
                <w:szCs w:val="1"/>
                <w:color w:val="auto"/>
              </w:rPr>
            </w:pPr>
          </w:p>
        </w:tc>
      </w:tr>
      <w:tr>
        <w:trPr>
          <w:trHeight w:val="394"/>
        </w:trPr>
        <w:tc>
          <w:tcPr>
            <w:tcW w:w="4800" w:type="dxa"/>
            <w:vAlign w:val="bottom"/>
            <w:gridSpan w:val="3"/>
          </w:tcPr>
          <w:p>
            <w:pPr>
              <w:jc w:val="center"/>
              <w:ind w:left="677"/>
              <w:spacing w:after="0"/>
              <w:rPr>
                <w:sz w:val="20"/>
                <w:szCs w:val="20"/>
                <w:color w:val="auto"/>
              </w:rPr>
            </w:pPr>
            <w:r>
              <w:rPr>
                <w:rFonts w:ascii="Arial" w:cs="Arial" w:eastAsia="Arial" w:hAnsi="Arial"/>
                <w:sz w:val="18"/>
                <w:szCs w:val="18"/>
                <w:b w:val="1"/>
                <w:bCs w:val="1"/>
                <w:color w:val="auto"/>
                <w:w w:val="91"/>
              </w:rPr>
              <w:t>2481 Mañana Drive, Dallas, Texas, 75220</w:t>
            </w:r>
          </w:p>
        </w:tc>
        <w:tc>
          <w:tcPr>
            <w:tcW w:w="1820" w:type="dxa"/>
            <w:vAlign w:val="bottom"/>
          </w:tcPr>
          <w:p>
            <w:pPr>
              <w:spacing w:after="0"/>
              <w:rPr>
                <w:sz w:val="24"/>
                <w:szCs w:val="24"/>
                <w:color w:val="auto"/>
              </w:rPr>
            </w:pPr>
          </w:p>
        </w:tc>
        <w:tc>
          <w:tcPr>
            <w:tcW w:w="4400" w:type="dxa"/>
            <w:vAlign w:val="bottom"/>
            <w:gridSpan w:val="3"/>
          </w:tcPr>
          <w:p>
            <w:pPr>
              <w:jc w:val="right"/>
              <w:ind w:right="2041"/>
              <w:spacing w:after="0"/>
              <w:rPr>
                <w:sz w:val="20"/>
                <w:szCs w:val="20"/>
                <w:color w:val="auto"/>
              </w:rPr>
            </w:pPr>
            <w:r>
              <w:rPr>
                <w:rFonts w:ascii="Arial" w:cs="Arial" w:eastAsia="Arial" w:hAnsi="Arial"/>
                <w:sz w:val="18"/>
                <w:szCs w:val="18"/>
                <w:b w:val="1"/>
                <w:bCs w:val="1"/>
                <w:color w:val="auto"/>
              </w:rPr>
              <w:t>(214) 357-9588</w:t>
            </w:r>
          </w:p>
        </w:tc>
        <w:tc>
          <w:tcPr>
            <w:tcW w:w="0" w:type="dxa"/>
            <w:vAlign w:val="bottom"/>
          </w:tcPr>
          <w:p>
            <w:pPr>
              <w:spacing w:after="0"/>
              <w:rPr>
                <w:sz w:val="1"/>
                <w:szCs w:val="1"/>
                <w:color w:val="auto"/>
              </w:rPr>
            </w:pPr>
          </w:p>
        </w:tc>
      </w:tr>
      <w:tr>
        <w:trPr>
          <w:trHeight w:val="186"/>
        </w:trPr>
        <w:tc>
          <w:tcPr>
            <w:tcW w:w="480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820" w:type="dxa"/>
            <w:vAlign w:val="bottom"/>
          </w:tcPr>
          <w:p>
            <w:pPr>
              <w:spacing w:after="0"/>
              <w:rPr>
                <w:sz w:val="16"/>
                <w:szCs w:val="16"/>
                <w:color w:val="auto"/>
              </w:rPr>
            </w:pPr>
          </w:p>
        </w:tc>
        <w:tc>
          <w:tcPr>
            <w:tcW w:w="4400" w:type="dxa"/>
            <w:vAlign w:val="bottom"/>
            <w:gridSpan w:val="3"/>
          </w:tcPr>
          <w:p>
            <w:pPr>
              <w:jc w:val="center"/>
              <w:ind w:right="881"/>
              <w:spacing w:after="0"/>
              <w:rPr>
                <w:sz w:val="20"/>
                <w:szCs w:val="20"/>
                <w:color w:val="auto"/>
              </w:rPr>
            </w:pPr>
            <w:r>
              <w:rPr>
                <w:rFonts w:ascii="Arial" w:cs="Arial" w:eastAsia="Arial" w:hAnsi="Arial"/>
                <w:sz w:val="14"/>
                <w:szCs w:val="14"/>
                <w:b w:val="1"/>
                <w:bCs w:val="1"/>
                <w:color w:val="auto"/>
                <w:w w:val="92"/>
              </w:rPr>
              <w:t>(Registrant’s telephone number)</w:t>
            </w:r>
          </w:p>
        </w:tc>
        <w:tc>
          <w:tcPr>
            <w:tcW w:w="0" w:type="dxa"/>
            <w:vAlign w:val="bottom"/>
          </w:tcPr>
          <w:p>
            <w:pPr>
              <w:spacing w:after="0"/>
              <w:rPr>
                <w:sz w:val="1"/>
                <w:szCs w:val="1"/>
                <w:color w:val="auto"/>
              </w:rPr>
            </w:pPr>
          </w:p>
        </w:tc>
      </w:tr>
      <w:tr>
        <w:trPr>
          <w:trHeight w:val="269"/>
        </w:trPr>
        <w:tc>
          <w:tcPr>
            <w:tcW w:w="11020" w:type="dxa"/>
            <w:vAlign w:val="bottom"/>
            <w:gridSpan w:val="7"/>
          </w:tcPr>
          <w:p>
            <w:pPr>
              <w:ind w:left="330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93"/>
        </w:trPr>
        <w:tc>
          <w:tcPr>
            <w:tcW w:w="4800" w:type="dxa"/>
            <w:vAlign w:val="bottom"/>
            <w:gridSpan w:val="3"/>
            <w:vMerge w:val="restart"/>
          </w:tcPr>
          <w:p>
            <w:pPr>
              <w:jc w:val="center"/>
              <w:ind w:right="1080"/>
              <w:spacing w:after="0"/>
              <w:rPr>
                <w:sz w:val="20"/>
                <w:szCs w:val="20"/>
                <w:color w:val="auto"/>
              </w:rPr>
            </w:pPr>
            <w:r>
              <w:rPr>
                <w:rFonts w:ascii="Arial" w:cs="Arial" w:eastAsia="Arial" w:hAnsi="Arial"/>
                <w:sz w:val="14"/>
                <w:szCs w:val="14"/>
                <w:b w:val="1"/>
                <w:bCs w:val="1"/>
                <w:color w:val="auto"/>
                <w:w w:val="89"/>
              </w:rPr>
              <w:t>Title of each class</w:t>
            </w:r>
          </w:p>
        </w:tc>
        <w:tc>
          <w:tcPr>
            <w:tcW w:w="1820" w:type="dxa"/>
            <w:vAlign w:val="bottom"/>
          </w:tcPr>
          <w:p>
            <w:pPr>
              <w:jc w:val="center"/>
              <w:ind w:right="199"/>
              <w:spacing w:after="0"/>
              <w:rPr>
                <w:sz w:val="20"/>
                <w:szCs w:val="20"/>
                <w:color w:val="auto"/>
              </w:rPr>
            </w:pPr>
            <w:r>
              <w:rPr>
                <w:rFonts w:ascii="Arial" w:cs="Arial" w:eastAsia="Arial" w:hAnsi="Arial"/>
                <w:sz w:val="14"/>
                <w:szCs w:val="14"/>
                <w:b w:val="1"/>
                <w:bCs w:val="1"/>
                <w:color w:val="auto"/>
                <w:w w:val="97"/>
              </w:rPr>
              <w:t>Trading</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4800" w:type="dxa"/>
            <w:vAlign w:val="bottom"/>
            <w:gridSpan w:val="3"/>
            <w:vMerge w:val="continue"/>
          </w:tcPr>
          <w:p>
            <w:pPr>
              <w:spacing w:after="0"/>
              <w:rPr>
                <w:sz w:val="14"/>
                <w:szCs w:val="14"/>
                <w:color w:val="auto"/>
              </w:rPr>
            </w:pPr>
          </w:p>
        </w:tc>
        <w:tc>
          <w:tcPr>
            <w:tcW w:w="182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Symbol(s)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$0.01 par value</w:t>
            </w:r>
          </w:p>
        </w:tc>
        <w:tc>
          <w:tcPr>
            <w:tcW w:w="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center"/>
              <w:ind w:right="199"/>
              <w:spacing w:after="0" w:line="191" w:lineRule="exact"/>
              <w:rPr>
                <w:sz w:val="20"/>
                <w:szCs w:val="20"/>
                <w:color w:val="auto"/>
              </w:rPr>
            </w:pPr>
            <w:r>
              <w:rPr>
                <w:rFonts w:ascii="Arial" w:cs="Arial" w:eastAsia="Arial" w:hAnsi="Arial"/>
                <w:sz w:val="18"/>
                <w:szCs w:val="18"/>
                <w:b w:val="1"/>
                <w:bCs w:val="1"/>
                <w:color w:val="auto"/>
                <w:w w:val="95"/>
              </w:rPr>
              <w:t>PLAY</w:t>
            </w: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r>
        <w:trPr>
          <w:trHeight w:val="234"/>
        </w:trPr>
        <w:tc>
          <w:tcPr>
            <w:tcW w:w="480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88"/>
              </w:rPr>
              <w:t>Preferred Stock Purchase Rights</w:t>
            </w:r>
          </w:p>
        </w:tc>
        <w:tc>
          <w:tcPr>
            <w:tcW w:w="1820" w:type="dxa"/>
            <w:vAlign w:val="bottom"/>
          </w:tcPr>
          <w:p>
            <w:pPr>
              <w:jc w:val="center"/>
              <w:ind w:right="199"/>
              <w:spacing w:after="0"/>
              <w:rPr>
                <w:sz w:val="20"/>
                <w:szCs w:val="20"/>
                <w:color w:val="auto"/>
              </w:rPr>
            </w:pPr>
            <w:r>
              <w:rPr>
                <w:rFonts w:ascii="Arial" w:cs="Arial" w:eastAsia="Arial" w:hAnsi="Arial"/>
                <w:sz w:val="18"/>
                <w:szCs w:val="18"/>
                <w:b w:val="1"/>
                <w:bCs w:val="1"/>
                <w:color w:val="auto"/>
                <w:w w:val="95"/>
              </w:rPr>
              <w:t>PLAY</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50"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jc w:val="both"/>
        <w:ind w:left="120" w:right="200" w:firstLine="440"/>
        <w:spacing w:after="0" w:line="227" w:lineRule="exact"/>
        <w:rPr>
          <w:sz w:val="20"/>
          <w:szCs w:val="20"/>
          <w:color w:val="auto"/>
        </w:rPr>
      </w:pPr>
      <w:r>
        <w:rPr>
          <w:rFonts w:ascii="Arial" w:cs="Arial" w:eastAsia="Arial" w:hAnsi="Arial"/>
          <w:sz w:val="18"/>
          <w:szCs w:val="18"/>
          <w:color w:val="auto"/>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47" w:lineRule="exact"/>
        <w:rPr>
          <w:sz w:val="24"/>
          <w:szCs w:val="24"/>
          <w:color w:val="auto"/>
        </w:rPr>
      </w:pPr>
    </w:p>
    <w:p>
      <w:pPr>
        <w:ind w:left="120"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120" w:right="1120" w:firstLine="440"/>
        <w:spacing w:after="0" w:line="273" w:lineRule="exact"/>
        <w:rPr>
          <w:sz w:val="20"/>
          <w:szCs w:val="20"/>
          <w:color w:val="auto"/>
        </w:rPr>
      </w:pPr>
      <w:r>
        <w:rPr>
          <w:rFonts w:ascii="Arial" w:cs="Arial" w:eastAsia="Arial" w:hAnsi="Arial"/>
          <w:sz w:val="17"/>
          <w:szCs w:val="17"/>
          <w:color w:val="auto"/>
        </w:rPr>
        <w:t xml:space="preserve">Indicate by checkmark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June 4, 2020, the registrant had 47,452,732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10-Q FOR QUARTERLY PERIOD ENDED MAY 3, 2020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18"/>
        </w:trPr>
        <w:tc>
          <w:tcPr>
            <w:tcW w:w="8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800" w:type="dxa"/>
            <w:vAlign w:val="bottom"/>
          </w:tcPr>
          <w:p>
            <w:pPr>
              <w:ind w:left="200"/>
              <w:spacing w:after="0"/>
              <w:rPr>
                <w:sz w:val="20"/>
                <w:szCs w:val="20"/>
                <w:color w:val="auto"/>
              </w:rPr>
            </w:pPr>
            <w:r>
              <w:rPr>
                <w:rFonts w:ascii="Arial" w:cs="Arial" w:eastAsia="Arial" w:hAnsi="Arial"/>
                <w:sz w:val="18"/>
                <w:szCs w:val="18"/>
                <w:b w:val="1"/>
                <w:bCs w:val="1"/>
                <w:color w:val="auto"/>
              </w:rPr>
              <w:t>FINANCIAL INFORMATION</w:t>
            </w:r>
          </w:p>
        </w:tc>
        <w:tc>
          <w:tcPr>
            <w:tcW w:w="300" w:type="dxa"/>
            <w:vAlign w:val="bottom"/>
          </w:tcPr>
          <w:p>
            <w:pPr>
              <w:spacing w:after="0"/>
              <w:rPr>
                <w:sz w:val="24"/>
                <w:szCs w:val="24"/>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tcPr>
          <w:p>
            <w:pPr>
              <w:ind w:left="20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800" w:type="dxa"/>
            <w:vAlign w:val="bottom"/>
          </w:tcPr>
          <w:p>
            <w:pPr>
              <w:ind w:left="2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About Market Risk</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tcPr>
          <w:p>
            <w:pPr>
              <w:ind w:left="2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Controls and Procedures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800" w:type="dxa"/>
            <w:vAlign w:val="bottom"/>
          </w:tcPr>
          <w:p>
            <w:pPr>
              <w:ind w:left="200"/>
              <w:spacing w:after="0"/>
              <w:rPr>
                <w:sz w:val="20"/>
                <w:szCs w:val="20"/>
                <w:color w:val="auto"/>
              </w:rPr>
            </w:pPr>
            <w:r>
              <w:rPr>
                <w:rFonts w:ascii="Arial" w:cs="Arial" w:eastAsia="Arial" w:hAnsi="Arial"/>
                <w:sz w:val="18"/>
                <w:szCs w:val="18"/>
                <w:b w:val="1"/>
                <w:bCs w:val="1"/>
                <w:color w:val="auto"/>
              </w:rPr>
              <w:t>OTHER INFORMATION</w:t>
            </w:r>
          </w:p>
        </w:tc>
        <w:tc>
          <w:tcPr>
            <w:tcW w:w="300" w:type="dxa"/>
            <w:vAlign w:val="bottom"/>
          </w:tcPr>
          <w:p>
            <w:pPr>
              <w:spacing w:after="0"/>
              <w:rPr>
                <w:sz w:val="24"/>
                <w:szCs w:val="24"/>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tcPr>
          <w:p>
            <w:pPr>
              <w:ind w:left="2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tcPr>
          <w:p>
            <w:pPr>
              <w:ind w:left="2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tcPr>
          <w:p>
            <w:pPr>
              <w:ind w:left="20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800" w:type="dxa"/>
            <w:vAlign w:val="bottom"/>
          </w:tcPr>
          <w:p>
            <w:pPr>
              <w:ind w:left="20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840" w:type="dxa"/>
            <w:vAlign w:val="bottom"/>
          </w:tcPr>
          <w:p>
            <w:pPr>
              <w:spacing w:after="0"/>
              <w:rPr>
                <w:sz w:val="24"/>
                <w:szCs w:val="24"/>
                <w:color w:val="auto"/>
              </w:rPr>
            </w:pPr>
          </w:p>
        </w:tc>
        <w:tc>
          <w:tcPr>
            <w:tcW w:w="9800" w:type="dxa"/>
            <w:vAlign w:val="bottom"/>
          </w:tcPr>
          <w:p>
            <w:pPr>
              <w:ind w:left="2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05"/>
        </w:trPr>
        <w:tc>
          <w:tcPr>
            <w:tcW w:w="840" w:type="dxa"/>
            <w:vAlign w:val="bottom"/>
          </w:tcPr>
          <w:p>
            <w:pPr>
              <w:spacing w:after="0"/>
              <w:rPr>
                <w:sz w:val="24"/>
                <w:szCs w:val="24"/>
                <w:color w:val="auto"/>
              </w:rPr>
            </w:pPr>
          </w:p>
        </w:tc>
        <w:tc>
          <w:tcPr>
            <w:tcW w:w="9800" w:type="dxa"/>
            <w:vAlign w:val="bottom"/>
          </w:tcPr>
          <w:p>
            <w:pPr>
              <w:ind w:left="46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r>
    </w:tbl>
    <w:p>
      <w:pPr>
        <w:sectPr>
          <w:pgSz w:w="11900" w:h="16838" w:orient="portrait"/>
          <w:cols w:equalWidth="0" w:num="1">
            <w:col w:w="11060"/>
          </w:cols>
          <w:pgMar w:left="320" w:top="486" w:right="51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020" w:type="dxa"/>
            <w:vAlign w:val="bottom"/>
            <w:gridSpan w:val="3"/>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360" w:type="dxa"/>
            <w:vAlign w:val="bottom"/>
          </w:tcPr>
          <w:p>
            <w:pPr>
              <w:jc w:val="center"/>
              <w:ind w:left="1470"/>
              <w:spacing w:after="0"/>
              <w:rPr>
                <w:sz w:val="20"/>
                <w:szCs w:val="20"/>
                <w:color w:val="auto"/>
              </w:rPr>
            </w:pPr>
            <w:r>
              <w:rPr>
                <w:rFonts w:ascii="Arial" w:cs="Arial" w:eastAsia="Arial" w:hAnsi="Arial"/>
                <w:sz w:val="18"/>
                <w:szCs w:val="18"/>
                <w:b w:val="1"/>
                <w:bCs w:val="1"/>
                <w:color w:val="auto"/>
              </w:rPr>
              <w:t>PART I – FINANCIAL INFORMATION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36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360" w:type="dxa"/>
            <w:vAlign w:val="bottom"/>
          </w:tcPr>
          <w:p>
            <w:pPr>
              <w:jc w:val="center"/>
              <w:ind w:left="1490"/>
              <w:spacing w:after="0"/>
              <w:rPr>
                <w:sz w:val="20"/>
                <w:szCs w:val="20"/>
                <w:color w:val="auto"/>
              </w:rPr>
            </w:pPr>
            <w:r>
              <w:rPr>
                <w:rFonts w:ascii="Arial" w:cs="Arial" w:eastAsia="Arial" w:hAnsi="Arial"/>
                <w:sz w:val="18"/>
                <w:szCs w:val="18"/>
                <w:b w:val="1"/>
                <w:bCs w:val="1"/>
                <w:color w:val="auto"/>
              </w:rPr>
              <w:t>DAVE &amp; BUSTER’S ENTERTAINMENT, INC.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36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CONSOLIDATED BALANCE SHEETS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360" w:type="dxa"/>
            <w:vAlign w:val="bottom"/>
          </w:tcPr>
          <w:p>
            <w:pPr>
              <w:jc w:val="center"/>
              <w:ind w:left="1490"/>
              <w:spacing w:after="0"/>
              <w:rPr>
                <w:sz w:val="20"/>
                <w:szCs w:val="20"/>
                <w:color w:val="auto"/>
              </w:rPr>
            </w:pPr>
            <w:r>
              <w:rPr>
                <w:rFonts w:ascii="Arial" w:cs="Arial" w:eastAsia="Arial" w:hAnsi="Arial"/>
                <w:sz w:val="18"/>
                <w:szCs w:val="18"/>
                <w:color w:val="auto"/>
                <w:w w:val="87"/>
              </w:rPr>
              <w:t>(in thousands, except share and per share amounts)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May 3,</w:t>
            </w: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February 2,</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1"/>
              <w:spacing w:after="0" w:line="142" w:lineRule="exact"/>
              <w:rPr>
                <w:sz w:val="20"/>
                <w:szCs w:val="20"/>
                <w:color w:val="auto"/>
              </w:rPr>
            </w:pPr>
            <w:r>
              <w:rPr>
                <w:rFonts w:ascii="Arial" w:cs="Arial" w:eastAsia="Arial" w:hAnsi="Arial"/>
                <w:sz w:val="14"/>
                <w:szCs w:val="14"/>
                <w:b w:val="1"/>
                <w:bCs w:val="1"/>
                <w:color w:val="auto"/>
                <w:w w:val="94"/>
              </w:rPr>
              <w:t>(audited)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360" w:type="dxa"/>
            <w:vAlign w:val="bottom"/>
            <w:shd w:val="clear" w:color="auto" w:fill="CCEEFF"/>
          </w:tcPr>
          <w:p>
            <w:pPr>
              <w:jc w:val="center"/>
              <w:ind w:right="670"/>
              <w:spacing w:after="0"/>
              <w:rPr>
                <w:sz w:val="20"/>
                <w:szCs w:val="20"/>
                <w:color w:val="auto"/>
              </w:rPr>
            </w:pPr>
            <w:r>
              <w:rPr>
                <w:rFonts w:ascii="Arial" w:cs="Arial" w:eastAsia="Arial" w:hAnsi="Arial"/>
                <w:sz w:val="18"/>
                <w:szCs w:val="18"/>
                <w:b w:val="1"/>
                <w:bCs w:val="1"/>
                <w:color w:val="auto"/>
                <w:w w:val="94"/>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156,833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24,655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tcPr>
          <w:p>
            <w:pPr>
              <w:ind w:left="36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34,726</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34,477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13,018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14,269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tcPr>
          <w:p>
            <w:pPr>
              <w:ind w:left="360"/>
              <w:spacing w:after="0"/>
              <w:rPr>
                <w:sz w:val="20"/>
                <w:szCs w:val="20"/>
                <w:color w:val="auto"/>
              </w:rPr>
            </w:pPr>
            <w:r>
              <w:rPr>
                <w:rFonts w:ascii="Arial" w:cs="Arial" w:eastAsia="Arial" w:hAnsi="Arial"/>
                <w:sz w:val="18"/>
                <w:szCs w:val="18"/>
                <w:color w:val="auto"/>
              </w:rPr>
              <w:t>Income taxes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23,241</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8900" w:type="dxa"/>
            <w:vAlign w:val="bottom"/>
            <w:gridSpan w:val="2"/>
          </w:tcPr>
          <w:p>
            <w:pPr>
              <w:ind w:left="36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229,792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8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Property and equipment (net of $706,468 and $686,824 accumulated depreciation as of May 3, 2020 and February 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8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2020,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905,577</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900,637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Operating lease right of use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1,045,598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1,011,568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7,639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Tradenames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79,000</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79,000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272,702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272,636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Other assets and deferred charges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19,546</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19,682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2,563,351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2,370,139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360" w:type="dxa"/>
            <w:vAlign w:val="bottom"/>
            <w:vMerge w:val="restart"/>
          </w:tcPr>
          <w:p>
            <w:pPr>
              <w:jc w:val="center"/>
              <w:ind w:right="67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tcPr>
          <w:p>
            <w:pPr>
              <w:ind w:left="360"/>
              <w:spacing w:after="0"/>
              <w:rPr>
                <w:sz w:val="20"/>
                <w:szCs w:val="20"/>
                <w:color w:val="auto"/>
              </w:rPr>
            </w:pPr>
            <w:r>
              <w:rPr>
                <w:rFonts w:ascii="Arial" w:cs="Arial" w:eastAsia="Arial" w:hAnsi="Arial"/>
                <w:sz w:val="18"/>
                <w:szCs w:val="18"/>
                <w:color w:val="auto"/>
              </w:rPr>
              <w:t>Current installments of long-term debt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15,000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79,083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65,359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tcPr>
          <w:p>
            <w:pPr>
              <w:ind w:left="36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221,405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207,452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8900" w:type="dxa"/>
            <w:vAlign w:val="bottom"/>
            <w:gridSpan w:val="2"/>
          </w:tcPr>
          <w:p>
            <w:pPr>
              <w:ind w:left="36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316,695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290,865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19,847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19,102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1,259,687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1,222,054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39,226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35,779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735,261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632,689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89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Common stock, par value $0.01; authorized: 400,000,000 shares; issued: 49,578,351 shares at May 3, 2020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w w:val="91"/>
              </w:rPr>
              <w:t>43,386,852 shares at February 2, 2020; outstanding: 36,791,727 shares at May 3, 2020 and 30,603,340 shares at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February 2, 2020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tcPr>
          <w:p>
            <w:pPr>
              <w:ind w:left="360"/>
              <w:spacing w:after="0"/>
              <w:rPr>
                <w:sz w:val="20"/>
                <w:szCs w:val="20"/>
                <w:color w:val="auto"/>
              </w:rPr>
            </w:pPr>
            <w:r>
              <w:rPr>
                <w:rFonts w:ascii="Arial" w:cs="Arial" w:eastAsia="Arial" w:hAnsi="Arial"/>
                <w:sz w:val="18"/>
                <w:szCs w:val="18"/>
                <w:color w:val="auto"/>
              </w:rPr>
              <w:t>Preferred stock, 50,000,000 authorized; none issued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411,048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339,161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tcPr>
          <w:p>
            <w:pPr>
              <w:ind w:left="360"/>
              <w:spacing w:after="0"/>
              <w:rPr>
                <w:sz w:val="20"/>
                <w:szCs w:val="20"/>
                <w:color w:val="auto"/>
              </w:rPr>
            </w:pPr>
            <w:r>
              <w:rPr>
                <w:rFonts w:ascii="Arial" w:cs="Arial" w:eastAsia="Arial" w:hAnsi="Arial"/>
                <w:sz w:val="18"/>
                <w:szCs w:val="18"/>
                <w:color w:val="auto"/>
              </w:rPr>
              <w:t>Treasury stock, 12,786,624 and 12,783,512 shares as of May 3, 2020 and February 2, 2020, respectively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(595,077)</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(595,041)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(13,753)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90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389,921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433,465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192,635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169,650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8900" w:type="dxa"/>
            <w:vAlign w:val="bottom"/>
            <w:gridSpan w:val="2"/>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2,563,351</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2,370,139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186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COMPREHENSIVE INCOME (LOSS) (UNAUDITED) </w:t>
      </w:r>
      <w:r>
        <w:rPr>
          <w:rFonts w:ascii="Arial" w:cs="Arial" w:eastAsia="Arial" w:hAnsi="Arial"/>
          <w:sz w:val="18"/>
          <w:szCs w:val="18"/>
          <w:color w:val="auto"/>
        </w:rPr>
        <w:t>(in thousands, except share and per share amounts)</w:t>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5"/>
              </w:rPr>
              <w:t>May 3, 2020</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5"/>
              </w:rPr>
              <w:t>May 5, 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63,920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148,221</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95,886</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159,806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363,582</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Cost of food and beverage</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17,344</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38,754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Cost of amusement and other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10,728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22,971</w:t>
            </w:r>
          </w:p>
        </w:tc>
        <w:tc>
          <w:tcPr>
            <w:tcW w:w="0" w:type="dxa"/>
            <w:vAlign w:val="bottom"/>
          </w:tcPr>
          <w:p>
            <w:pPr>
              <w:spacing w:after="0"/>
              <w:rPr>
                <w:sz w:val="1"/>
                <w:szCs w:val="1"/>
                <w:color w:val="auto"/>
              </w:rPr>
            </w:pPr>
          </w:p>
        </w:tc>
      </w:tr>
      <w:tr>
        <w:trPr>
          <w:trHeight w:val="209"/>
        </w:trPr>
        <w:tc>
          <w:tcPr>
            <w:tcW w:w="8580" w:type="dxa"/>
            <w:vAlign w:val="bottom"/>
          </w:tcPr>
          <w:p>
            <w:pPr>
              <w:ind w:left="360"/>
              <w:spacing w:after="0"/>
              <w:rPr>
                <w:sz w:val="20"/>
                <w:szCs w:val="20"/>
                <w:color w:val="auto"/>
              </w:rPr>
            </w:pPr>
            <w:r>
              <w:rPr>
                <w:rFonts w:ascii="Arial" w:cs="Arial" w:eastAsia="Arial" w:hAnsi="Arial"/>
                <w:sz w:val="18"/>
                <w:szCs w:val="18"/>
                <w:color w:val="auto"/>
              </w:rPr>
              <w:t>Total cost of products</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28,072</w:t>
            </w: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43,737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82,873</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95,672</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106,245</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14,563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16,846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35,352</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31,141</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3,823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7,002</w:t>
            </w:r>
          </w:p>
        </w:tc>
        <w:tc>
          <w:tcPr>
            <w:tcW w:w="0" w:type="dxa"/>
            <w:vAlign w:val="bottom"/>
          </w:tcPr>
          <w:p>
            <w:pPr>
              <w:spacing w:after="0"/>
              <w:rPr>
                <w:sz w:val="1"/>
                <w:szCs w:val="1"/>
                <w:color w:val="auto"/>
              </w:rPr>
            </w:pPr>
          </w:p>
        </w:tc>
      </w:tr>
      <w:tr>
        <w:trPr>
          <w:trHeight w:val="210"/>
        </w:trPr>
        <w:tc>
          <w:tcPr>
            <w:tcW w:w="8580" w:type="dxa"/>
            <w:vAlign w:val="bottom"/>
          </w:tcPr>
          <w:p>
            <w:pPr>
              <w:ind w:left="360"/>
              <w:spacing w:after="0"/>
              <w:rPr>
                <w:sz w:val="20"/>
                <w:szCs w:val="20"/>
                <w:color w:val="auto"/>
              </w:rPr>
            </w:pPr>
            <w:r>
              <w:rPr>
                <w:rFonts w:ascii="Arial" w:cs="Arial" w:eastAsia="Arial" w:hAnsi="Arial"/>
                <w:sz w:val="18"/>
                <w:szCs w:val="18"/>
                <w:color w:val="auto"/>
              </w:rPr>
              <w:t>Total operating costs</w:t>
            </w: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221,219</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(61,413)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57,750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provision (benefit) for income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(67,528)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53,694</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(23,984)</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(43,544)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42,443</w:t>
            </w:r>
          </w:p>
        </w:tc>
        <w:tc>
          <w:tcPr>
            <w:tcW w:w="0" w:type="dxa"/>
            <w:vAlign w:val="bottom"/>
          </w:tcPr>
          <w:p>
            <w:pPr>
              <w:spacing w:after="0"/>
              <w:rPr>
                <w:sz w:val="1"/>
                <w:szCs w:val="1"/>
                <w:color w:val="auto"/>
              </w:rPr>
            </w:pPr>
          </w:p>
        </w:tc>
      </w:tr>
      <w:tr>
        <w:trPr>
          <w:trHeight w:val="209"/>
        </w:trPr>
        <w:tc>
          <w:tcPr>
            <w:tcW w:w="8580" w:type="dxa"/>
            <w:vAlign w:val="bottom"/>
          </w:tcPr>
          <w:p>
            <w:pPr>
              <w:spacing w:after="0"/>
              <w:rPr>
                <w:sz w:val="20"/>
                <w:szCs w:val="20"/>
                <w:color w:val="auto"/>
              </w:rPr>
            </w:pPr>
            <w:r>
              <w:rPr>
                <w:rFonts w:ascii="Arial" w:cs="Arial" w:eastAsia="Arial" w:hAnsi="Arial"/>
                <w:sz w:val="18"/>
                <w:szCs w:val="18"/>
                <w:color w:val="auto"/>
              </w:rPr>
              <w:t>Unrealized foreign currency translation loss</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of derivatives, net of tax</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(4,949)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09"/>
        </w:trPr>
        <w:tc>
          <w:tcPr>
            <w:tcW w:w="8580" w:type="dxa"/>
            <w:vAlign w:val="bottom"/>
          </w:tcPr>
          <w:p>
            <w:pPr>
              <w:ind w:left="360"/>
              <w:spacing w:after="0"/>
              <w:rPr>
                <w:sz w:val="20"/>
                <w:szCs w:val="20"/>
                <w:color w:val="auto"/>
              </w:rPr>
            </w:pPr>
            <w:r>
              <w:rPr>
                <w:rFonts w:ascii="Arial" w:cs="Arial" w:eastAsia="Arial" w:hAnsi="Arial"/>
                <w:sz w:val="18"/>
                <w:szCs w:val="18"/>
                <w:color w:val="auto"/>
              </w:rPr>
              <w:t>Total other comprehensive loss</w:t>
            </w: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(5,384)</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comprehensive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(48,928)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39,718</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per share calculations: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31,829,985</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36,827,665</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31,829,985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37,591,944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260"/>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 OF STOCKHOLDERS’ EQUITY (UNAUDITED) </w:t>
      </w:r>
      <w:r>
        <w:rPr>
          <w:rFonts w:ascii="Arial" w:cs="Arial" w:eastAsia="Arial" w:hAnsi="Arial"/>
          <w:sz w:val="18"/>
          <w:szCs w:val="18"/>
          <w:color w:val="auto"/>
        </w:rPr>
        <w:t>(in thousands, except share amounts)</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5"/>
              </w:rPr>
              <w:t>Thirteen Weeks Ended May 3, 2020</w:t>
            </w: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jc w:val="center"/>
              <w:ind w:right="101"/>
              <w:spacing w:after="0" w:line="119" w:lineRule="exact"/>
              <w:rPr>
                <w:sz w:val="20"/>
                <w:szCs w:val="20"/>
                <w:color w:val="auto"/>
              </w:rPr>
            </w:pPr>
            <w:r>
              <w:rPr>
                <w:rFonts w:ascii="Arial" w:cs="Arial" w:eastAsia="Arial" w:hAnsi="Arial"/>
                <w:sz w:val="13"/>
                <w:szCs w:val="13"/>
                <w:b w:val="1"/>
                <w:bCs w:val="1"/>
                <w:color w:val="auto"/>
              </w:rPr>
              <w:t>Accumulated</w:t>
            </w: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Paid-In</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341"/>
              <w:spacing w:after="0" w:line="149" w:lineRule="exact"/>
              <w:rPr>
                <w:sz w:val="20"/>
                <w:szCs w:val="20"/>
                <w:color w:val="auto"/>
              </w:rPr>
            </w:pPr>
            <w:r>
              <w:rPr>
                <w:rFonts w:ascii="Arial" w:cs="Arial" w:eastAsia="Arial" w:hAnsi="Arial"/>
                <w:sz w:val="14"/>
                <w:szCs w:val="14"/>
                <w:b w:val="1"/>
                <w:bCs w:val="1"/>
                <w:color w:val="auto"/>
              </w:rPr>
              <w:t>Other</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58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Treasury Stock At Cost</w:t>
            </w:r>
          </w:p>
        </w:tc>
        <w:tc>
          <w:tcPr>
            <w:tcW w:w="1160" w:type="dxa"/>
            <w:vAlign w:val="bottom"/>
            <w:gridSpan w:val="3"/>
          </w:tcPr>
          <w:p>
            <w:pPr>
              <w:jc w:val="center"/>
              <w:ind w:right="101"/>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20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361"/>
              <w:spacing w:after="0"/>
              <w:rPr>
                <w:sz w:val="20"/>
                <w:szCs w:val="20"/>
                <w:color w:val="auto"/>
              </w:rPr>
            </w:pPr>
            <w:r>
              <w:rPr>
                <w:rFonts w:ascii="Arial" w:cs="Arial" w:eastAsia="Arial" w:hAnsi="Arial"/>
                <w:sz w:val="14"/>
                <w:szCs w:val="14"/>
                <w:b w:val="1"/>
                <w:bCs w:val="1"/>
                <w:color w:val="auto"/>
                <w:w w:val="85"/>
              </w:rPr>
              <w:t>Loss</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8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Amt.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Amt.</w:t>
            </w: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February 2, 2020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43,386,852</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$ 434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$ 339,161</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12,783,512</w:t>
            </w: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1"/>
              </w:rPr>
              <w:t>$ (595,041)</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(8,369)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$ 433,465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$ 169,650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Net income (loss)</w:t>
            </w: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(43,544)</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(43,544)</w:t>
            </w: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foreign currency translation</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(435)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Unrealized loss of derivatives, net of tax</w:t>
            </w: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(4,949)</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(389)</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6,191,499</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62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72,276</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72,338</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3,112</w:t>
            </w: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May 3,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49,578,351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$ 411,048</w:t>
            </w:r>
          </w:p>
        </w:tc>
        <w:tc>
          <w:tcPr>
            <w:tcW w:w="2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12,786,624</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(595,077</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(13,753</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$ 389,921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$ 192,635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5"/>
              </w:rPr>
              <w:t>Thirteen Weeks Ended May 5, 2019</w:t>
            </w: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jc w:val="center"/>
              <w:ind w:right="101"/>
              <w:spacing w:after="0" w:line="119" w:lineRule="exact"/>
              <w:rPr>
                <w:sz w:val="20"/>
                <w:szCs w:val="20"/>
                <w:color w:val="auto"/>
              </w:rPr>
            </w:pPr>
            <w:r>
              <w:rPr>
                <w:rFonts w:ascii="Arial" w:cs="Arial" w:eastAsia="Arial" w:hAnsi="Arial"/>
                <w:sz w:val="13"/>
                <w:szCs w:val="13"/>
                <w:b w:val="1"/>
                <w:bCs w:val="1"/>
                <w:color w:val="auto"/>
              </w:rPr>
              <w:t>Accumulated</w:t>
            </w: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Paid-In</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341"/>
              <w:spacing w:after="0" w:line="149" w:lineRule="exact"/>
              <w:rPr>
                <w:sz w:val="20"/>
                <w:szCs w:val="20"/>
                <w:color w:val="auto"/>
              </w:rPr>
            </w:pPr>
            <w:r>
              <w:rPr>
                <w:rFonts w:ascii="Arial" w:cs="Arial" w:eastAsia="Arial" w:hAnsi="Arial"/>
                <w:sz w:val="14"/>
                <w:szCs w:val="14"/>
                <w:b w:val="1"/>
                <w:bCs w:val="1"/>
                <w:color w:val="auto"/>
              </w:rPr>
              <w:t>Other</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58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Treasury Stock At Cost</w:t>
            </w:r>
          </w:p>
        </w:tc>
        <w:tc>
          <w:tcPr>
            <w:tcW w:w="1160" w:type="dxa"/>
            <w:vAlign w:val="bottom"/>
            <w:gridSpan w:val="3"/>
          </w:tcPr>
          <w:p>
            <w:pPr>
              <w:jc w:val="center"/>
              <w:ind w:right="101"/>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20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361"/>
              <w:spacing w:after="0"/>
              <w:rPr>
                <w:sz w:val="20"/>
                <w:szCs w:val="20"/>
                <w:color w:val="auto"/>
              </w:rPr>
            </w:pPr>
            <w:r>
              <w:rPr>
                <w:rFonts w:ascii="Arial" w:cs="Arial" w:eastAsia="Arial" w:hAnsi="Arial"/>
                <w:sz w:val="14"/>
                <w:szCs w:val="14"/>
                <w:b w:val="1"/>
                <w:bCs w:val="1"/>
                <w:color w:val="auto"/>
                <w:w w:val="85"/>
              </w:rPr>
              <w:t>Loss</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8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Amt.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Amt.</w:t>
            </w: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February 3, 2019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43,177,476</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$ 432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$ 331,255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5,655,391</w:t>
            </w: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1"/>
              </w:rPr>
              <w:t>$ (297,129)</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$ 353,962</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$ 387,837</w:t>
            </w:r>
          </w:p>
        </w:tc>
        <w:tc>
          <w:tcPr>
            <w:tcW w:w="0" w:type="dxa"/>
            <w:vAlign w:val="bottom"/>
          </w:tcPr>
          <w:p>
            <w:pPr>
              <w:spacing w:after="0"/>
              <w:rPr>
                <w:sz w:val="1"/>
                <w:szCs w:val="1"/>
                <w:color w:val="auto"/>
              </w:rPr>
            </w:pP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w w:val="96"/>
              </w:rPr>
              <w:t>Cumulative effect of a change in accounting</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80"/>
              <w:spacing w:after="0"/>
              <w:rPr>
                <w:sz w:val="20"/>
                <w:szCs w:val="20"/>
                <w:color w:val="auto"/>
              </w:rPr>
            </w:pPr>
            <w:r>
              <w:rPr>
                <w:rFonts w:ascii="Arial" w:cs="Arial" w:eastAsia="Arial" w:hAnsi="Arial"/>
                <w:sz w:val="18"/>
                <w:szCs w:val="18"/>
                <w:color w:val="auto"/>
              </w:rPr>
              <w:t>principle, net of tax</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42,443</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42,443</w:t>
            </w:r>
          </w:p>
        </w:tc>
        <w:tc>
          <w:tcPr>
            <w:tcW w:w="0" w:type="dxa"/>
            <w:vAlign w:val="bottom"/>
          </w:tcPr>
          <w:p>
            <w:pPr>
              <w:spacing w:after="0"/>
              <w:rPr>
                <w:sz w:val="1"/>
                <w:szCs w:val="1"/>
                <w:color w:val="auto"/>
              </w:rPr>
            </w:pP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rPr>
              <w:t>Unrealized foreign currency translation</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80"/>
              <w:spacing w:after="0"/>
              <w:rPr>
                <w:sz w:val="20"/>
                <w:szCs w:val="20"/>
                <w:color w:val="auto"/>
              </w:rPr>
            </w:pPr>
            <w:r>
              <w:rPr>
                <w:rFonts w:ascii="Arial" w:cs="Arial" w:eastAsia="Arial" w:hAnsi="Arial"/>
                <w:sz w:val="18"/>
                <w:szCs w:val="18"/>
                <w:color w:val="auto"/>
              </w:rPr>
              <w:t>loss</w:t>
            </w: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(191)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of derivatives, net of tax</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(2,534)</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1,825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145,573</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435</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1,302,900</w:t>
            </w: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(64,057)</w:t>
            </w:r>
          </w:p>
        </w:tc>
        <w:tc>
          <w:tcPr>
            <w:tcW w:w="240" w:type="dxa"/>
            <w:vAlign w:val="bottom"/>
          </w:tcPr>
          <w:p>
            <w:pPr>
              <w:spacing w:after="0"/>
              <w:rPr>
                <w:sz w:val="18"/>
                <w:szCs w:val="18"/>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(64,057)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($0.15 per share)</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(5,489)</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May 5,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43,323,049</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$ 333,515</w:t>
            </w:r>
          </w:p>
        </w:tc>
        <w:tc>
          <w:tcPr>
            <w:tcW w:w="2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6,958,291</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(361,186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(3,408)</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$ 390,771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$ 360,125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Thirteen Weeks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c>
          <w:tcPr>
            <w:tcW w:w="0" w:type="dxa"/>
            <w:vAlign w:val="bottom"/>
          </w:tcPr>
          <w:p>
            <w:pPr>
              <w:spacing w:after="0"/>
              <w:rPr>
                <w:sz w:val="1"/>
                <w:szCs w:val="1"/>
                <w:color w:val="auto"/>
              </w:rPr>
            </w:pPr>
          </w:p>
        </w:tc>
      </w:tr>
      <w:tr>
        <w:trPr>
          <w:trHeight w:val="148"/>
        </w:trPr>
        <w:tc>
          <w:tcPr>
            <w:tcW w:w="8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right"/>
              <w:ind w:right="88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5"/>
              </w:rPr>
              <w:t>May 3, 2020</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May 5, 2019</w:t>
            </w: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(43,544)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42,443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35,352</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31,141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Arial" w:cs="Arial" w:eastAsia="Arial" w:hAnsi="Arial"/>
                <w:sz w:val="18"/>
                <w:szCs w:val="18"/>
                <w:color w:val="auto"/>
              </w:rPr>
              <w:t>Impairment of long-lived assets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11,549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Arial" w:cs="Arial" w:eastAsia="Arial" w:hAnsi="Arial"/>
                <w:sz w:val="18"/>
                <w:szCs w:val="18"/>
                <w:color w:val="auto"/>
              </w:rPr>
              <w:t>Loss on disposal of fixed assets</w:t>
            </w:r>
          </w:p>
        </w:tc>
        <w:tc>
          <w:tcPr>
            <w:tcW w:w="100" w:type="dxa"/>
            <w:vAlign w:val="bottom"/>
          </w:tcPr>
          <w:p>
            <w:pPr>
              <w:spacing w:after="0"/>
              <w:rPr>
                <w:sz w:val="18"/>
                <w:szCs w:val="18"/>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(20,910)</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Arial" w:cs="Arial" w:eastAsia="Arial" w:hAnsi="Arial"/>
                <w:sz w:val="18"/>
                <w:szCs w:val="18"/>
                <w:color w:val="auto"/>
              </w:rPr>
              <w:t>Other assets and deferred charges</w:t>
            </w:r>
          </w:p>
        </w:tc>
        <w:tc>
          <w:tcPr>
            <w:tcW w:w="100" w:type="dxa"/>
            <w:vAlign w:val="bottom"/>
          </w:tcPr>
          <w:p>
            <w:pPr>
              <w:spacing w:after="0"/>
              <w:rPr>
                <w:sz w:val="18"/>
                <w:szCs w:val="18"/>
                <w:color w:val="auto"/>
              </w:rPr>
            </w:pP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21,441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11,647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9,218</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216"/>
        </w:trPr>
        <w:tc>
          <w:tcPr>
            <w:tcW w:w="840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1,359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16,817</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(55,168)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(67,247)</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Proceeds from sales of property and equipment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(55,150)</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debt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81,000</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Payments of debt</w:t>
            </w:r>
          </w:p>
        </w:tc>
        <w:tc>
          <w:tcPr>
            <w:tcW w:w="100" w:type="dxa"/>
            <w:vAlign w:val="bottom"/>
          </w:tcPr>
          <w:p>
            <w:pPr>
              <w:spacing w:after="0"/>
              <w:rPr>
                <w:sz w:val="18"/>
                <w:szCs w:val="18"/>
                <w:color w:val="auto"/>
              </w:rPr>
            </w:pP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(34,750)</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(31,750)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the issuance of common stock</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72,144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Proceeds from the exercise of stock options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 under share repurchase program</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(63,471)</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(4,891)</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Repurchases of common stock to satisfy employee withholding tax obligations</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0"/>
        </w:trPr>
        <w:tc>
          <w:tcPr>
            <w:tcW w:w="8400" w:type="dxa"/>
            <w:vAlign w:val="bottom"/>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170,511</w:t>
            </w:r>
          </w:p>
        </w:tc>
        <w:tc>
          <w:tcPr>
            <w:tcW w:w="600" w:type="dxa"/>
            <w:vAlign w:val="bottom"/>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132,178</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100" w:type="dxa"/>
            <w:vAlign w:val="bottom"/>
          </w:tcPr>
          <w:p>
            <w:pPr>
              <w:spacing w:after="0"/>
              <w:rPr>
                <w:sz w:val="18"/>
                <w:szCs w:val="18"/>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24,655</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21,585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156,833</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fixed asset 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(7,717)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Cash paid (refund received) for income taxes, net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 net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2560"/>
        <w:spacing w:after="0" w:line="26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thousands, except share and per share amounts)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accompanying unaudited consolidated financial statements include the accounts of Dave &amp; Buster’s Entertainment, Inc. (referred to herein as the “Company”, “we,” “us” and “our”), any predecessor companies and its wholly-owned subsidiaries, Dave &amp; Buster’s Holdings, Inc. (“D&amp;B Holdings”), which owns 100% of the outstanding common stock of Dave &amp; Busters, Inc. (“D&amp;B Inc”), the operating company. All intercompany balances and transactions have been eliminated in consolidation. The Company, headquartered in Dallas, Texas, is a leading operator of high-volume entertainment and dining venues (“stores”) in North America for adults and families under the name “Dave &amp; Buster’s”. The Company operates its business as one operating and one reportable segment. As of May 3, 2020, we owned and operated 137 stores located in 39 states, Puerto Rico and one Canadian province. During the first quarter of fiscal 2020, we opened one store in Chattanooga, Tennessee, on March 16, 2020.</w:t>
      </w:r>
    </w:p>
    <w:p>
      <w:pPr>
        <w:spacing w:after="0" w:line="166"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The Company operates on a 52 or 53-week fiscal year that ends on the Sunday after the Saturday closest to January 31. Each quarterly period reported has 13 weeks. Fiscal 2020 and 2019, which end on January 31, 2021 and February 2, 2020, respectively, contain 52 weeks.</w:t>
      </w:r>
    </w:p>
    <w:p>
      <w:pPr>
        <w:spacing w:after="0" w:line="124"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The Company’s financial statements have been prepared in accordance with generally accepted accounting principles (“GAAP”)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Our quarterly financial data should be read in conjunction with the audited financial statements and notes thereto for the year ended February 2, 2020, included in our Annual Report on Form 10-K as filed with the SEC.</w:t>
      </w:r>
    </w:p>
    <w:p>
      <w:pPr>
        <w:spacing w:after="0" w:line="17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Going concern </w:t>
      </w:r>
      <w:r>
        <w:rPr>
          <w:rFonts w:ascii="Arial" w:cs="Arial" w:eastAsia="Arial" w:hAnsi="Arial"/>
          <w:sz w:val="16"/>
          <w:szCs w:val="16"/>
          <w:color w:val="auto"/>
        </w:rPr>
        <w:t>— During the period from March 14, 2020 to March 20, 2020, the Company closed 100% of its 137 operating stores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compliance with guidance and orders issued by federal, state and local governments to combat the spread of the COVID-19 pandemic. The extent of impact of these conditions will be based in part on the duration of the store closures or re-opening of stores at full capacity and the timing and extent of customers re-engaging with the brand. Almost all our stores remained closed for the duration of the of the first quarter. On April 30, 2020 one store opened to the public with limited food and beverage offerings. Two additional stores offered limited food and beverage for off-premises dining. During the period subsequent to the end of our first quarter through June 4, 2020, we have progressively reopened limited operations in an additional 27 stores resulting in a total of 28 stores operating in 12 states. Our remaining stores are closed. The Company is unable to determine whether, when or the manner in which the conditions surrounding the COVID-19 pandemic will change, including when any restrictions or closure requirements will be lifted or potentially re-imposed in certain states or local jurisdictions, whether it will be able to successfully staff stores, and the degree to which it will be able to re-engage customers. These developments have caused a material adverse impact on the Company’s revenues, results of operations and cash flows, including the Company’s ability to meet its obligations when due. These conditions raise substantial doubt about the Company’s ability to continue as a going concern for a period of one year from the date the financial statements are issued.</w:t>
      </w:r>
    </w:p>
    <w:p>
      <w:pPr>
        <w:spacing w:after="0" w:line="168"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Company has taken several immediate steps to reduce operating costs and to conserve cash. The Company furloughed nearly all of its workforce, except a small team of essential personnel and reduced pay and benefits for the remaining employees. On March 18, 2020, the Company borrowed substantially all the remaining availability under its revolving credit facility, and the Company continues to actively manage its daily cash flows. Additionally, the Company is in ongoing discussions with landlords and other vendors to discuss relief from cash payments during this period, which have been moderately successful to date. On April 14, 2020, the Company sold $75,000 of our common stock, and subsequent to the end of our first quarter, the Company sold an additional $110,600 of our common stock.</w:t>
      </w:r>
    </w:p>
    <w:p>
      <w:pPr>
        <w:spacing w:after="0" w:line="17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Effective April 14, 2020, the Company negotiated an amendment to its existing credit facility, which included relief from compliance with financial covenants for the periods ended May 3, 2020, August 2, 2020 and November 1, 2020. During the financial covenant suspension period, the Company is required to maintain a minimum liquidity amount of $30,000. If the Company is not in compliance with financial covenants after the suspension period or some other event of default arises, the Company’s lenders could instruct the administrative agent under the existing credit facility to exercise remedies including declaring the principal of and accrued interest on all outstanding indebtedness due and payable, terminating all remaining commitments and obligations under the revolving credit facility and requiring the posting of cash collateral in respect of 103% of the outstanding letters of credit under the revolving credit facility. Additionally, the full amount due under the interest rate swap agreements would become due. Although the lenders under the existing credit facility may waive the default or forebear the exercise of remedies, they are not obligated to do so. Failure to obtain additional waivers would have a material adverse effect on the Company’s liquidity, financial condition and results of operations and may result in filing a voluntary petition for relief under Chapter 11 of the United States Bankruptcy Code to implement a restructuring plan.</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86"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consolidated financial statements have been prepared assuming the Company will continue as a going concern.</w:t>
      </w:r>
    </w:p>
    <w:p>
      <w:pPr>
        <w:spacing w:after="0" w:line="225"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The preparation of consolidated financial statements in conformity with GAAP requires us to make estimates and assumptions that affect the reported amounts of assets, liabilities, revenues and expenses and related disclosures of contingent assets and liabilities at the date of the consolidated financial statements and for the period then ended. Actual results could differ from those estimates. Operating results for the thirteen weeks ended May 3, 2020 are not necessarily indicative of results that may be expected for any other interim period or for the fiscal year ending January 31, 2021.</w:t>
      </w:r>
    </w:p>
    <w:p>
      <w:pPr>
        <w:spacing w:after="0" w:line="15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 We consider transaction settlements in process from credit card companies and all highly-liquid investments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creates book overdrafts. There was no book overdraft as of May 3, 2020. A book overdraft of $14,026 is presented in “Accounts payable” in the Consolidated Balance Sheets as of February 2, 2020. Changes in the book overdraft position are presented within “Net cash provided by operating activities” within the Consolidated Statements of Cash Flows.</w:t>
      </w:r>
    </w:p>
    <w:p>
      <w:pPr>
        <w:spacing w:after="0" w:line="192"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 Fair value is defined as the price that would be received to sell an asset or paid to transfer a liability 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orderly transaction between market participants at the measurement date under current market conditions. In determining fair value, the accounting standards establish a three-level hierarchy for inputs used in measuring fair value as follows: Level One inputs are quoted prices available for identical assets or liabilities in active markets; Level Two inputs are observable for the asset or liability, either directly or indirectly, including quoted prices for similar assets or liabilities in active markets; and Level Three inputs are unobservable and reflect management’s own assumptions.</w:t>
      </w:r>
    </w:p>
    <w:p>
      <w:pPr>
        <w:spacing w:after="0" w:line="16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carrying amounts of cash and cash equivalents, accounts and notes receivable, accounts payable, and other current liabilities approximate fair value because of their short-term nature. We believe that the carrying amount of our credit facility approximates its fair value because the interest rates reflect current market conditions. The fair value of the Company’s credit facility was determined to be a Level Two instrument as defined by GAAP. The fair value of the Company’s interest rate swap is determined based upon Level Two inputs which includes valuation models as reported by our counterparties. These valuation models are based on the present value of expected cash flows using forward rate curves.</w:t>
      </w:r>
    </w:p>
    <w:p>
      <w:pPr>
        <w:spacing w:after="0" w:line="16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Non-financial assets and liabilities recognized or disclosed at fair value in the consolidated financial statements on a nonrecurring basis include such items as property and equipment, right-of-use (“ROU”) assets, goodwill, tradenames and other assets. These assets are measured at fair value when they are evaluated for impairment.</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disruption in operations and reduction in revenues have led the Company to consider the impact of the COVID-19 pandemic on the recoverability of its property and equipment and ROU assets for operating leases. The Company recorded an impairment charge for its long-lived assets, including ROU assets, of $6,746 for the thirteen weeks ended May 3, 2020, primarily driven by the expected impact of the COVID-19 pandemic on future cash flows of specific stores. The Company has determined no events and circumstances existed during the first quarter of fiscal 2020 that would indicate it is more likely than not that its goodwill or tradename are impaired. The ultimate severity and longevity of the COVID-19 pandemic is unknown, and therefore, it is possible that impairments could be identified in future periods, and such amounts could be material.</w:t>
      </w:r>
    </w:p>
    <w:p>
      <w:pPr>
        <w:spacing w:after="0" w:line="16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To preserve cash flow, we have halted or delayed construction on 7 store locations under operating leases for which we have taken possession. Additionally, the Company has begun discussions to terminate or delay possession on several executed lease contracts that have not yet commenced. The Company is also curtailing several potential new store projects that were in the early stage of development. During the thirteen weeks ended May 3, 2020, we recorded an impairment loss and related contract termination costs of $4,803 related to these abandoned projects, which is included in “Other store operating expenses” in the Consolidated Statements of Comprehensive Income (Loss).</w:t>
      </w:r>
    </w:p>
    <w:p>
      <w:pPr>
        <w:spacing w:after="0" w:line="1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Interest rate swaps </w:t>
      </w:r>
      <w:r>
        <w:rPr>
          <w:rFonts w:ascii="Arial" w:cs="Arial" w:eastAsia="Arial" w:hAnsi="Arial"/>
          <w:sz w:val="18"/>
          <w:szCs w:val="18"/>
          <w:color w:val="auto"/>
        </w:rPr>
        <w:t>— The Company entered into three interest rate swap agreements to manage our exposure to interest rate movements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variable rate credit facility. The agreements entitle the Company to receive at specified intervals, a variable rate of interest based on one-month LIBOR in exchange for the payment of a fixed rate of interest throughout the life of the agreements. The notional amount of the swap agreements total $350,000 and the fixed rate of interest for all agreements is 2.47%. The agreements became effective on February 28, 2019 and mature on August 17, 2022, which is the maturity date of our credit facility.</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Company initially designated its interest rate swap agreements as a cash flow hedge and accounted for the underlying activity in accordance with hedge accounting. Effective April 14, 2020, the Company amended its existing credit facility agreement to obtain relief from its financial covenants, and as a result, the variable interest rate terms were modified to create an interest rate floor of 1.00%. Accordingly, and as a result of the current forward interest rate curve, the Company discontinued the hedging relationship as of April 14, 2020 (de-designation date). Given the continued existence of the hedged interest payments, the Company will reclassify its accumulated other comprehensive balance of $17,609 into “Interest expense, net” using a straight-line approach over the remaining life of the originally designated hedging relationship. For the thirteen weeks ended May 3, 2020, the amount of pre-tax losses in accumulated other comprehensive loss that was reclassified into interest expense was $314, and the Company expects to reclassify $7,547 within the next twelve months. Effective with the de-designation, any gain or loss on the derivatives are recognized</w:t>
      </w:r>
    </w:p>
    <w:p>
      <w:pPr>
        <w:spacing w:after="0" w:line="1"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in earnings in the period in which the change occurs. For the thirteen weeks ended May 3, 2020, a loss of $820 was recognized, which is included in “Other store operating expenses” in the Consolidated Statements of Comprehensive Income (Loss).</w:t>
      </w:r>
    </w:p>
    <w:p>
      <w:pPr>
        <w:spacing w:after="0" w:line="18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Prior to the de-designation, changes in the fair values of the interest rate swaps were recorded as a component of other comprehensive loss until the interest payments being hedged were recorded as interest expense, at which time the amounts in accumulated other comprehensive loss were reclassified as an adjustment to interest expense. Cash flows related to the interest rate swaps were included as component of interest expense and in operating activities.</w:t>
      </w:r>
    </w:p>
    <w:p>
      <w:pPr>
        <w:spacing w:after="0" w:line="18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Credit risk related to the failure of the our counterparties to perform under the terms of the swap agreements is minimized by entering into transactions with carefully selected, credit-worthy parties and the fact that the swap contracts are distributed among several financial institutions to reduce the concentration of credit risk. Our swap agreements with our derivative counterparties contain a provision where if the Company defaults on any of its indebtedness, and repayment of the indebtedness has been accelerated, the Company could also be declared in default on its derivative obligations.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derivative instruments were outstanding as of the end of the periods indicated:</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940" w:type="dxa"/>
            <w:vAlign w:val="bottom"/>
            <w:gridSpan w:val="2"/>
            <w:vMerge w:val="restart"/>
          </w:tcPr>
          <w:p>
            <w:pPr>
              <w:ind w:left="1480"/>
              <w:spacing w:after="0"/>
              <w:rPr>
                <w:sz w:val="20"/>
                <w:szCs w:val="20"/>
                <w:color w:val="auto"/>
              </w:rPr>
            </w:pPr>
            <w:r>
              <w:rPr>
                <w:rFonts w:ascii="Arial" w:cs="Arial" w:eastAsia="Arial" w:hAnsi="Arial"/>
                <w:sz w:val="14"/>
                <w:szCs w:val="14"/>
                <w:b w:val="1"/>
                <w:bCs w:val="1"/>
                <w:color w:val="auto"/>
                <w:w w:val="91"/>
              </w:rPr>
              <w:t>Balance Sheet Location</w:t>
            </w: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9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May 3, 2020</w:t>
            </w:r>
          </w:p>
        </w:tc>
        <w:tc>
          <w:tcPr>
            <w:tcW w:w="1540" w:type="dxa"/>
            <w:vAlign w:val="bottom"/>
            <w:gridSpan w:val="3"/>
          </w:tcPr>
          <w:p>
            <w:pPr>
              <w:ind w:left="480"/>
              <w:spacing w:after="0" w:line="142" w:lineRule="exact"/>
              <w:rPr>
                <w:sz w:val="20"/>
                <w:szCs w:val="20"/>
                <w:color w:val="auto"/>
              </w:rPr>
            </w:pPr>
            <w:r>
              <w:rPr>
                <w:rFonts w:ascii="Arial" w:cs="Arial" w:eastAsia="Arial" w:hAnsi="Arial"/>
                <w:sz w:val="14"/>
                <w:szCs w:val="14"/>
                <w:b w:val="1"/>
                <w:bCs w:val="1"/>
                <w:color w:val="auto"/>
                <w:w w:val="94"/>
              </w:rPr>
              <w:t>February 2, 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5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Accrued liabilities</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(7,920)</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Interest rate swaps</w:t>
            </w:r>
          </w:p>
        </w:tc>
        <w:tc>
          <w:tcPr>
            <w:tcW w:w="15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Other liabilities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(10,016)</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(6,967)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derivatives (1)</w:t>
            </w:r>
          </w:p>
        </w:tc>
        <w:tc>
          <w:tcPr>
            <w:tcW w:w="1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(17,936)</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1380" w:hanging="444"/>
        <w:spacing w:after="0" w:line="446" w:lineRule="auto"/>
        <w:tabs>
          <w:tab w:leader="none" w:pos="552" w:val="left"/>
        </w:tabs>
        <w:numPr>
          <w:ilvl w:val="0"/>
          <w:numId w:val="3"/>
        </w:numPr>
        <w:rPr>
          <w:rFonts w:ascii="Arial" w:cs="Arial" w:eastAsia="Arial" w:hAnsi="Arial"/>
          <w:sz w:val="24"/>
          <w:szCs w:val="24"/>
          <w:color w:val="auto"/>
          <w:vertAlign w:val="superscript"/>
        </w:rPr>
      </w:pPr>
      <w:r>
        <w:rPr>
          <w:rFonts w:ascii="Arial" w:cs="Arial" w:eastAsia="Arial" w:hAnsi="Arial"/>
          <w:sz w:val="16"/>
          <w:szCs w:val="16"/>
          <w:color w:val="auto"/>
        </w:rPr>
        <w:t>The balance at May 3, 2020 relates to our swap agreements after hedge accounting was discontinued, effective April 14, 2020. The following table summarizes the activity in accumulated other comprehensive loss related to our derivative instruments:</w:t>
      </w:r>
    </w:p>
    <w:tbl>
      <w:tblPr>
        <w:tblLayout w:type="fixed"/>
        <w:tblInd w:w="1440" w:type="dxa"/>
        <w:tblCellMar>
          <w:top w:w="0" w:type="dxa"/>
          <w:left w:w="0" w:type="dxa"/>
          <w:bottom w:w="0" w:type="dxa"/>
          <w:right w:w="0" w:type="dxa"/>
        </w:tblCellMar>
      </w:tblPr>
      <w:tr>
        <w:trPr>
          <w:trHeight w:val="149"/>
        </w:trPr>
        <w:tc>
          <w:tcPr>
            <w:tcW w:w="5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7"/>
              </w:rPr>
              <w:t>Thirteen</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Thirteen</w:t>
            </w:r>
          </w:p>
        </w:tc>
      </w:tr>
      <w:tr>
        <w:trPr>
          <w:trHeight w:val="148"/>
        </w:trPr>
        <w:tc>
          <w:tcPr>
            <w:tcW w:w="5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Weeks Ended</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Weeks Ended</w:t>
            </w:r>
          </w:p>
        </w:tc>
      </w:tr>
      <w:tr>
        <w:trPr>
          <w:trHeight w:val="171"/>
        </w:trPr>
        <w:tc>
          <w:tcPr>
            <w:tcW w:w="5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May 3, 2020</w:t>
            </w:r>
          </w:p>
        </w:tc>
        <w:tc>
          <w:tcPr>
            <w:tcW w:w="680" w:type="dxa"/>
            <w:vAlign w:val="bottom"/>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May 5, 2019</w:t>
            </w:r>
          </w:p>
        </w:tc>
        <w:tc>
          <w:tcPr>
            <w:tcW w:w="80" w:type="dxa"/>
            <w:vAlign w:val="bottom"/>
          </w:tcPr>
          <w:p>
            <w:pPr>
              <w:spacing w:after="0"/>
              <w:rPr>
                <w:sz w:val="14"/>
                <w:szCs w:val="14"/>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8"/>
              </w:rPr>
              <w:t>Amount of loss recorded in accumulated other comprehensive income</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7,603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Amount of loss (gain) reclassified into income (1)</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tax benefit of interest rate swaps in accumulated other</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w:t>
            </w:r>
          </w:p>
        </w:tc>
      </w:tr>
    </w:tbl>
    <w:p>
      <w:pPr>
        <w:spacing w:after="0" w:line="133" w:lineRule="exact"/>
        <w:rPr>
          <w:sz w:val="20"/>
          <w:szCs w:val="20"/>
          <w:color w:val="auto"/>
        </w:rPr>
      </w:pPr>
    </w:p>
    <w:p>
      <w:pPr>
        <w:ind w:left="540" w:hanging="424"/>
        <w:spacing w:after="0"/>
        <w:tabs>
          <w:tab w:leader="none" w:pos="540" w:val="left"/>
        </w:tabs>
        <w:numPr>
          <w:ilvl w:val="0"/>
          <w:numId w:val="4"/>
        </w:numPr>
        <w:rPr>
          <w:rFonts w:ascii="Arial" w:cs="Arial" w:eastAsia="Arial" w:hAnsi="Arial"/>
          <w:sz w:val="26"/>
          <w:szCs w:val="26"/>
          <w:color w:val="auto"/>
          <w:vertAlign w:val="superscript"/>
        </w:rPr>
      </w:pPr>
      <w:r>
        <w:rPr>
          <w:rFonts w:ascii="Arial" w:cs="Arial" w:eastAsia="Arial" w:hAnsi="Arial"/>
          <w:sz w:val="17"/>
          <w:szCs w:val="17"/>
          <w:color w:val="auto"/>
        </w:rPr>
        <w:t>Amounts reclassified into income are included in “Interest expense, net” in the Consolidated Statements of Comprehensive Income (Loss).</w:t>
      </w:r>
    </w:p>
    <w:p>
      <w:pPr>
        <w:spacing w:after="0" w:line="20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Amusement revenues are primarily recognized upon utilization of game play credits on power cards purchased and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customers to activate video and redemption games. Redemption games allow customers to earn tickets, which may be redeemed for prizes in our WIN! area. We have deferred a portion of amusement revenues for the estimated unfulfilled performance obligations based on an estimated rate of future use by customers of unused game play credits and the material right provided to customers to redeem tickets in the future for prizes. During the thirteen weeks ended May 3, 2020, we recognized revenue of approximately $9,600, related to the amount in deferred amusement revenue as of the end of fiscal 2019.</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jurisdictions where we do not have a legal obligation to remit unredeemed gift card balances to a legal authority, we recognize revenue on unredeemed gift cards in proportion to the pattern of redemption by the customers. During the thirteen weeks ended May 3, 2020, we recognized revenue of approximately $1,300, related to the amount in deferred gift card revenue as of the end of fiscal 2019, of which approximately $170 was gift card breakage revenue.</w:t>
      </w:r>
    </w:p>
    <w:p>
      <w:pPr>
        <w:spacing w:after="0" w:line="1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86"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b w:val="1"/>
          <w:bCs w:val="1"/>
          <w:i w:val="1"/>
          <w:iCs w:val="1"/>
          <w:color w:val="auto"/>
        </w:rPr>
        <w:t xml:space="preserve">Stockholders’ equity </w:t>
      </w:r>
      <w:r>
        <w:rPr>
          <w:rFonts w:ascii="Arial" w:cs="Arial" w:eastAsia="Arial" w:hAnsi="Arial"/>
          <w:sz w:val="16"/>
          <w:szCs w:val="16"/>
          <w:color w:val="auto"/>
        </w:rPr>
        <w:t>— Our Board of Directors has approved a share repurchase program under which the Company may repurchase shares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open market, through privately negotiated transactions and through trading plans. The total share repurchase authorization is $800,000 and the share repurchase authorization expires at the end of fiscal 2020. During the thirteen-week period ended May 3, 2020, the Company indefinitely suspended all share repurchase activity. As of May 3, 2020, we have approximately $172,820 of share repurchase authorization remaining under the current plan.</w:t>
      </w:r>
    </w:p>
    <w:p>
      <w:pPr>
        <w:spacing w:after="0" w:line="157" w:lineRule="exact"/>
        <w:rPr>
          <w:sz w:val="20"/>
          <w:szCs w:val="20"/>
          <w:color w:val="auto"/>
        </w:rPr>
      </w:pPr>
    </w:p>
    <w:p>
      <w:pPr>
        <w:jc w:val="both"/>
        <w:ind w:left="120" w:right="160" w:firstLine="440"/>
        <w:spacing w:after="0" w:line="273" w:lineRule="auto"/>
        <w:rPr>
          <w:sz w:val="20"/>
          <w:szCs w:val="20"/>
          <w:color w:val="auto"/>
        </w:rPr>
      </w:pPr>
      <w:r>
        <w:rPr>
          <w:rFonts w:ascii="Arial" w:cs="Arial" w:eastAsia="Arial" w:hAnsi="Arial"/>
          <w:sz w:val="17"/>
          <w:szCs w:val="17"/>
          <w:color w:val="auto"/>
        </w:rPr>
        <w:t>In our consolidated financial statements, the Company treats shares withheld for tax purposes on behalf of our employees in connection with the vesting of time-based and performance restricted stock units as common stock repurchases because they reduce the number of shares that would have been issued upon vesting. These withheld shares of common stock are not considered common stock repurchases under our authorized common stock repurchase plan. During the thirteen weeks ended May 3, 2020 and May 5, 2019, we withheld 3,112 and 11,336 shares of common stock to satisfy $36 and $586 of employees’ tax obligations, respectively. The share repurchase activity in the first quarter of fiscal year 2020 relates to the settlement of a $150 cash obligation through the issuance of 12,975 shares of common stock.</w:t>
      </w:r>
    </w:p>
    <w:p>
      <w:pPr>
        <w:spacing w:after="0" w:line="178"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Effective March 18, 2020, the Board of Directors of the Company adopted a 364-day duration Shareholder Rights Plan (the “Rights Plan”) and declared a dividend of one preferred share purchase right for each outstanding share of common stock to shareholders of record on March 30, 2020 to purchase from the Company one-ten thousandth of a share of Series A Junior Participating Preferred Stock, par value $0.01 per share, of the Company for an exercise price of $45.00 once the rights become exercisable, subject to adjustment as provided in the related rights agreement.</w:t>
      </w:r>
    </w:p>
    <w:p>
      <w:pPr>
        <w:spacing w:after="0" w:line="15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On April 14, 2020, pursuant to an open market sale agreement, the Company sold 6,149,936 shares of its common stock at a price of $12.20 per share, for proceeds of $75,000, prior to deducting offering expenses related to the offering. Subsequent to the end of our first quarter, on May 4, 2020, the Company entered into an underwriting agreement, pursuant to which it sold 9,578,545 shares of its common stock at a price of $10.44 per share. On May 18, 2020, the underwriter exercised its over-allotment option for an additional 1,014,871 shares at $10.44 per share. During the second quarter of fiscal 2020, the Company received proceeds of approximately $110,600 prior to deducting offering expenses related to the offering, including the over-allotment option.</w:t>
      </w:r>
    </w:p>
    <w:p>
      <w:pPr>
        <w:spacing w:after="0" w:line="192"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Recently adopted accounting guidance </w:t>
      </w:r>
      <w:r>
        <w:rPr>
          <w:rFonts w:ascii="Arial" w:cs="Arial" w:eastAsia="Arial" w:hAnsi="Arial"/>
          <w:sz w:val="18"/>
          <w:szCs w:val="18"/>
          <w:color w:val="auto"/>
        </w:rPr>
        <w:t>— In June 2016, the Financial Accounting Standards Board (“FASB”) issued ASU 2016-13</w:t>
      </w:r>
      <w:r>
        <w:rPr>
          <w:rFonts w:ascii="Arial" w:cs="Arial" w:eastAsia="Arial" w:hAnsi="Arial"/>
          <w:sz w:val="18"/>
          <w:szCs w:val="18"/>
          <w:i w:val="1"/>
          <w:iCs w:val="1"/>
          <w:color w:val="auto"/>
        </w:rPr>
        <w:t>,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Instruments – Credit Losses (Topic 326): Measurement of Credit Losses on Financial Instruments, </w:t>
      </w:r>
      <w:r>
        <w:rPr>
          <w:rFonts w:ascii="Arial" w:cs="Arial" w:eastAsia="Arial" w:hAnsi="Arial"/>
          <w:sz w:val="18"/>
          <w:szCs w:val="18"/>
          <w:color w:val="auto"/>
        </w:rPr>
        <w:t>which requires measurement and 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versus incurred losses for financial assets held. The guidance primarily relates to our credit card and tenant incentive receivables. The Company adopted this standard as of the beginning of fiscal year 2020, and the adoption did not have a material impact on our consolidated financial statements.</w:t>
      </w:r>
    </w:p>
    <w:p>
      <w:pPr>
        <w:spacing w:after="0" w:line="18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January 2017, the FASB issued ASU 2017-04</w:t>
      </w:r>
      <w:r>
        <w:rPr>
          <w:rFonts w:ascii="Arial" w:cs="Arial" w:eastAsia="Arial" w:hAnsi="Arial"/>
          <w:sz w:val="17"/>
          <w:szCs w:val="17"/>
          <w:i w:val="1"/>
          <w:iCs w:val="1"/>
          <w:color w:val="auto"/>
        </w:rPr>
        <w:t>, Intangibles – Goodwill and Other (Topic 350): Simplifying the Test for Goodwill Impairment,</w:t>
      </w:r>
      <w:r>
        <w:rPr>
          <w:rFonts w:ascii="Arial" w:cs="Arial" w:eastAsia="Arial" w:hAnsi="Arial"/>
          <w:sz w:val="17"/>
          <w:szCs w:val="17"/>
          <w:color w:val="auto"/>
        </w:rPr>
        <w:t xml:space="preserve"> which eliminates the requirement to calculate the implied fair value of goodwill if the fair value of a reporting unit is less than the carrying amount of the reporting unit. Instead, if the carrying amount of a reporting unit exceeds its fair value, an impairment loss will be recognized in an amount equal to that excess, limited to the total amount of goodwill allocated to that reporting unit. The Company adopted this standard as of the beginning of fiscal year 2020, and the adoption did not have a material impact on our consolidated financial statements.</w:t>
      </w:r>
    </w:p>
    <w:p>
      <w:pPr>
        <w:spacing w:after="0" w:line="176"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which eliminates, modifies and adds disclosure requirements for fair value measurements.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this standard as of the beginning of fiscal year 2020, and the adoption did not have a material impact on our consolidated financial statements.</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 In December 2019, the FASB issued ASU 2019-12,</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Income Taxes (Topic 740): Simplifying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which removes certain exceptions related to the approach for intraperiod tax allocations, the calculation of income taxes in</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periods, and the recognition of deferred taxes for taxable goodwill. The guidance is effective for fiscal years beginning after December 15, 2020 and for interim periods within those years, with early adoption permitted. The Company is currently assessing the impact of this new standard on our consolidated financial statements.</w:t>
      </w:r>
    </w:p>
    <w:p>
      <w:pPr>
        <w:spacing w:after="0" w:line="18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which provides temporary optional expedients and exceptions to the current guidance for contract modifications and hedging relationships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December 31, 2022, that reference LIBOR or another reference rate expected to be discontinued because of reference rate reform. A contract modification resulting from reference rate reform may be accounted for as a continuation of the existing contract rather than the creation of a new contract. Additionally, changes in the critical terms of hedging relationships, caused by reference rate reform, should not result in the de-designation of the instrument, provided certain criteria are met. As of the end of the first quarter of fiscal 2020, the Company’s exposure to LIBOR rates included its senior credit facility and swap agreements. The Company is currently evaluating the impact of this new standard on our consolidated financial statements.</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Accrued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liabilities consist of the following as of the end of each period:</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5"/>
              </w:rPr>
              <w:t>May 3, 2020</w:t>
            </w:r>
          </w:p>
        </w:tc>
        <w:tc>
          <w:tcPr>
            <w:tcW w:w="600" w:type="dxa"/>
            <w:vAlign w:val="bottom"/>
            <w:gridSpan w:val="2"/>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9"/>
              </w:rPr>
              <w:t>February 2, 2020</w:t>
            </w:r>
          </w:p>
        </w:tc>
      </w:tr>
      <w:tr>
        <w:trPr>
          <w:trHeight w:val="20"/>
        </w:trPr>
        <w:tc>
          <w:tcPr>
            <w:tcW w:w="5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Deferred amusement 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78,409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75,113</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Current portion of operating lease liabilities, net (1)</w:t>
            </w:r>
          </w:p>
        </w:tc>
        <w:tc>
          <w:tcPr>
            <w:tcW w:w="140" w:type="dxa"/>
            <w:vAlign w:val="bottom"/>
          </w:tcPr>
          <w:p>
            <w:pPr>
              <w:spacing w:after="0"/>
              <w:rPr>
                <w:sz w:val="18"/>
                <w:szCs w:val="18"/>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rPr>
              <w:t>59,732</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45,611</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Deferred gift card revenue</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10,796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11,253</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Rent payable (note 4)</w:t>
            </w:r>
          </w:p>
        </w:tc>
        <w:tc>
          <w:tcPr>
            <w:tcW w:w="140" w:type="dxa"/>
            <w:vAlign w:val="bottom"/>
          </w:tcPr>
          <w:p>
            <w:pPr>
              <w:spacing w:after="0"/>
              <w:rPr>
                <w:sz w:val="18"/>
                <w:szCs w:val="18"/>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rPr>
              <w:t>10,701</w:t>
            </w: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9,331</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23,421</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Property taxes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8,572</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7,226</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derivatives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7,920</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3,518</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Current portion of long-term insurance</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6,500</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6,500</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4,767</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4,442</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Customer deposits</w:t>
            </w:r>
          </w:p>
        </w:tc>
        <w:tc>
          <w:tcPr>
            <w:tcW w:w="140" w:type="dxa"/>
            <w:vAlign w:val="bottom"/>
          </w:tcPr>
          <w:p>
            <w:pPr>
              <w:spacing w:after="0"/>
              <w:rPr>
                <w:sz w:val="18"/>
                <w:szCs w:val="18"/>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rPr>
              <w:t>3,117</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4,324</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Inventory liabilities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1,937</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2,179</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Variable rent liabilities</w:t>
            </w:r>
          </w:p>
        </w:tc>
        <w:tc>
          <w:tcPr>
            <w:tcW w:w="140" w:type="dxa"/>
            <w:vAlign w:val="bottom"/>
          </w:tcPr>
          <w:p>
            <w:pPr>
              <w:spacing w:after="0"/>
              <w:rPr>
                <w:sz w:val="18"/>
                <w:szCs w:val="18"/>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rPr>
              <w:t>535</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1,331</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Sales and use taxes</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343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Dividend payable</w:t>
            </w:r>
          </w:p>
        </w:tc>
        <w:tc>
          <w:tcPr>
            <w:tcW w:w="140" w:type="dxa"/>
            <w:vAlign w:val="bottom"/>
          </w:tcPr>
          <w:p>
            <w:pPr>
              <w:spacing w:after="0"/>
              <w:rPr>
                <w:sz w:val="18"/>
                <w:szCs w:val="18"/>
                <w:color w:val="auto"/>
              </w:rPr>
            </w:pPr>
          </w:p>
        </w:tc>
        <w:tc>
          <w:tcPr>
            <w:tcW w:w="12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4,891</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18,745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13,643</w:t>
            </w:r>
          </w:p>
        </w:tc>
      </w:tr>
      <w:tr>
        <w:trPr>
          <w:trHeight w:val="210"/>
        </w:trPr>
        <w:tc>
          <w:tcPr>
            <w:tcW w:w="588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221,405</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207,452</w:t>
            </w:r>
          </w:p>
        </w:tc>
        <w:tc>
          <w:tcPr>
            <w:tcW w:w="8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40" w:hanging="424"/>
        <w:spacing w:after="0" w:line="207" w:lineRule="auto"/>
        <w:tabs>
          <w:tab w:leader="none" w:pos="54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The balance of leasehold incentive receivables of $3,000 and $6,339 at May 3, 2020 and February 2, 2020, respectively, is reflected as a reduction of the current portion of operating lease liabilities.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Debt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debt consists of the following as of:</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5"/>
              </w:rPr>
              <w:t>May 3, 2020</w:t>
            </w:r>
          </w:p>
        </w:tc>
        <w:tc>
          <w:tcPr>
            <w:tcW w:w="6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9"/>
              </w:rPr>
              <w:t>February 2, 2020</w:t>
            </w:r>
          </w:p>
        </w:tc>
      </w:tr>
      <w:tr>
        <w:trPr>
          <w:trHeight w:val="20"/>
        </w:trPr>
        <w:tc>
          <w:tcPr>
            <w:tcW w:w="5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facility—term</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262,500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266,250</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Credit facility—revolver</w:t>
            </w:r>
          </w:p>
        </w:tc>
        <w:tc>
          <w:tcPr>
            <w:tcW w:w="1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489,000</w:t>
            </w:r>
          </w:p>
        </w:tc>
        <w:tc>
          <w:tcPr>
            <w:tcW w:w="2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382,000</w:t>
            </w:r>
          </w:p>
        </w:tc>
      </w:tr>
      <w:tr>
        <w:trPr>
          <w:trHeight w:val="20"/>
        </w:trPr>
        <w:tc>
          <w:tcPr>
            <w:tcW w:w="5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 outstanding</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751,500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648,250</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installments—term</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(15,000)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w:t>
            </w: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Debt issuance costs—term</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(1,239)</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(561)</w:t>
            </w:r>
          </w:p>
        </w:tc>
      </w:tr>
      <w:tr>
        <w:trPr>
          <w:trHeight w:val="20"/>
        </w:trPr>
        <w:tc>
          <w:tcPr>
            <w:tcW w:w="5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735,261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632,689</w:t>
            </w:r>
          </w:p>
        </w:tc>
      </w:tr>
      <w:tr>
        <w:trPr>
          <w:trHeight w:val="20"/>
        </w:trPr>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 August 17, 2017, we entered into a senior secured credit facility that provides a $300,000 term loan facility and a $500,000 revolving credit facility with a maturity date of August 17, 2022. The $500,000 revolving credit facility includes a $35,000 letter of credit sub-facility and a $15,000 swing loan sub-facility. The revolving credit facility is available to provide financing for general purposes. Principal payments on the term loan facility are $3,750 per quarter through maturity, when the remaining balance is due. Our current credit facility is secured by the assets of D&amp;B Inc and is unconditionally guaranteed by D&amp;B Holdings and each of its direct and indirect domestic wholly-owned subsidiaries. As of May 3, 2020, we had letters of credit outstanding of $10,147 and $853 of borrowing available under our revolving credit facility.</w:t>
      </w:r>
    </w:p>
    <w:p>
      <w:pPr>
        <w:spacing w:after="0" w:line="17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interest rates per annum applicable to loans, other than swing loans, under our existing credit facility are currently set based on a defined LIBOR rate plus an applicable margin. Swing loans bear interest at a base rate plus an applicable margin. The loans bear interest subject to a pricing grid based on a total leverage ratio, at one-month LIBOR plus a spread ranging from 1.25% to 2.00% for the term loans and the revolving loans.</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credit facility contains restrictive covenants that, among other things, place certain limitations on our ability to: incur additional indebtedness, make loans or advances to subsidiaries and other entities, pay dividends, acquire other businesses or sell assets. In addition, our credit facility requires us to maintain certain financial ratio covenants.</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Effective April 14, 2020, we amended our existing credit facility, which included relief from compliance with financial covenants for the quarterly periods ended May 3, 2020, August 2, 2020 and November 1, 2020. During the financial covenant suspension period, a $30,000 liquidity covenant was added as well as certain additional reporting requirements. The interest rate increased to LIBOR plus 2.00% with a LIBOR floor of 1.00%. As of May 3, 2020, and May 5, 2019, the Company’s weighted average interest rate on outstanding borrowings was 3.59% and 4.17%, respectively. In connection with the amendment, we incurred debt costs of $2,000, which are being amortized over the life of the credit facility. These costs are payable at the maturity date of the credit facility, with earlier payment required in the event of certain conditions, as defined in the agreement.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 The following tables set forth our recorded interest expense, net for the periods indicated:</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8"/>
              </w:rPr>
              <w:t>Thirteen Weeks</w:t>
            </w:r>
          </w:p>
        </w:tc>
      </w:tr>
      <w:tr>
        <w:trPr>
          <w:trHeight w:val="148"/>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5"/>
              </w:rPr>
              <w:t>May 3, 2020</w:t>
            </w: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7"/>
              </w:rPr>
              <w:t>May 5, 2019</w:t>
            </w:r>
          </w:p>
        </w:tc>
        <w:tc>
          <w:tcPr>
            <w:tcW w:w="80" w:type="dxa"/>
            <w:vAlign w:val="bottom"/>
          </w:tcPr>
          <w:p>
            <w:pPr>
              <w:spacing w:after="0"/>
              <w:rPr>
                <w:sz w:val="14"/>
                <w:szCs w:val="14"/>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credit facilities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6,092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Amortization of issuance cost</w:t>
            </w:r>
          </w:p>
        </w:tc>
        <w:tc>
          <w:tcPr>
            <w:tcW w:w="100" w:type="dxa"/>
            <w:vAlign w:val="bottom"/>
          </w:tcPr>
          <w:p>
            <w:pPr>
              <w:spacing w:after="0"/>
              <w:rPr>
                <w:sz w:val="18"/>
                <w:szCs w:val="18"/>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Capitalized interest</w:t>
            </w:r>
          </w:p>
        </w:tc>
        <w:tc>
          <w:tcPr>
            <w:tcW w:w="10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r>
      <w:tr>
        <w:trPr>
          <w:trHeight w:val="20"/>
        </w:trPr>
        <w:tc>
          <w:tcPr>
            <w:tcW w:w="5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interest expense, net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4,056</w:t>
            </w:r>
          </w:p>
        </w:tc>
      </w:tr>
      <w:tr>
        <w:trPr>
          <w:trHeight w:val="20"/>
        </w:trPr>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Leases</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currently lease the building or site for our stores, corporate office and warehouse space under facility operating leases. These leases typically have initial terms ranging from ten to twenty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includes certain equipment leases that have a term in excess of one year. Certain facility leases also have provisions for additional contingent rentals based on revenues.</w:t>
      </w:r>
    </w:p>
    <w:p>
      <w:pPr>
        <w:spacing w:after="0" w:line="16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Operating lease cost, variable lease cost and short-term lease cost related primarily to our facilities is included in “Other store operating expenses” for our operating stores, “Pre-opening costs” for our stores not yet operating, or “General and administrative expenses” for our corporate office and warehouse, in the Consolidated Statements of Comprehensive Income (Loss).</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components of lease expense, including variable lease costs primarily consisting of common area maintenance charges and property taxes, are as follows for the fiscal year ended:</w:t>
      </w:r>
    </w:p>
    <w:p>
      <w:pPr>
        <w:spacing w:after="0" w:line="16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5"/>
              </w:rPr>
              <w:t>May 3, 2020</w:t>
            </w:r>
          </w:p>
        </w:tc>
        <w:tc>
          <w:tcPr>
            <w:tcW w:w="540" w:type="dxa"/>
            <w:vAlign w:val="bottom"/>
            <w:gridSpan w:val="2"/>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May 5, 2019</w:t>
            </w:r>
          </w:p>
        </w:tc>
      </w:tr>
      <w:tr>
        <w:trPr>
          <w:trHeight w:val="20"/>
        </w:trPr>
        <w:tc>
          <w:tcPr>
            <w:tcW w:w="6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29,792</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Variable lease cost</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7,366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1,218</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r>
      <w:tr>
        <w:trPr>
          <w:trHeight w:val="210"/>
        </w:trPr>
        <w:tc>
          <w:tcPr>
            <w:tcW w:w="624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41,016</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31,111</w:t>
            </w:r>
          </w:p>
        </w:tc>
        <w:tc>
          <w:tcPr>
            <w:tcW w:w="8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As a result of the COVID-19 pandemic, the Company entered into four rent deferral agreements with our respective landlords during the thirteen weeks ended May 3, 2020. Subsequent to the end of our first quarter through June 4, 2020, we have entered into 42 additional rent deferral agreements. Under these agreements, certain rent payments will be abated, deferred or modified without penalty for various periods, generally for a minimum of three months. The Company has elected to account for lease concessions and deferrals resulting directly from COVID-19 as though the enforceable rights and obligations to the deferrals existed in the respective contracts at lease inception and will not account for the concessions as lease modifications, unless the concession results in a substantial increase in the Company’s obligations. During the first quarter of fiscal 2020, only one of the four concession agreements qualified for this accounting election, and the remaining three rent deferral agreements were treated as lease modifications. Further, as a result of the COVID-19 pandemic and its impact on our financial condition, the Company has chosen not to pay the remaining facility operating lease obligations as they become due even though a rent concession has not been granted by the respective landlords. As of May 3, 2020, we have bifurcated our current operating lease liabilities into the portion that remains subject to accretion and the portion that is accounted for as a deferral of payments or as short payments.</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Commitments and Contingencies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are subject to certain legal proceedings and claims that arise in the ordinary course of our business, including claims alleging violations of federal and state law regarding workplace and employment matters, discrimination, slip-and-fall and other guest-related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Company is currently a defendant in several lawsuits filed in courts in California alleging violations of California Business and Professions Code, industry wage orders, wage-and-hour laws and rules and regulations pertaining primarily to the failure to pay proper regular and overtime wages, failure to pay for missed meals and rest periods, pay stub violations, failure to pay all wages due at the time of termination and other employment related claims (the “California Cases”). Some of the California Cases purport or may be determined to be class actions or Private Attorneys General Act representative actions and seek substantial damages and penalties. With respect to these California Cases, where the Company has determined that a loss is reasonably possible but not probable, the Company is unable to estimate the amount or range of the reasonably possible loss due to the inherent difficulties of predicting the outcome of uncertainties regarding legal proceedings. The Company’s assessments are based on assumptions that have been deemed reasonable by management, but that may prove to be incomplete or inaccurate, and unanticipated events and circumstances may occur that might cause the Company to change those estimates and assumptions. Management’s assessment of these California Cases could change because of future determinations or the discovery of facts that are not presently known. Accordingly, the ultimate costs of resolving these cases may be substantially higher or lower than estimated. The Company is aggressively defending these cases.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Earnings per share</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Potential dilutive shares consist of the incremental common shares issuable upon the exercise of outstanding stock options (both vested and unvested), unvested time-based restricted stock units (RSU’s) and unvested performance RSU’s to the extent performance measures were attained as of the end of the reporting period, calculated using the treasury-stock method. Potential dilutive shares are excluded from the computation of earnings per share (“EPS”) if their effect is anti-dilutive. Stock options for which the exercise price exceeds the average market price over the period are anti-dilutive and, accordingly, are excluded from the calculation. The weighted average anti-dilutive options excluded from the calculation of common equivalent shares were 51,772 in the thirteen weeks ended May 5, 2019.</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computation of EPS, basic and diluted for the periods indicated:</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8"/>
              </w:rPr>
              <w:t>Thirteen Weeks</w:t>
            </w:r>
          </w:p>
        </w:tc>
      </w:tr>
      <w:tr>
        <w:trPr>
          <w:trHeight w:val="148"/>
        </w:trPr>
        <w:tc>
          <w:tcPr>
            <w:tcW w:w="5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5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5"/>
              </w:rPr>
              <w:t>May 3, 2020</w:t>
            </w:r>
          </w:p>
        </w:tc>
        <w:tc>
          <w:tcPr>
            <w:tcW w:w="1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May 5, 2019</w:t>
            </w: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(43,544)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42,443</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w w:val="96"/>
              </w:rPr>
              <w:t>Weighted average number of common shares outstanding (basic)</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31,829,985</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36,827,665</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dilutive impact of equity-based awards (1)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764,279</w:t>
            </w:r>
          </w:p>
        </w:tc>
      </w:tr>
      <w:tr>
        <w:trPr>
          <w:trHeight w:val="202"/>
        </w:trPr>
        <w:tc>
          <w:tcPr>
            <w:tcW w:w="5440" w:type="dxa"/>
            <w:vAlign w:val="bottom"/>
          </w:tcPr>
          <w:p>
            <w:pPr>
              <w:ind w:left="360"/>
              <w:spacing w:after="0" w:line="201" w:lineRule="exact"/>
              <w:rPr>
                <w:sz w:val="20"/>
                <w:szCs w:val="20"/>
                <w:color w:val="auto"/>
              </w:rPr>
            </w:pPr>
            <w:r>
              <w:rPr>
                <w:rFonts w:ascii="Arial" w:cs="Arial" w:eastAsia="Arial" w:hAnsi="Arial"/>
                <w:sz w:val="18"/>
                <w:szCs w:val="18"/>
                <w:color w:val="auto"/>
              </w:rPr>
              <w:t>Weighted average number of common and common equivalent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440" w:type="dxa"/>
            <w:vAlign w:val="bottom"/>
          </w:tcPr>
          <w:p>
            <w:pPr>
              <w:ind w:left="540"/>
              <w:spacing w:after="0"/>
              <w:rPr>
                <w:sz w:val="20"/>
                <w:szCs w:val="20"/>
                <w:color w:val="auto"/>
              </w:rPr>
            </w:pPr>
            <w:r>
              <w:rPr>
                <w:rFonts w:ascii="Arial" w:cs="Arial" w:eastAsia="Arial" w:hAnsi="Arial"/>
                <w:sz w:val="18"/>
                <w:szCs w:val="18"/>
                <w:color w:val="auto"/>
              </w:rPr>
              <w:t>shares outstanding (diluted)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31,829,985</w:t>
            </w: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37,591,944</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Basic</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r>
    </w:tbl>
    <w:p>
      <w:pPr>
        <w:spacing w:after="0" w:line="25" w:lineRule="exact"/>
        <w:rPr>
          <w:sz w:val="20"/>
          <w:szCs w:val="20"/>
          <w:color w:val="auto"/>
        </w:rPr>
      </w:pPr>
    </w:p>
    <w:p>
      <w:pPr>
        <w:ind w:left="540" w:hanging="424"/>
        <w:spacing w:after="0"/>
        <w:tabs>
          <w:tab w:leader="none" w:pos="540" w:val="left"/>
        </w:tabs>
        <w:numPr>
          <w:ilvl w:val="0"/>
          <w:numId w:val="6"/>
        </w:numPr>
        <w:rPr>
          <w:rFonts w:ascii="Arial" w:cs="Arial" w:eastAsia="Arial" w:hAnsi="Arial"/>
          <w:sz w:val="26"/>
          <w:szCs w:val="26"/>
          <w:color w:val="auto"/>
          <w:vertAlign w:val="superscript"/>
        </w:rPr>
      </w:pPr>
      <w:r>
        <w:rPr>
          <w:rFonts w:ascii="Arial" w:cs="Arial" w:eastAsia="Arial" w:hAnsi="Arial"/>
          <w:sz w:val="17"/>
          <w:szCs w:val="17"/>
          <w:color w:val="auto"/>
        </w:rPr>
        <w:t>Due to a net loss for the thirteen weeks ended May 3, 2020, zero incremental shares are included because the effect would be anti-dilutive.</w:t>
      </w:r>
    </w:p>
    <w:p>
      <w:pPr>
        <w:spacing w:after="0" w:line="174" w:lineRule="exact"/>
        <w:rPr>
          <w:rFonts w:ascii="Arial" w:cs="Arial" w:eastAsia="Arial" w:hAnsi="Arial"/>
          <w:sz w:val="26"/>
          <w:szCs w:val="26"/>
          <w:color w:val="auto"/>
          <w:vertAlign w:val="superscript"/>
        </w:rPr>
      </w:pPr>
    </w:p>
    <w:p>
      <w:pPr>
        <w:ind w:left="5540"/>
        <w:spacing w:after="0"/>
        <w:rPr>
          <w:rFonts w:ascii="Arial" w:cs="Arial" w:eastAsia="Arial" w:hAnsi="Arial"/>
          <w:sz w:val="26"/>
          <w:szCs w:val="26"/>
          <w:color w:val="auto"/>
          <w:vertAlign w:val="superscript"/>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Share-Based Compensation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Compensation expense related to stock options, time-based and performance-based RSU’s are included in general and administrative expenses and were as follows:</w:t>
      </w:r>
    </w:p>
    <w:p>
      <w:pPr>
        <w:spacing w:after="0" w:line="16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Thirteen Weeks Ended</w:t>
            </w:r>
          </w:p>
        </w:tc>
      </w:tr>
      <w:tr>
        <w:trPr>
          <w:trHeight w:val="142"/>
        </w:trPr>
        <w:tc>
          <w:tcPr>
            <w:tcW w:w="4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May 3, 2020</w:t>
            </w:r>
          </w:p>
        </w:tc>
        <w:tc>
          <w:tcPr>
            <w:tcW w:w="66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May 5, 2019</w:t>
            </w:r>
          </w:p>
        </w:tc>
        <w:tc>
          <w:tcPr>
            <w:tcW w:w="80" w:type="dxa"/>
            <w:vAlign w:val="bottom"/>
          </w:tcPr>
          <w:p>
            <w:pPr>
              <w:spacing w:after="0"/>
              <w:rPr>
                <w:sz w:val="12"/>
                <w:szCs w:val="12"/>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8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RSU’s and restricted stock</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(929)</w:t>
            </w:r>
          </w:p>
        </w:tc>
        <w:tc>
          <w:tcPr>
            <w:tcW w:w="2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1,066</w:t>
            </w:r>
          </w:p>
        </w:tc>
      </w:tr>
      <w:tr>
        <w:trPr>
          <w:trHeight w:val="20"/>
        </w:trPr>
        <w:tc>
          <w:tcPr>
            <w:tcW w:w="4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8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1,825</w:t>
            </w:r>
          </w:p>
        </w:tc>
      </w:tr>
      <w:tr>
        <w:trPr>
          <w:trHeight w:val="20"/>
        </w:trPr>
        <w:tc>
          <w:tcPr>
            <w:tcW w:w="4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Transactions related to stock option awards during the thirteen weeks ended May 3, 2020 were as follows: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860" w:type="dxa"/>
            <w:vAlign w:val="bottom"/>
            <w:gridSpan w:val="5"/>
          </w:tcPr>
          <w:p>
            <w:pPr>
              <w:jc w:val="right"/>
              <w:ind w:right="53"/>
              <w:spacing w:after="0"/>
              <w:rPr>
                <w:sz w:val="20"/>
                <w:szCs w:val="20"/>
                <w:color w:val="auto"/>
              </w:rPr>
            </w:pPr>
            <w:r>
              <w:rPr>
                <w:rFonts w:ascii="Arial" w:cs="Arial" w:eastAsia="Arial" w:hAnsi="Arial"/>
                <w:sz w:val="14"/>
                <w:szCs w:val="14"/>
                <w:b w:val="1"/>
                <w:bCs w:val="1"/>
                <w:color w:val="auto"/>
                <w:w w:val="99"/>
              </w:rPr>
              <w:t>2014 Stock Incentive Plan</w:t>
            </w:r>
          </w:p>
        </w:tc>
        <w:tc>
          <w:tcPr>
            <w:tcW w:w="380" w:type="dxa"/>
            <w:vAlign w:val="bottom"/>
          </w:tcPr>
          <w:p>
            <w:pPr>
              <w:spacing w:after="0"/>
              <w:rPr>
                <w:sz w:val="14"/>
                <w:szCs w:val="14"/>
                <w:color w:val="auto"/>
              </w:rPr>
            </w:pPr>
          </w:p>
        </w:tc>
        <w:tc>
          <w:tcPr>
            <w:tcW w:w="1940" w:type="dxa"/>
            <w:vAlign w:val="bottom"/>
            <w:gridSpan w:val="6"/>
          </w:tcPr>
          <w:p>
            <w:pPr>
              <w:ind w:left="120"/>
              <w:spacing w:after="0"/>
              <w:rPr>
                <w:sz w:val="20"/>
                <w:szCs w:val="20"/>
                <w:color w:val="auto"/>
              </w:rPr>
            </w:pPr>
            <w:r>
              <w:rPr>
                <w:rFonts w:ascii="Arial" w:cs="Arial" w:eastAsia="Arial" w:hAnsi="Arial"/>
                <w:sz w:val="14"/>
                <w:szCs w:val="14"/>
                <w:b w:val="1"/>
                <w:bCs w:val="1"/>
                <w:color w:val="auto"/>
              </w:rPr>
              <w:t>2010 Stock Incentive Plan</w:t>
            </w: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3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8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3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9"/>
              </w:rPr>
              <w:t>of Options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Price</w:t>
            </w:r>
          </w:p>
        </w:tc>
        <w:tc>
          <w:tcPr>
            <w:tcW w:w="3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of Options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February 2,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1,323,495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266,900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(9,244)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(17,620)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49.21</w:t>
            </w:r>
          </w:p>
        </w:tc>
        <w:tc>
          <w:tcPr>
            <w:tcW w:w="3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3,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1,305,875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257,656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Exercisable at May 3, 2020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1,097,556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34.47</w:t>
            </w:r>
          </w:p>
        </w:tc>
        <w:tc>
          <w:tcPr>
            <w:tcW w:w="3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257,656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The total intrinsic value of options exercised during the thirteen weeks ended May 3, 2020 was $200. The unrecognized expense related to our stock option plan totaled approximately $1,449 as of May 3, 2020 and will be expensed over a weighted average period of 1.7 years.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Transactions related to time-based and performance-based RSU’s during the thirteen weeks ended May 3, 2020, were as follows: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6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Shares</w:t>
            </w:r>
          </w:p>
        </w:tc>
        <w:tc>
          <w:tcPr>
            <w:tcW w:w="480" w:type="dxa"/>
            <w:vAlign w:val="bottom"/>
            <w:vMerge w:val="restart"/>
          </w:tcPr>
          <w:p>
            <w:pPr>
              <w:spacing w:after="0"/>
              <w:rPr>
                <w:sz w:val="12"/>
                <w:szCs w:val="12"/>
                <w:color w:val="auto"/>
              </w:rPr>
            </w:pP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1"/>
        </w:trPr>
        <w:tc>
          <w:tcPr>
            <w:tcW w:w="65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February 2, 2020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216,815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72,593</w:t>
            </w:r>
          </w:p>
        </w:tc>
        <w:tc>
          <w:tcPr>
            <w:tcW w:w="1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(19,344)</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(18,455)</w:t>
            </w:r>
          </w:p>
        </w:tc>
        <w:tc>
          <w:tcPr>
            <w:tcW w:w="1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3, 2020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251,609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Fair value of our time-based and performance-based RSU’s and restricted stock is based on our closing stock price on the date of grant. The unrecognized expense related to our time-based and performance-based RSU’s was $2,984 as of May 3, 2020 and will be expensed over a weighted average period of 1.7 years.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During the thirteen weeks ended May 3, 2020 and May 5, 2019, excess tax expense (benefit) of $140 and ($788), respectively, were recognized as a expense (benefit) in the “Provision (benefit) for income taxes” in the Consolidated Statement of Comprehensive Income (Loss) and classified as a source in operating activities in the Consolidated Statement of Cash Flows.</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Forfeitures are estimated at the time of grant and adjusted if necessary, in subsequent periods, if actual forfeitures differ from those estimates. The forfeiture rate is based on historical experience.</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Subsequent to the end of the first quarter of fiscal 2020, we granted 523,117 time-based RSU’s at a weighted average fair value of $10.81, and we granted 378,416 market stock units (MSU’s) at a weighted average fair value of $15.30.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 March 27, 2020, President Trump signed into law the Coronavirus Aid, Relief and Economic Security Act (“CARES Act”). Intended to provide economic relief to those impacted by the COVID-19 pandemic, the CARES Act includes provisions, among others, addressing the carryback of net operating losses for specific periods, temporary modifications to the limitations placed on the tax deductibility of net interest expenses, and technical amendments for qualified improvement property. Additionally, the CARES Act, in efforts to enhance business’ liquidity, provides for the deferral of the employer-paid portion of social security taxes. As of May 3, 2020, we have elected to defer employer-paid portion of social security taxes of $372, which is included in “Other liabilities” in the Consolidated Balance Sheets.</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Company has historically calculated the provision for income taxes during interim reporting periods by applying an estimate of the annualized effective tax rate for the full fiscal year to “ordinary” income or loss for the reporting period. Due to the uncertainty created by the events surrounding the COVID-19 pandemic, the actual effective tax rate for the year to date period was used to calculate the income tax benefit for the thirteen weeks ended May 3, 2020. The effective tax rate for the thirteen weeks ended May 3, 2020, was a benefit of 35.5%, compared to an effective tax rate of 21.0% for the thirteen weeks ended May 5, 2019, primarily due to the impact of a decrease in operating earnings before income tax and the impact of the tax provisions within the CARES Act. As a result of the impact of the technical amendments for qualified improvement property within the CARES Act, the Company generated a taxable loss in 2019, which together with the taxable loss in 2020, can now be carried back to prior years when the statutory federal tax rate was at 35.0%.</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as filed with the Securities and Exchange Commission (“SEC”) on April 3, 2020. 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7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industry in which we operate may differ materially from those made in or suggested by the forward-looking statements contained in this quarterly report as a result of various factors, including those set forth in the section entitled “Risk Factors” in our Annual Report on Form 10-K filed with the SEC on April 3, 2020. In addition, even if our results of operations, financial condition and liquidity, and the development of the industry in which we operate are consistent with the forward-looking statements contained in this Form 10-Q, those results or developments may not be indicative of results or developments in subsequent periods.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On March 11, 2020, the World Health Organization declared the COVID-19 outbreak to be a global pandemic and on March 13, 2020, the United States declared a National Public Health Emergency. As a result, several state and local mandates were implemented that encouraged the practice of social distancing, placed restrictions from individuals gathering in groups and, in many areas and placed complete restrictions on non-essential movement outside of the home. Shortly after the national emergency declaration, state and local officials began placing restrictions on restaurants, some of which allowed To-Go or curbside service only while others limited capacity in the dining room or midway. By March 20, 2020, all our 137 operating stores were temporarily closed. Almost all our stores remained closed for the duration of the first quarter. On April 30, 2020 one store opened to the public with limited food and beverage offerings. Two additional stores offered limited food and beverage for off-premises dining.</w:t>
      </w:r>
    </w:p>
    <w:p>
      <w:pPr>
        <w:spacing w:after="0" w:line="166"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As a result of these developments, the Company is experiencing a significant decrease in traffic which has impacted the Company’s operating results during the thirteen weeks ended May 3, 2020. We expect our operating results to continue to be severely impacted until such time that state and local restrictions are lifted, and our dining rooms and midways can re-open at full capacity. We cannot predict how long the pandemic will last or when the state and local restrictions will be lifted or potentially re-imposed. In addition, we cannot predict how quickly our guests will return to our restaurants once such restrictions have been lifted or the impact this will have on consumer spending habits.</w:t>
      </w:r>
    </w:p>
    <w:p>
      <w:pPr>
        <w:spacing w:after="0" w:line="17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response to the pandemic, the Company and its Board of Directors implemented the following measures during the quarter to enhance financial flexibility:</w:t>
      </w:r>
    </w:p>
    <w:p>
      <w:pPr>
        <w:spacing w:after="0" w:line="62" w:lineRule="exact"/>
        <w:rPr>
          <w:sz w:val="20"/>
          <w:szCs w:val="20"/>
          <w:color w:val="auto"/>
        </w:rPr>
      </w:pPr>
    </w:p>
    <w:p>
      <w:pPr>
        <w:ind w:left="98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expenses broadly, including by furloughing all our hourly store team members and approximately 94% of store management personnel, on or about March 19, 2020, while enacting temporary salary reductions for remaining managers. In addition, effective March 24, 2020, the Company furloughed all but a small team of essential corporate and administrative staff, temporarily reducing salaries by 10% to 50%, and temporarily suspended all board fees through the remainder of fiscal 2020;</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canceled or delayed all non-essential planned capital spending for the remainder of fiscal 2020;</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halted all planned store openings after our one store opening in Chattanooga, TN, on March 16, 2020, including delayed construction;</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abandoned work on future planned sites;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suspended our share repurchase program and declaration of dividends;</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drew down substantially all the remaining credit available under our $500,000 revolving credit facility;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sold shares of our common stock, which generated net proceeds of $72,144; and</w:t>
      </w:r>
    </w:p>
    <w:p>
      <w:pPr>
        <w:spacing w:after="0" w:line="117" w:lineRule="exact"/>
        <w:rPr>
          <w:rFonts w:ascii="Arial" w:cs="Arial" w:eastAsia="Arial" w:hAnsi="Arial"/>
          <w:sz w:val="18"/>
          <w:szCs w:val="18"/>
          <w:color w:val="auto"/>
        </w:rPr>
      </w:pPr>
    </w:p>
    <w:p>
      <w:pPr>
        <w:ind w:left="980" w:right="20" w:hanging="324"/>
        <w:spacing w:after="0" w:line="311"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began discussions with our landlords, vendors, and other business partners to reduce our lease and contract payments and obtain other concessions, including executing amendments to four of our operating leases, abating or deferring rent obligations of approximately $1,400, generally for a minimum of three months beginning in April 2020, and modifying rents an additional six months for two of these stores.</w:t>
      </w:r>
    </w:p>
    <w:p>
      <w:pPr>
        <w:spacing w:after="0" w:line="14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expect the re-opening process to be a gradual one with the safety of our employees and guests as our top priority. During the period subsequent to the end of our first quarter through June 4, 2020, we have progressively reopened limited operations in an additional 27 stores resulting in a total of 28 stores operating in 12 states. Our remaining stores are closed. All our re-opened stores are operating with streamlined menus, reduced games, new seating and game configurations and reduced operating hours. As dining room and midway restrictions continue to ease and sales begin to improve, some labor inefficiencies and increased cleaning and supply costs are anticipated as stores adjust to improved sales volumes and enhanced health and safety protocols.</w:t>
      </w:r>
    </w:p>
    <w:p>
      <w:pPr>
        <w:spacing w:after="0" w:line="19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Given the level of volatility and uncertainty surrounding the future impact of the pandemic, we have not provided a full year financial outlook for fiscal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a leading owner and operator of high-volume venues in North America that combine dining and entertainment for both adults and families under the name “Dave &amp; Buster’s”. Founded in 1982, the core of our concept is to offer our customers the opportunity to “Eat, Drink, Play and Watch” all in one location. Eat and Drink are offered through a full menu of entrées and appetizers and a full selection of non-alcoholic and alcoholic beverages. Our Play and Watch offerings provide an extensive assortment of entertainment attractions centered around playing games and watching live sports and other televised events. Our brand appeals to a relatively balanced mix of male and female adults, as well as families and teenagers, in low to middle-income households.</w:t>
      </w:r>
    </w:p>
    <w:p>
      <w:pPr>
        <w:spacing w:after="0" w:line="192"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Our stores average 41,000 square feet, range in size between 16,000 and 70,000 square feet and are open seven days a week, with normal hours of operation typically from 11:30 a.m. to midnight on Sunday through Thursday and 11:30 a.m. to 2:00 a.m. on Friday and Saturday.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Measures of Our Performance</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monitor and analyze a number of key performance measures to manage our business and evaluate financial and operating performance. These measures include:</w:t>
      </w:r>
    </w:p>
    <w:p>
      <w:pPr>
        <w:spacing w:after="0" w:line="170"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b w:val="1"/>
          <w:bCs w:val="1"/>
          <w:i w:val="1"/>
          <w:iCs w:val="1"/>
          <w:color w:val="auto"/>
        </w:rPr>
        <w:t xml:space="preserve">Comparable store sales. </w:t>
      </w:r>
      <w:r>
        <w:rPr>
          <w:rFonts w:ascii="Arial" w:cs="Arial" w:eastAsia="Arial" w:hAnsi="Arial"/>
          <w:sz w:val="16"/>
          <w:szCs w:val="16"/>
          <w:color w:val="auto"/>
        </w:rPr>
        <w:t>Comparable store sales are a year-over-year comparison of sales at stores open at the end of the period which have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open for at least 18 months as of the beginning of each of the fiscal years. It is a key performance indicator used within the industry and is indicative of acceptance of our initiatives as well as local economic and consumer trends. Our comparable store base consisted of 116 stores as of May 3, 2020.</w:t>
      </w:r>
    </w:p>
    <w:p>
      <w:pPr>
        <w:spacing w:after="0" w:line="149"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b w:val="1"/>
          <w:bCs w:val="1"/>
          <w:i w:val="1"/>
          <w:iCs w:val="1"/>
          <w:color w:val="auto"/>
        </w:rPr>
        <w:t xml:space="preserve">New store openings. </w:t>
      </w:r>
      <w:r>
        <w:rPr>
          <w:rFonts w:ascii="Arial" w:cs="Arial" w:eastAsia="Arial" w:hAnsi="Arial"/>
          <w:sz w:val="17"/>
          <w:szCs w:val="17"/>
          <w:color w:val="auto"/>
        </w:rPr>
        <w:t>Our ability to expand our business and reach new customers is influenced by the opening of additional stores in both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existing markets. The success of our new stores is indicative of our brand appeal and the efficacy of our site selection and operating models. Between May 5, 2019 and May 3, 2020, we opened ten new stores, four of which were in new markets.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86"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6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b w:val="1"/>
          <w:bCs w:val="1"/>
          <w:i w:val="1"/>
          <w:iCs w:val="1"/>
          <w:color w:val="auto"/>
        </w:rPr>
        <w:t>Adjusted EBITDA and Adjusted EBITDA Margin</w:t>
      </w:r>
      <w:r>
        <w:rPr>
          <w:rFonts w:ascii="Arial" w:cs="Arial" w:eastAsia="Arial" w:hAnsi="Arial"/>
          <w:sz w:val="18"/>
          <w:szCs w:val="18"/>
          <w:color w:val="auto"/>
        </w:rPr>
        <w:t>. We define “Adjusted EBITDA” as net income (loss) plus interest expense, net, loss on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refinancing, provision (benefit) for income taxes, depreciation and amortization expense, loss on asset disposal, impairment of long-lived assets, share-based compensation, pre-opening costs, currency transaction (gains) losses and other costs. “Adjusted EBITDA Margin” is defined as Adjusted EBITDA divided by total revenues.</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b w:val="1"/>
          <w:bCs w:val="1"/>
          <w:i w:val="1"/>
          <w:iCs w:val="1"/>
          <w:color w:val="auto"/>
        </w:rPr>
        <w:t xml:space="preserve">Store Operating Income Before Depreciation and Amortization and Store Operating Income Before Depreciation and Amortization Margin. </w:t>
      </w:r>
      <w:r>
        <w:rPr>
          <w:rFonts w:ascii="Arial" w:cs="Arial" w:eastAsia="Arial" w:hAnsi="Arial"/>
          <w:sz w:val="17"/>
          <w:szCs w:val="17"/>
          <w:color w:val="auto"/>
        </w:rPr>
        <w:t>We define “Store Operating Income Before Depreciation and Amortization” as operating income (loss)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176"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We believe that Store Operating Income Before Depreciation and Amortization is another useful measure in evaluating our operating performance because it removes the impact of general and administrative expenses, which are not incurred at the store-level, and the costs of opening new stores, which are non-recurring at the store-level,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Presentation of Operating Results</w:t>
      </w:r>
    </w:p>
    <w:p>
      <w:pPr>
        <w:spacing w:after="0" w:line="121"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We operate on a 52 or 53-week fiscal year that ends on the Sunday after the Saturday closest to January 31. Each quarterly period has 13 weeks, except in a 53-week year when the fourth quarter has 14 weeks. All references to the first quarter of 2020 relate to the 13-week period ended May 3, 2020. All references to the first quarter of 2019 relate to the 13-week period ended May 5, 2019. Fiscal 2020 and fiscal 2019 consist of 52 weeks. All dollar amounts are presented in thousands, unless otherwise noted, except share and per share amounts.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Store-Level Variability, Quarterly Fluctuations, Seasonality and Inflation</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have historically operated stores varying in size and have experienced significant variability among stores in volumes, operating results and net investment costs.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new stores typically open with sales volumes in excess of their expected long term run-rate levels, which we refer to as a “honeymoon” effect. We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spacing w:after="0" w:line="187"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Our operating results fluctuate significantly due to seasonal factors. Typically, we have higher revenues associated with spring and year-end holidays which will continue to be susceptible to the impact of severe or unseasonably mild weather on customer traffic and sales during that period. Our third quarter, which encompasses the back-to-school fall season, has historically had lower revenues as compared to the other quarters.</w:t>
      </w:r>
    </w:p>
    <w:p>
      <w:pPr>
        <w:spacing w:after="0" w:line="14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expect that economic and environmental conditions and changes in regulatory legislation will continue to exert pressure on both supplier pricing and consumer spending related to entertainment and dining alternatives. Although there is no assurance that our cost of products will remain stable or that federal, state or local minimum wage rates will not increase beyond amounts currently legislated, the effects of any supplier price increases or wage rate increases might be partially offset by selected menu price increases if competitively appropriate. In addition, how quickly, and to what extent, normal economic and operating conditions can resume cannot be predicted, and the resumption of normal business operations may be delayed or constrained by lingering effects of the COVID-19 pandemic on us or our suppliers, third-party service providers, and/or customers.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Thirteen Weeks Ended May 3, 2020 Compared to Thirteen Weeks Ended May 5, 2019</w:t>
      </w:r>
    </w:p>
    <w:p>
      <w:pPr>
        <w:spacing w:after="0" w:line="121" w:lineRule="exact"/>
        <w:rPr>
          <w:sz w:val="20"/>
          <w:szCs w:val="20"/>
          <w:color w:val="auto"/>
        </w:rPr>
      </w:pPr>
    </w:p>
    <w:p>
      <w:pPr>
        <w:jc w:val="both"/>
        <w:ind w:left="120" w:right="100" w:firstLine="440"/>
        <w:spacing w:after="0" w:line="381" w:lineRule="auto"/>
        <w:rPr>
          <w:sz w:val="20"/>
          <w:szCs w:val="20"/>
          <w:color w:val="auto"/>
        </w:rPr>
      </w:pPr>
      <w:r>
        <w:rPr>
          <w:rFonts w:ascii="Arial" w:cs="Arial" w:eastAsia="Arial" w:hAnsi="Arial"/>
          <w:sz w:val="15"/>
          <w:szCs w:val="15"/>
          <w:b w:val="1"/>
          <w:bCs w:val="1"/>
          <w:i w:val="1"/>
          <w:iCs w:val="1"/>
          <w:color w:val="auto"/>
        </w:rPr>
        <w:t xml:space="preserve">Results of operations. </w:t>
      </w:r>
      <w:r>
        <w:rPr>
          <w:rFonts w:ascii="Arial" w:cs="Arial" w:eastAsia="Arial" w:hAnsi="Arial"/>
          <w:sz w:val="15"/>
          <w:szCs w:val="15"/>
          <w:color w:val="auto"/>
        </w:rPr>
        <w:t>The following table sets forth selected data, in thousands of dollars and as a percentage of total revenues (unless otherwise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noted) for the periods indicated. All information is derived from the accompanying unaudited consolidated statements of comprehensive income (loss).</w:t>
      </w:r>
    </w:p>
    <w:p>
      <w:pPr>
        <w:spacing w:after="0" w:line="7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Thirteen Weeks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20" w:type="dxa"/>
            <w:vAlign w:val="bottom"/>
            <w:gridSpan w:val="2"/>
          </w:tcPr>
          <w:p>
            <w:pPr>
              <w:jc w:val="center"/>
              <w:ind w:left="593"/>
              <w:spacing w:after="0" w:line="149" w:lineRule="exact"/>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left="27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May 3, 2020</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4"/>
                <w:szCs w:val="14"/>
                <w:b w:val="1"/>
                <w:bCs w:val="1"/>
                <w:color w:val="auto"/>
                <w:w w:val="95"/>
              </w:rPr>
              <w:t>May 5, 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$ 63,920</w:t>
            </w:r>
          </w:p>
        </w:tc>
        <w:tc>
          <w:tcPr>
            <w:tcW w:w="3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148,221</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95,886</w:t>
            </w:r>
          </w:p>
        </w:tc>
        <w:tc>
          <w:tcPr>
            <w:tcW w:w="30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215,361</w:t>
            </w:r>
          </w:p>
        </w:tc>
        <w:tc>
          <w:tcPr>
            <w:tcW w:w="32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159,806</w:t>
            </w:r>
          </w:p>
        </w:tc>
        <w:tc>
          <w:tcPr>
            <w:tcW w:w="3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363,582</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rPr>
              <w:t>Cost of food and beverage (as a percentage of food and beverage</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revenues)</w:t>
            </w:r>
          </w:p>
        </w:tc>
        <w:tc>
          <w:tcPr>
            <w:tcW w:w="820" w:type="dxa"/>
            <w:vAlign w:val="bottom"/>
          </w:tcPr>
          <w:p>
            <w:pPr>
              <w:jc w:val="right"/>
              <w:spacing w:after="0"/>
              <w:rPr>
                <w:sz w:val="20"/>
                <w:szCs w:val="20"/>
                <w:color w:val="auto"/>
              </w:rPr>
            </w:pPr>
            <w:r>
              <w:rPr>
                <w:rFonts w:ascii="Arial" w:cs="Arial" w:eastAsia="Arial" w:hAnsi="Arial"/>
                <w:sz w:val="18"/>
                <w:szCs w:val="18"/>
                <w:color w:val="auto"/>
              </w:rPr>
              <w:t>17,344</w:t>
            </w:r>
          </w:p>
        </w:tc>
        <w:tc>
          <w:tcPr>
            <w:tcW w:w="3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38,754</w:t>
            </w: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Cost of amusement and other (as a percentage of amusement and other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10,728</w:t>
            </w:r>
          </w:p>
        </w:tc>
        <w:tc>
          <w:tcPr>
            <w:tcW w:w="300" w:type="dxa"/>
            <w:vAlign w:val="bottom"/>
            <w:tcBorders>
              <w:right w:val="single" w:sz="8" w:color="CCEEFF"/>
            </w:tcBorders>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22,971</w:t>
            </w:r>
          </w:p>
        </w:tc>
        <w:tc>
          <w:tcPr>
            <w:tcW w:w="32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revenues)</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Total cost of products</w:t>
            </w:r>
          </w:p>
        </w:tc>
        <w:tc>
          <w:tcPr>
            <w:tcW w:w="820" w:type="dxa"/>
            <w:vAlign w:val="bottom"/>
          </w:tcPr>
          <w:p>
            <w:pPr>
              <w:jc w:val="right"/>
              <w:spacing w:after="0"/>
              <w:rPr>
                <w:sz w:val="20"/>
                <w:szCs w:val="20"/>
                <w:color w:val="auto"/>
              </w:rPr>
            </w:pPr>
            <w:r>
              <w:rPr>
                <w:rFonts w:ascii="Arial" w:cs="Arial" w:eastAsia="Arial" w:hAnsi="Arial"/>
                <w:sz w:val="18"/>
                <w:szCs w:val="18"/>
                <w:color w:val="auto"/>
              </w:rPr>
              <w:t>28,072</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61,725</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43,737</w:t>
            </w:r>
          </w:p>
        </w:tc>
        <w:tc>
          <w:tcPr>
            <w:tcW w:w="3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82,873</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820" w:type="dxa"/>
            <w:vAlign w:val="bottom"/>
          </w:tcPr>
          <w:p>
            <w:pPr>
              <w:jc w:val="right"/>
              <w:spacing w:after="0"/>
              <w:rPr>
                <w:sz w:val="20"/>
                <w:szCs w:val="20"/>
                <w:color w:val="auto"/>
              </w:rPr>
            </w:pPr>
            <w:r>
              <w:rPr>
                <w:rFonts w:ascii="Arial" w:cs="Arial" w:eastAsia="Arial" w:hAnsi="Arial"/>
                <w:sz w:val="18"/>
                <w:szCs w:val="18"/>
                <w:color w:val="auto"/>
              </w:rPr>
              <w:t>95,672</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106,245</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14,563</w:t>
            </w:r>
          </w:p>
        </w:tc>
        <w:tc>
          <w:tcPr>
            <w:tcW w:w="3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16,846</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820" w:type="dxa"/>
            <w:vAlign w:val="bottom"/>
          </w:tcPr>
          <w:p>
            <w:pPr>
              <w:jc w:val="right"/>
              <w:spacing w:after="0"/>
              <w:rPr>
                <w:sz w:val="20"/>
                <w:szCs w:val="20"/>
                <w:color w:val="auto"/>
              </w:rPr>
            </w:pPr>
            <w:r>
              <w:rPr>
                <w:rFonts w:ascii="Arial" w:cs="Arial" w:eastAsia="Arial" w:hAnsi="Arial"/>
                <w:sz w:val="18"/>
                <w:szCs w:val="18"/>
                <w:color w:val="auto"/>
              </w:rPr>
              <w:t>35,352</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31,141</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3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Total operating costs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221,219</w:t>
            </w:r>
          </w:p>
        </w:tc>
        <w:tc>
          <w:tcPr>
            <w:tcW w:w="30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305,832</w:t>
            </w:r>
          </w:p>
        </w:tc>
        <w:tc>
          <w:tcPr>
            <w:tcW w:w="32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Operating income (loss)</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(61,413)</w:t>
            </w:r>
          </w:p>
        </w:tc>
        <w:tc>
          <w:tcPr>
            <w:tcW w:w="300" w:type="dxa"/>
            <w:vAlign w:val="bottom"/>
            <w:tcBorders>
              <w:righ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57,750</w:t>
            </w: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expense, net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30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4,056</w:t>
            </w:r>
          </w:p>
        </w:tc>
        <w:tc>
          <w:tcPr>
            <w:tcW w:w="32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before provision (benefit) for income taxes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(67,528)</w:t>
            </w:r>
          </w:p>
        </w:tc>
        <w:tc>
          <w:tcPr>
            <w:tcW w:w="3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53,694</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(23,984)</w:t>
            </w:r>
          </w:p>
        </w:tc>
        <w:tc>
          <w:tcPr>
            <w:tcW w:w="30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11,251</w:t>
            </w:r>
          </w:p>
        </w:tc>
        <w:tc>
          <w:tcPr>
            <w:tcW w:w="32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(43,544)</w:t>
            </w:r>
          </w:p>
        </w:tc>
        <w:tc>
          <w:tcPr>
            <w:tcW w:w="300" w:type="dxa"/>
            <w:vAlign w:val="bottom"/>
            <w:tcBorders>
              <w:right w:val="single" w:sz="8" w:color="CCEEFF"/>
            </w:tcBorders>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42,443</w:t>
            </w:r>
          </w:p>
        </w:tc>
        <w:tc>
          <w:tcPr>
            <w:tcW w:w="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440" w:type="dxa"/>
            <w:vAlign w:val="bottom"/>
          </w:tcPr>
          <w:p>
            <w:pPr>
              <w:spacing w:after="0" w:line="196" w:lineRule="exact"/>
              <w:rPr>
                <w:sz w:val="20"/>
                <w:szCs w:val="20"/>
                <w:color w:val="auto"/>
              </w:rPr>
            </w:pPr>
            <w:r>
              <w:rPr>
                <w:rFonts w:ascii="Arial" w:cs="Arial" w:eastAsia="Arial" w:hAnsi="Arial"/>
                <w:sz w:val="18"/>
                <w:szCs w:val="18"/>
                <w:color w:val="auto"/>
              </w:rPr>
              <w:t>Change in comparable store sales (1)</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Company-owned stores at end of period (1)</w:t>
            </w: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Comparable stores at end of period (1)</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40" w:hanging="424"/>
        <w:spacing w:after="0" w:line="219" w:lineRule="auto"/>
        <w:tabs>
          <w:tab w:leader="none" w:pos="540"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As of the end of the first quarter of fiscal 2020 only one of our 137 stores was open and two stores offered off premises dining. Our store in Duluth (Atlanta), Georgia permanently closed on March 3, 2019 as we did not exercise the renewal option and has been excluded from fiscal 2019 store counts and comparable store sales.</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reconciles (in dollars and as a percent of total revenues) Net income (loss) to Adjusted EBITDA for the periods indicated:</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Thirteen Weeks</w:t>
            </w:r>
          </w:p>
        </w:tc>
        <w:tc>
          <w:tcPr>
            <w:tcW w:w="160" w:type="dxa"/>
            <w:vAlign w:val="bottom"/>
          </w:tcPr>
          <w:p>
            <w:pPr>
              <w:spacing w:after="0"/>
              <w:rPr>
                <w:sz w:val="14"/>
                <w:szCs w:val="14"/>
                <w:color w:val="auto"/>
              </w:rPr>
            </w:pPr>
          </w:p>
        </w:tc>
        <w:tc>
          <w:tcPr>
            <w:tcW w:w="15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Thirteen Weeks</w:t>
            </w:r>
          </w:p>
        </w:tc>
      </w:tr>
      <w:tr>
        <w:trPr>
          <w:trHeight w:val="148"/>
        </w:trPr>
        <w:tc>
          <w:tcPr>
            <w:tcW w:w="4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20" w:type="dxa"/>
            <w:vAlign w:val="bottom"/>
            <w:gridSpan w:val="2"/>
          </w:tcPr>
          <w:p>
            <w:pPr>
              <w:jc w:val="center"/>
              <w:ind w:left="281"/>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left="239"/>
              <w:spacing w:after="0" w:line="149" w:lineRule="exact"/>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4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Borders>
              <w:bottom w:val="single" w:sz="8" w:color="auto"/>
            </w:tcBorders>
            <w:gridSpan w:val="2"/>
          </w:tcPr>
          <w:p>
            <w:pPr>
              <w:jc w:val="center"/>
              <w:ind w:left="301"/>
              <w:spacing w:after="0"/>
              <w:rPr>
                <w:sz w:val="20"/>
                <w:szCs w:val="20"/>
                <w:color w:val="auto"/>
              </w:rPr>
            </w:pPr>
            <w:r>
              <w:rPr>
                <w:rFonts w:ascii="Arial" w:cs="Arial" w:eastAsia="Arial" w:hAnsi="Arial"/>
                <w:sz w:val="14"/>
                <w:szCs w:val="14"/>
                <w:b w:val="1"/>
                <w:bCs w:val="1"/>
                <w:color w:val="auto"/>
                <w:w w:val="95"/>
              </w:rPr>
              <w:t>May 3, 2020</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left="259"/>
              <w:spacing w:after="0"/>
              <w:rPr>
                <w:sz w:val="20"/>
                <w:szCs w:val="20"/>
                <w:color w:val="auto"/>
              </w:rPr>
            </w:pPr>
            <w:r>
              <w:rPr>
                <w:rFonts w:ascii="Arial" w:cs="Arial" w:eastAsia="Arial" w:hAnsi="Arial"/>
                <w:sz w:val="14"/>
                <w:szCs w:val="14"/>
                <w:b w:val="1"/>
                <w:bCs w:val="1"/>
                <w:color w:val="auto"/>
                <w:w w:val="95"/>
              </w:rPr>
              <w:t>May 5, 2019</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(43,544)</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-27.2%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$ 42,443</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11.7%</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Interest expense, net</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6,115</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4,056</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(23,984)</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4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35,352</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31,141</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(26,061)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-16.3%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88,891</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24.4%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Loss on asset disposal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11,549</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580" w:type="dxa"/>
            <w:vAlign w:val="bottom"/>
            <w:gridSpan w:val="3"/>
          </w:tcPr>
          <w:p>
            <w:pPr>
              <w:jc w:val="right"/>
              <w:ind w:right="380"/>
              <w:spacing w:after="0"/>
              <w:rPr>
                <w:sz w:val="20"/>
                <w:szCs w:val="20"/>
                <w:color w:val="auto"/>
              </w:rPr>
            </w:pPr>
            <w:r>
              <w:rPr>
                <w:rFonts w:ascii="Arial" w:cs="Arial" w:eastAsia="Arial" w:hAnsi="Arial"/>
                <w:sz w:val="18"/>
                <w:szCs w:val="18"/>
                <w:color w:val="auto"/>
              </w:rPr>
              <w:t>(389)</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1,825</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Other costs (1)</w:t>
            </w:r>
          </w:p>
        </w:tc>
        <w:tc>
          <w:tcPr>
            <w:tcW w:w="14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(10,778)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$ 98,184</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27.0%</w:t>
            </w:r>
          </w:p>
        </w:tc>
      </w:tr>
      <w:tr>
        <w:trPr>
          <w:trHeight w:val="20"/>
        </w:trPr>
        <w:tc>
          <w:tcPr>
            <w:tcW w:w="4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Primarily represents costs related to currency transaction (gains) or losses.</w:t>
      </w:r>
    </w:p>
    <w:p>
      <w:pPr>
        <w:spacing w:after="0" w:line="309" w:lineRule="exact"/>
        <w:rPr>
          <w:rFonts w:ascii="Arial" w:cs="Arial" w:eastAsia="Arial" w:hAnsi="Arial"/>
          <w:sz w:val="27"/>
          <w:szCs w:val="27"/>
          <w:color w:val="auto"/>
          <w:vertAlign w:val="superscript"/>
        </w:rPr>
      </w:pPr>
    </w:p>
    <w:p>
      <w:pPr>
        <w:ind w:left="560"/>
        <w:spacing w:after="0"/>
        <w:rPr>
          <w:rFonts w:ascii="Arial" w:cs="Arial" w:eastAsia="Arial" w:hAnsi="Arial"/>
          <w:sz w:val="27"/>
          <w:szCs w:val="27"/>
          <w:color w:val="auto"/>
          <w:vertAlign w:val="superscript"/>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The following table reconciles (in dollars and as a percent of total revenues) Operating income (loss) to Store Operating Income Before Depreciation and Amortization for the periods indicated:</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Thirteen Weeks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Thirteen Weeks</w:t>
            </w:r>
          </w:p>
        </w:tc>
      </w:tr>
      <w:tr>
        <w:trPr>
          <w:trHeight w:val="149"/>
        </w:trPr>
        <w:tc>
          <w:tcPr>
            <w:tcW w:w="5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left="197"/>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left="157"/>
              <w:spacing w:after="0" w:line="149" w:lineRule="exact"/>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5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left="177"/>
              <w:spacing w:after="0"/>
              <w:rPr>
                <w:sz w:val="20"/>
                <w:szCs w:val="20"/>
                <w:color w:val="auto"/>
              </w:rPr>
            </w:pPr>
            <w:r>
              <w:rPr>
                <w:rFonts w:ascii="Arial" w:cs="Arial" w:eastAsia="Arial" w:hAnsi="Arial"/>
                <w:sz w:val="14"/>
                <w:szCs w:val="14"/>
                <w:b w:val="1"/>
                <w:bCs w:val="1"/>
                <w:color w:val="auto"/>
                <w:w w:val="95"/>
              </w:rPr>
              <w:t>May 3, 2020</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left="157"/>
              <w:spacing w:after="0"/>
              <w:rPr>
                <w:sz w:val="20"/>
                <w:szCs w:val="20"/>
                <w:color w:val="auto"/>
              </w:rPr>
            </w:pPr>
            <w:r>
              <w:rPr>
                <w:rFonts w:ascii="Arial" w:cs="Arial" w:eastAsia="Arial" w:hAnsi="Arial"/>
                <w:sz w:val="14"/>
                <w:szCs w:val="14"/>
                <w:b w:val="1"/>
                <w:bCs w:val="1"/>
                <w:color w:val="auto"/>
                <w:w w:val="97"/>
              </w:rPr>
              <w:t>May 5, 2019</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(61,413)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-38.4%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57,750</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15.9%</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14,563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16,846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35,352</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Pre-opening costs</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 Before Depreciation and Amortization</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(7,675)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112,739</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31.0%</w:t>
            </w:r>
          </w:p>
        </w:tc>
      </w:tr>
      <w:tr>
        <w:trPr>
          <w:trHeight w:val="20"/>
        </w:trPr>
        <w:tc>
          <w:tcPr>
            <w:tcW w:w="5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table below reflects accrual-based capital additions. Capital additions do not include any reductions for accrual-based leasehold improvement incentives or proceeds from sale-leaseback transactions (collectively, “Payments from landlords”).</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720" w:type="dxa"/>
            <w:vAlign w:val="bottom"/>
            <w:gridSpan w:val="3"/>
          </w:tcPr>
          <w:p>
            <w:pPr>
              <w:ind w:left="2740"/>
              <w:spacing w:after="0"/>
              <w:rPr>
                <w:sz w:val="20"/>
                <w:szCs w:val="20"/>
                <w:color w:val="auto"/>
              </w:rPr>
            </w:pPr>
            <w:r>
              <w:rPr>
                <w:rFonts w:ascii="Arial" w:cs="Arial" w:eastAsia="Arial" w:hAnsi="Arial"/>
                <w:sz w:val="14"/>
                <w:szCs w:val="14"/>
                <w:b w:val="1"/>
                <w:bCs w:val="1"/>
                <w:color w:val="auto"/>
                <w:w w:val="92"/>
              </w:rPr>
              <w:t>Thirteen Weeks</w:t>
            </w:r>
          </w:p>
        </w:tc>
        <w:tc>
          <w:tcPr>
            <w:tcW w:w="1840" w:type="dxa"/>
            <w:vAlign w:val="bottom"/>
            <w:gridSpan w:val="4"/>
          </w:tcPr>
          <w:p>
            <w:pPr>
              <w:ind w:left="780"/>
              <w:spacing w:after="0"/>
              <w:rPr>
                <w:sz w:val="20"/>
                <w:szCs w:val="20"/>
                <w:color w:val="auto"/>
              </w:rPr>
            </w:pPr>
            <w:r>
              <w:rPr>
                <w:rFonts w:ascii="Arial" w:cs="Arial" w:eastAsia="Arial" w:hAnsi="Arial"/>
                <w:sz w:val="14"/>
                <w:szCs w:val="14"/>
                <w:b w:val="1"/>
                <w:bCs w:val="1"/>
                <w:color w:val="auto"/>
              </w:rPr>
              <w:t>Thirteen Weeks</w:t>
            </w:r>
          </w:p>
        </w:tc>
      </w:tr>
      <w:tr>
        <w:trPr>
          <w:trHeight w:val="149"/>
        </w:trPr>
        <w:tc>
          <w:tcPr>
            <w:tcW w:w="37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Ended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3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5"/>
              </w:rPr>
              <w:t>May 3, 2020</w:t>
            </w: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5"/>
              </w:rPr>
              <w:t>May 5, 2019</w:t>
            </w:r>
          </w:p>
        </w:tc>
        <w:tc>
          <w:tcPr>
            <w:tcW w:w="80" w:type="dxa"/>
            <w:vAlign w:val="bottom"/>
          </w:tcPr>
          <w:p>
            <w:pPr>
              <w:spacing w:after="0"/>
              <w:rPr>
                <w:sz w:val="14"/>
                <w:szCs w:val="14"/>
                <w:color w:val="auto"/>
              </w:rPr>
            </w:pPr>
          </w:p>
        </w:tc>
      </w:tr>
      <w:tr>
        <w:trPr>
          <w:trHeight w:val="210"/>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store and operating initiatives</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37,046</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51,418</w:t>
            </w:r>
          </w:p>
        </w:tc>
        <w:tc>
          <w:tcPr>
            <w:tcW w:w="80" w:type="dxa"/>
            <w:vAlign w:val="bottom"/>
            <w:shd w:val="clear" w:color="auto" w:fill="CCEEFF"/>
          </w:tcPr>
          <w:p>
            <w:pPr>
              <w:spacing w:after="0"/>
              <w:rPr>
                <w:sz w:val="18"/>
                <w:szCs w:val="18"/>
                <w:color w:val="auto"/>
              </w:rPr>
            </w:pPr>
          </w:p>
        </w:tc>
      </w:tr>
      <w:tr>
        <w:trPr>
          <w:trHeight w:val="216"/>
        </w:trPr>
        <w:tc>
          <w:tcPr>
            <w:tcW w:w="3700" w:type="dxa"/>
            <w:vAlign w:val="bottom"/>
          </w:tcPr>
          <w:p>
            <w:pPr>
              <w:ind w:left="360"/>
              <w:spacing w:after="0"/>
              <w:rPr>
                <w:sz w:val="20"/>
                <w:szCs w:val="20"/>
                <w:color w:val="auto"/>
              </w:rPr>
            </w:pPr>
            <w:r>
              <w:rPr>
                <w:rFonts w:ascii="Arial" w:cs="Arial" w:eastAsia="Arial" w:hAnsi="Arial"/>
                <w:sz w:val="18"/>
                <w:szCs w:val="18"/>
                <w:color w:val="auto"/>
              </w:rPr>
              <w:t>Games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7,908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3,696</w:t>
            </w:r>
          </w:p>
        </w:tc>
        <w:tc>
          <w:tcPr>
            <w:tcW w:w="80" w:type="dxa"/>
            <w:vAlign w:val="bottom"/>
          </w:tcPr>
          <w:p>
            <w:pPr>
              <w:spacing w:after="0"/>
              <w:rPr>
                <w:sz w:val="18"/>
                <w:szCs w:val="18"/>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 capital</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80" w:type="dxa"/>
            <w:vAlign w:val="bottom"/>
            <w:shd w:val="clear" w:color="auto" w:fill="CCEEFF"/>
          </w:tcPr>
          <w:p>
            <w:pPr>
              <w:spacing w:after="0"/>
              <w:rPr>
                <w:sz w:val="18"/>
                <w:szCs w:val="18"/>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Total capital additions</w:t>
            </w:r>
          </w:p>
        </w:tc>
        <w:tc>
          <w:tcPr>
            <w:tcW w:w="27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47,451</w:t>
            </w:r>
          </w:p>
        </w:tc>
        <w:tc>
          <w:tcPr>
            <w:tcW w:w="7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61,409</w:t>
            </w:r>
          </w:p>
        </w:tc>
        <w:tc>
          <w:tcPr>
            <w:tcW w:w="8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Payments from landlords</w:t>
            </w:r>
          </w:p>
        </w:tc>
        <w:tc>
          <w:tcPr>
            <w:tcW w:w="2840" w:type="dxa"/>
            <w:vAlign w:val="bottom"/>
            <w:gridSpan w:val="2"/>
            <w:shd w:val="clear" w:color="auto" w:fill="CCEEFF"/>
          </w:tcPr>
          <w:p>
            <w:pPr>
              <w:ind w:left="274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78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14,242</w:t>
            </w:r>
          </w:p>
        </w:tc>
        <w:tc>
          <w:tcPr>
            <w:tcW w:w="80" w:type="dxa"/>
            <w:vAlign w:val="bottom"/>
            <w:shd w:val="clear" w:color="auto" w:fill="CCEEFF"/>
          </w:tcPr>
          <w:p>
            <w:pPr>
              <w:spacing w:after="0"/>
              <w:rPr>
                <w:sz w:val="17"/>
                <w:szCs w:val="17"/>
                <w:color w:val="auto"/>
              </w:rPr>
            </w:pPr>
          </w:p>
        </w:tc>
      </w:tr>
      <w:tr>
        <w:trPr>
          <w:trHeight w:val="405"/>
        </w:trPr>
        <w:tc>
          <w:tcPr>
            <w:tcW w:w="3700" w:type="dxa"/>
            <w:vAlign w:val="bottom"/>
          </w:tcPr>
          <w:p>
            <w:pPr>
              <w:spacing w:after="0"/>
              <w:rPr>
                <w:sz w:val="24"/>
                <w:szCs w:val="24"/>
                <w:color w:val="auto"/>
              </w:rPr>
            </w:pPr>
          </w:p>
        </w:tc>
        <w:tc>
          <w:tcPr>
            <w:tcW w:w="2740" w:type="dxa"/>
            <w:vAlign w:val="bottom"/>
          </w:tcPr>
          <w:p>
            <w:pPr>
              <w:jc w:val="right"/>
              <w:ind w:right="16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60"/>
          </w:cols>
          <w:pgMar w:left="320" w:top="486"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320"/>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129" w:lineRule="exact"/>
        <w:rPr>
          <w:sz w:val="20"/>
          <w:szCs w:val="20"/>
          <w:color w:val="auto"/>
        </w:rPr>
      </w:pPr>
    </w:p>
    <w:p>
      <w:pPr>
        <w:jc w:val="center"/>
        <w:ind w:right="93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In response to the business disruption caused by the COVID-19 pandemic, the Company has taken the following actions, related to its store operations:</w:t>
      </w:r>
    </w:p>
    <w:p>
      <w:pPr>
        <w:spacing w:after="0" w:line="62" w:lineRule="exact"/>
        <w:rPr>
          <w:sz w:val="20"/>
          <w:szCs w:val="20"/>
          <w:color w:val="auto"/>
        </w:rPr>
      </w:pPr>
    </w:p>
    <w:p>
      <w:pPr>
        <w:ind w:left="980" w:right="3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Temporarily closed all its 137 operating stores. The temporary closures were completed on March 20, 2020 (including our one new store that opened on March 16);</w:t>
      </w:r>
    </w:p>
    <w:p>
      <w:pPr>
        <w:spacing w:after="0" w:line="62"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April 30, 2020 one store opened to the public with limited food and beverage offerings. Two additional stores offered limited food and beverage for off-premises dining.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Selected revenue and store data for the periods indicated during the first quarter of fiscal 2020 and fiscal 2019 are as follows: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7"/>
              </w:rPr>
              <w:t>FY2020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7"/>
              </w:rPr>
              <w:t>FY2019</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9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4 week</w:t>
            </w:r>
          </w:p>
        </w:tc>
        <w:tc>
          <w:tcPr>
            <w:tcW w:w="140" w:type="dxa"/>
            <w:vAlign w:val="bottom"/>
          </w:tcPr>
          <w:p>
            <w:pPr>
              <w:spacing w:after="0"/>
              <w:rPr>
                <w:sz w:val="10"/>
                <w:szCs w:val="10"/>
                <w:color w:val="auto"/>
              </w:rPr>
            </w:pPr>
          </w:p>
        </w:tc>
        <w:tc>
          <w:tcPr>
            <w:tcW w:w="96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9 week</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4 week</w:t>
            </w:r>
          </w:p>
        </w:tc>
        <w:tc>
          <w:tcPr>
            <w:tcW w:w="90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9 week</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period</w:t>
            </w:r>
          </w:p>
        </w:tc>
        <w:tc>
          <w:tcPr>
            <w:tcW w:w="140" w:type="dxa"/>
            <w:vAlign w:val="bottom"/>
          </w:tcPr>
          <w:p>
            <w:pPr>
              <w:spacing w:after="0"/>
              <w:rPr>
                <w:sz w:val="12"/>
                <w:szCs w:val="12"/>
                <w:color w:val="auto"/>
              </w:rPr>
            </w:pP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period</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period</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ending</w:t>
            </w:r>
          </w:p>
        </w:tc>
        <w:tc>
          <w:tcPr>
            <w:tcW w:w="140" w:type="dxa"/>
            <w:vAlign w:val="bottom"/>
          </w:tcPr>
          <w:p>
            <w:pPr>
              <w:spacing w:after="0"/>
              <w:rPr>
                <w:sz w:val="12"/>
                <w:szCs w:val="12"/>
                <w:color w:val="auto"/>
              </w:rPr>
            </w:pP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ending</w:t>
            </w:r>
          </w:p>
        </w:tc>
        <w:tc>
          <w:tcPr>
            <w:tcW w:w="7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ending</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ending</w:t>
            </w:r>
          </w:p>
        </w:tc>
        <w:tc>
          <w:tcPr>
            <w:tcW w:w="140" w:type="dxa"/>
            <w:vAlign w:val="bottom"/>
          </w:tcPr>
          <w:p>
            <w:pPr>
              <w:spacing w:after="0"/>
              <w:rPr>
                <w:sz w:val="12"/>
                <w:szCs w:val="12"/>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3/1/20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5/3/20</w:t>
            </w:r>
          </w:p>
        </w:tc>
        <w:tc>
          <w:tcPr>
            <w:tcW w:w="26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3/3/19</w:t>
            </w:r>
          </w:p>
        </w:tc>
        <w:tc>
          <w:tcPr>
            <w:tcW w:w="260" w:type="dxa"/>
            <w:vAlign w:val="bottom"/>
          </w:tcPr>
          <w:p>
            <w:pPr>
              <w:spacing w:after="0"/>
              <w:rPr>
                <w:sz w:val="14"/>
                <w:szCs w:val="14"/>
                <w:color w:val="auto"/>
              </w:rPr>
            </w:pPr>
          </w:p>
        </w:tc>
        <w:tc>
          <w:tcPr>
            <w:tcW w:w="7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5/5/19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$ 115,491</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$ 44,315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$ 159,806</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$ 115,120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$ 248,462</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$ 363,582</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Store operating weeks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544</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289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490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1,126</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Stores open at end of period</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Total revenues decreased $203,776, or 56.0%, to $159,806 in the first quarter of fiscal 2020 compared to total revenues of $363,582 in the first quarter of fiscal 2019. The decline in revenue is attributed to fewer store operating weeks in the first quarter of fiscal 2020 as a result of temporary store closures. For the thirteen weeks ended May 3, 2020, we derived 26.3% of our total revenue from food sales, 13.7% from beverage sales, 59.3% from amusement sales and 0.7% from other sources. For the thirteen weeks ended May 5, 2019, we derived 27.7% of our total revenue from food sales, 13.1% from beverage sales, 58.5% from amusement sales and 0.7% from other sources.</w:t>
      </w:r>
    </w:p>
    <w:p>
      <w:pPr>
        <w:spacing w:after="0" w:line="17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Comparable store revenue decreased $9,351, or 8.6%, in the first four-week period of fiscal 2020 compared to the same period of fiscal 2019. Comparable walk-in revenues, which accounted for 92.5% of comparable store revenue in the four-week period ended March 1, 2020, decreased 8.5% compared to the similar period in fiscal 2019. Comparable store special events revenues, which accounted for 7.5% of comparable store revenue for the four-week period ended March 1, 2020, decreased 9.7% compared to the four-week period ended March 3, 2019. Comparable store sales in the remainder of the first quarter of fiscal 2020 declined $189,381 or 82.2% as store closures resulted in a 77% reduction in comparable store operating weeks compared to the same period in fiscal 2019.</w:t>
      </w:r>
    </w:p>
    <w:p>
      <w:pPr>
        <w:spacing w:after="0" w:line="192"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Food sales at comparable stores decreased by $3,407, or 11.7%, to $25,789 in the four-week period ended March 1, 2020 from $29,196 in the similar period in fiscal 2019. Beverage sales at comparable stores decreased by $1,085, or 7.4%, to $13,491 in the first four-week period of fiscal 2020 from $14,576 in the 2019 comparison period. Comparable store amusement and other revenues in the four-week period ended March 1, 2020 decreased by $4,859, or 7.5%, to $60,100 from $64,959 in the comparable four weeks of fiscal 2019. The decrease in sales was due to lower customer volumes.</w:t>
      </w:r>
    </w:p>
    <w:p>
      <w:pPr>
        <w:spacing w:after="0" w:line="15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decline in comparable store sales in the first four-week period of fiscal 2020 was offset by revenues associated with non-comparable stores. Non-comparable stores contributed an additional $9,668 of revenue and 54 additional operating weeks over the same period of fiscal 2019. Non-comparable store revenue for the remainder of the first quarter of fiscal 2020 declined $14,392 compared to the same time period in the first quarter of fiscal 2019. The decrease in non-comparable store revenue in the remainder of the first quarter of fiscal 2020 was primarily driven by temporary store closures, with a 47% reduction in store operating weeks.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total cost of products was $28,072 for the first quarter of fiscal 2020 and $61,725 for the first quarter of fiscal 2019. The total cost of products as a percentage of total revenues was 17.6% and 17.0% for the first quarter of fiscal 2020 and fiscal 2019, respectively. Cost of product during the first quarter of 2020 was negatively impacted by the disposal of approximately $522 of inventory associated with store closures.</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86"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During the first four weeks of fiscal 2020 cost of food and beverage products decreased to $11,487 compared to $11,920 for the similar period of fiscal 2019. Cost of food and beverage products, as a percentage of food and beverage revenues, decreased 50 basis points to 25.3% for the four-week period ended March 1, 2020 from 25.8% for the four-week period ended March 3, 2019. The favorable decrease in food and beverage costs as a percentage of revenue during this period was primarily driven by higher poultry costs in the prior year due to our “All You Can Eat” wings promotion.</w:t>
      </w:r>
    </w:p>
    <w:p>
      <w:pPr>
        <w:spacing w:after="0" w:line="15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Cost of amusement and other increased to $6,929 in the four-week period ended March 1, 2020 compared to $6,722 in the fiscal 2019 comparison period. The costs of amusement and other, as a percentage of amusement and other revenues, remained relatively unchanged at 9.9% and 9.8% in the first four-week period of fiscal 2020 and fiscal 2019,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Total operating payroll and benefits decreased by $39,136, or 47.2%, to $43,737 in the first quarter of fiscal 2020 compared to $82,873 in the first quarter of fiscal 2019. Nearly all our store workforce with the exception of a small team of essential personnel was furloughed in mid-March. The total cost of operating payroll and benefits, as a percentage of total revenues, increased 460 basis points to 27.4% in the first quarter of fiscal 2020 compared to 22.8% for the first quarter of fiscal 2019. This increase was due to sales deleveraging as a result of the temporary store closures during the first quarter of fiscal 2020. During the first four weeks of fiscal 2020 total operating payroll and benefits, as a percent of total revenues, increased 50 basis points compared to the same period in fiscal 2019. The unfavorable change was primarily driven by the deleveraging of comparable store management expense on lower sales and higher labor costs typical in our non-comparable stores.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Other store operating expenses decreased by $10,573, or 10.0%, to $95,672 in the first quarter of fiscal 2020 compared to $106,245 in the first quarter of fiscal 2019. Decreased marketing costs, maintenance and other services were partially offset by a $11,549 charge for impairment of long-lived assets. Other store operating expense during the first four weeks of fiscal 2020 were 30.6% of total revenue, which represents an increase of 105 basis points compared to the same period in fiscal 2019. This increase was due primarily to higher occupancy costs associated with our non-comparable stores, deleveraging of our occupancy costs on lower comparable store sales, and was partially offset by lower marketing costs in fiscal 2020 due to the absence of costs associated with 2019 menu changes and production costs which were incurred in the comparable 2019 period.</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General and administrative expenses decreased by $2,283, or 13.6%, to $14,563 in the first quarter of fiscal 2020 compared to $16,846 in the first quarter of fiscal 2019. The decrease in general and administrative expenses was primarily driven by lower labor and share based compensation costs at our corporate headquarters due to the furloughing of all but a small number of employees during the quarter and reducing pay and benefits for the remaining employees, partially offset by higher professional services costs.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Depreciation and amortization expense increased by $4,211 or 13.5%, to $35,352 in the first quarter of fiscal 2020 compared to $31,141 in the first quarter of fiscal 2019. Increased depreciation due to our 2020 and 2019 capital expenditures for new stores, operating initiatives, games and maintenance capital, was partially offset by other assets reaching the end of their depreciable lives.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Pre-opening costs decreased by $3,179 to $3,823 in the first quarter of fiscal 2020 compared to $7,002 in the first quarter of fiscal 2019 due to a decrease in the number of new store openings in the current year, as construction was put on hold.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Interest expense, net increased by $2,059 to $6,115 in the first quarter of fiscal 2020 compared to $4,056 in the first quarter of fiscal 2019 due primarily to an increase in average outstanding debt, offset slightly by a lower weighted average effective interest rate.</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effective tax rate for the thirteen weeks ended May 3, 2020, was a benefit of 35.5%, compared to an effective tax rate of 21.0% for the thirteen weeks ended May 5, 2019, primarily due to the impact of a decrease in operating earnings before income tax as well as the impact of provisions of the CARES Act, including technical amendments to qualified improvement property and the impact of carrying net operating losses from fiscal years 2019 and 2018 back to years with a higher federal corporate income tax rate.</w:t>
      </w:r>
    </w:p>
    <w:p>
      <w:pPr>
        <w:sectPr>
          <w:pgSz w:w="11900" w:h="16838" w:orient="portrait"/>
          <w:cols w:equalWidth="0" w:num="1">
            <w:col w:w="11120"/>
          </w:cols>
          <w:pgMar w:left="320" w:top="486" w:right="459" w:bottom="1440" w:gutter="0" w:footer="0" w:header="0"/>
        </w:sectPr>
      </w:pPr>
    </w:p>
    <w:p>
      <w:pPr>
        <w:spacing w:after="0" w:line="16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486" w:right="4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response to the business disruption caused by the COVID-19 pandemic, the Company has taken the following actions to enable it to meet its obligations over the next twelve months: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first quarter of fiscal year 2020, we:</w:t>
      </w:r>
    </w:p>
    <w:p>
      <w:pPr>
        <w:spacing w:after="0" w:line="117"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expenses broadly;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canceled or delayed all non-essential planned capital spending for the remainder of fiscal 2020 and halted all planned store openings;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suspended our share repurchase program and our dividend;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drew down substantially all the remaining credit available under our $500,000 revolving credit facility;</w:t>
      </w:r>
    </w:p>
    <w:p>
      <w:pPr>
        <w:spacing w:after="0" w:line="117"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negotiated an amendment with our lenders, which included relief from compliance with financial covenants for the first, second and third quarterly periods of fiscal 2020;</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sold shares of our common stock, which generated net proceeds of $72,144; and</w:t>
      </w:r>
    </w:p>
    <w:p>
      <w:pPr>
        <w:spacing w:after="0" w:line="117" w:lineRule="exact"/>
        <w:rPr>
          <w:rFonts w:ascii="Arial" w:cs="Arial" w:eastAsia="Arial" w:hAnsi="Arial"/>
          <w:sz w:val="18"/>
          <w:szCs w:val="18"/>
          <w:color w:val="auto"/>
        </w:rPr>
      </w:pPr>
    </w:p>
    <w:p>
      <w:pPr>
        <w:ind w:left="980" w:right="60" w:hanging="324"/>
        <w:spacing w:after="0" w:line="311"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began discussions with our landlords, vendors, and other business partners to reduce our lease and contract payments and obtain other concessions, including executing amendments to four of our operating leases, abating or deferring rent obligations of approximately $1,400, generally for a minimum of three months beginning in April 2020, and modifying rents for an additional six months for two of these stores.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during the second quarter of fiscal 2020, we:</w:t>
      </w:r>
    </w:p>
    <w:p>
      <w:pPr>
        <w:spacing w:after="0" w:line="11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negotiate with our lenders for increased borrowing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sold additional shares of common stock, which generated proceeds of $110,600 before offering costs; and</w:t>
      </w:r>
    </w:p>
    <w:p>
      <w:pPr>
        <w:spacing w:after="0" w:line="117"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discussions with our landlords, vendors and other business partners to reduce our lease and contract payments and obtain concessions.</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While these measures have been successful in obtaining temporary relief, and we continue to negotiate additional relief measures, given the uncertainty surrounding the timing of re-opening of our stores and lifting of capacity restrictions and other requirements and how quickly customers will return to our stores, which may be a function of continued concerns over safety and/or depressed consumer sentiment due to adverse economic conditions, including job losses, substantial doubt exists about our ability to meet our obligations when they become due.</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Debt and Derivatives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During the first quarter of fiscal year 2020, we drew down substantially all the available credit under our $500,000 revolving credit facility. Current availability under the revolving credit facility is reduced by $10,147 of outstanding letters of credit, which are used to support our self-insurance programs. As of May 3, 2020, we had $853 of remaining net availability and total outstanding debt obligations of $751,500 under the existing credit facility, which matures in August 2022.</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Effective April 14, 2020, we amended our existing credit facility, which included relief from compliance with financial covenants for the quarterly periods ended May 3, 2020, August 2, 2020, and November 1, 2020. During the financial covenant suspension period, a $30,000 liquidity covenant was added as well as certain additional reporting requirements. The interest rate increased to LIBOR plus 2.00% with a LIBOR floor of 1.00%. In connection with the amendment, we incurred debt costs of $2,000, which are payable at the maturity date of the credit facility, with earlier payment required in the event of certain conditions, as defined in the agreement. As of May 3, 2020, the Company’s weighted average interest rate on outstanding borrowings was 3.59%. We expect this rate to increase in future quarters as a result of the amendment. Further, if there is an event of default on our revolving credit facility, the entire balance plus accrued interest may become due and payable or our interest rate could change to the default rate of interest, as defined, which would be higher than the current interest rate.</w:t>
      </w:r>
    </w:p>
    <w:p>
      <w:pPr>
        <w:spacing w:after="0" w:line="17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use interest rate swaps in the management of our exposure to fluctuations in interest rates on our variable rate credit facility. Our swap agreements with our derivative counterparties contain a provision where if the Company defaults on any of its indebtedness, and repayment of the indebtedness has been accelerated, the Company could also be declared in default on its derivative obligations. Refer to Note 1 of the Unaudited Consolidated Financial Statements for further discussion of our swap agreements, which were de-designated as hedges effective April 14,2020, the date of the amendment to our credit facility.</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Dividends and Share Repurchases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had previously established a share repurchase program, under which the Company may repurchase shares on the open market, through privately negotiated transactions, and through trading plans designed to comply with Rule 10b5-1 of the Exchange Act. At May 3, 2020, we had approximately $172,820 remaining of a total $800,000 share repurchase authorization. The existing share repurchase program expires at the end of fiscal 2020. As a result of the impacts to our business arising from the COVID -19 pandemic, share purchases and dividend payments have been indefinitely suspended.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 Flow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May 3, 2020, we had cash and cash equivalents of $156,833.</w:t>
      </w:r>
    </w:p>
    <w:p>
      <w:pPr>
        <w:spacing w:after="0" w:line="225"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 Cash flow generated from operations provides us with a significant source of liquidity. Our operating cash flows result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from cash received from our customers, offset by cash payments we make for products and services, employee compensation, operations and occupancy costs. Cash provided by or used in operating activities is also subject to changes in working capital. Working capital at any specific point in time is subject to many variables, including seasonality, the timing of cash receipts and payments, and vendor payment terms.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Net cash provided by operating activities decreased $68,923 in the thirteen weeks ended May 3, 2020 compared to the thirteen weeks ended</w:t>
      </w:r>
    </w:p>
    <w:p>
      <w:pPr>
        <w:spacing w:after="0" w:line="35"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May 5, 2019 driven primarily by the closure of all of our 137 operating stores as of March 20, 2020, offset somewhat by the results of our efforts during our first quarter of fiscal 2020 to actively manage the Company’s daily cash flows, including short payments to landlords.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 Cash used in investing activities primarily reflects capital expenditures.</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During the thirteen weeks ended May 3, 2020, the Company spent approximately $41,000 for new store construction and operating improvement initiatives, $8,000 for game refreshment and $6,000 for maintenance capital.</w:t>
      </w:r>
    </w:p>
    <w:p>
      <w:pPr>
        <w:spacing w:after="0" w:line="170" w:lineRule="exact"/>
        <w:rPr>
          <w:sz w:val="20"/>
          <w:szCs w:val="20"/>
          <w:color w:val="auto"/>
        </w:rPr>
      </w:pPr>
    </w:p>
    <w:p>
      <w:pPr>
        <w:ind w:left="120" w:right="780" w:firstLine="440"/>
        <w:spacing w:after="0" w:line="308" w:lineRule="auto"/>
        <w:rPr>
          <w:sz w:val="20"/>
          <w:szCs w:val="20"/>
          <w:color w:val="auto"/>
        </w:rPr>
      </w:pPr>
      <w:r>
        <w:rPr>
          <w:rFonts w:ascii="Arial" w:cs="Arial" w:eastAsia="Arial" w:hAnsi="Arial"/>
          <w:sz w:val="17"/>
          <w:szCs w:val="17"/>
          <w:color w:val="auto"/>
        </w:rPr>
        <w:t>During the thirteen weeks ended May 5, 2019, we spent approximately $57,700 ($43,500 net of payments from landlords) for new store construction and operating improvement initiatives, $3,800 for game refreshment and $5,700 for maintenance capital.</w:t>
      </w:r>
    </w:p>
    <w:p>
      <w:pPr>
        <w:spacing w:after="0" w:line="14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 Cash provided by financing activities in the thirteen weeks ended May 3, 2020, primarily reflected $103,250 of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from borrowings of debt and $72,144 of net proceeds from the issuance of shares of our common stock. In the thirteen weeks ended May 5, 2019, cash used in financing activities primarily reflected approximately $63,500 of share repurchases and approximately $5,500 of cash dividends paid, partially offset by $49,250 of net proceeds from borrowings.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Other than the amendment to our credit facility effective April 14, 2020, there have been no material changes outside the ordinary course of business to our contractual obligations since February 2, 2020, as reported on Form 10-K filed with the SEC on April 3, 2020.</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policies and estimates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 10-K filed with the SEC on April 3, 2020.</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 to Note 1 to the Unaudited Consolidated Financial Statements for information regarding new accounting pronouncements.</w:t>
      </w:r>
    </w:p>
    <w:p>
      <w:pPr>
        <w:spacing w:after="0" w:line="32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are exposed to market price fluctuation in food and beverage product prices.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 At this time, we do not use financial instruments to hedge our commodity risk.</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are exposed to interest rate risk arising from changes in interest rates due to the variable rate indebtedness under our credit facility. At May 3, 2020, borrowings pursuant to our credit facility of $751,500 bear interest at a floating rate based on LIBOR plus 2.00%, with a LIBOR floor of 1.00%. We currently have an interest rate swap agreement to manage our exposure to interest rate movements on our variable rate credit facility up to the notional amount of $350,000. The agreement converts the floating portion of the interest rate to a fixed interest rate of approximately 2.47% from the effective date of the agreements through the term of our existing credit facility.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primary inflationary factors affecting our operations are food, labor costs, and energy costs. Many of our leases require us to pay taxes, maintenance, repairs, insurance and utilities, all of which are generally subject to inflationary increases. Finally, the cost of constructing our stores is subject to inflationary increases in the costs of labor and material.</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We have a substantial number of hourly employees who are paid wage rates at or based on the applicable federal, state or city minimum wage and increases in the minimum wage will increase our labor costs. Several states and local jurisdictions in which we operate have enacted legislation to increase the minimum wage and/or minimum tipped wage rates by varying amounts, with more planned increases in the future.</w:t>
      </w:r>
    </w:p>
    <w:p>
      <w:pPr>
        <w:spacing w:after="0" w:line="16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general, we have been able to partially offset cost increases resulting from inflation by increasing menu prices, improving productivity, or other operating changes. We may or may not be able to offset cost increases in the future.</w:t>
      </w:r>
    </w:p>
    <w:p>
      <w:pPr>
        <w:spacing w:after="0" w:line="274"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left="120" w:right="120" w:firstLine="44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the Chief Executive Officer and Chief Financial Officer, we have evaluated the effectiveness of our disclosure controls and procedures pursuant to Rules 13a-15 and 15d-15 promulgated under the Securities Exchange Act of 1934, as amended, as of the end of the period covered by this report. Based on that evaluation, the Chief Executive Officer and Chief Financial Officer have concluded that these disclosure controls and procedures are effective.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our first quarter ended May 3, 2020, that have materially affected, or are reasonably likely to materially affect, our internal control over financial reporting.</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Information regarding legal proceedings is incorporated by reference from Note 5 to our Unaudited Consolidated Financial Statements set forth in Part I of this report.</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86"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is supplementing the Risk Factors previously disclosed in Item 1A of the Annual Report on Form 10-K for the fiscal year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ended February 2, 2020, (the “Annual Report”). The following risk factor should be read in conjunction with the Risk Factors disclosed in the Annual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Report.</w:t>
      </w:r>
    </w:p>
    <w:p>
      <w:pPr>
        <w:spacing w:after="0" w:line="31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The COVID-19 pandemic has disrupted and is expected to continue to disrupt our business, which could have a material adverse impact on our business, results of operations, liquidity and financial condition for an extended period of time.</w:t>
      </w:r>
    </w:p>
    <w:p>
      <w:pPr>
        <w:spacing w:after="0" w:line="62"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color w:val="auto"/>
        </w:rPr>
        <w:t>The recent outbreak of COVID-19, and any other outbreaks of contagious diseases or other adverse public health developments in the United States or worldwide, could have a material adverse effect on our business, results of operations, liquidity and financial condition. In 2020, the COVID-19 pandemic has significantly impacted the economy in general, and our business specifically, and it will continue to negatively affect our business in a number of ways. These effects could include, but are not limited to:</w:t>
      </w:r>
    </w:p>
    <w:p>
      <w:pPr>
        <w:spacing w:after="0" w:line="63" w:lineRule="exact"/>
        <w:rPr>
          <w:sz w:val="20"/>
          <w:szCs w:val="20"/>
          <w:color w:val="auto"/>
        </w:rPr>
      </w:pPr>
    </w:p>
    <w:p>
      <w:pPr>
        <w:ind w:left="980" w:right="3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uncertain and unprecedented impact of the coronavirus and the disease it causes (COVID-19) on our business and operations and the related impact on our liquidity needs;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17"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additional waivers or amendments, and thereafter continue to satisfy covenant requirements (even as they may be amended), under our amended credit agreement and derivative contract payables;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access other funding sources;</w:t>
      </w:r>
    </w:p>
    <w:p>
      <w:pPr>
        <w:spacing w:after="0" w:line="117"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duration of government-mandated and voluntary shutdowns, and the impact of ongoing mitigation restrictions on our operations once our stores can reopen;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speed with which our stores safely can be reopened and the level of customer demand following reopening;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economic impact of COVID-19 and related disruptions on the communities we serve;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overall level of indebtedness.</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extent to which the COVID-19 pandemic, or other outbreaks of disease or similar public health threats, materially and adversely impacts our business, results of operations, liquidity and financial condition is highly uncertain and will depend on future developments. Such developments may include the geographic spread and duration of the virus, the severity of the disease and the actions that may be taken by various governmental authorities and other third parties in response to the outbreak. In addition, how quickly, and to what extent, normal economic and operating conditions can resume cannot be predicted, and the resumption of normal business operations may be delayed or constrained by lingering effects of the COVID-19 pandemic on us or our suppliers, third-party service providers, and/or customers.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There has been no material change in the use of proceeds disclosed in our prospectus supplement to our registration statement on Form S-3, filed with the SEC on April 14, 2020.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repurchases of our common stock under our share repurchase plan during the thirteen weeks ended May 3, 2020.</w:t>
      </w:r>
    </w:p>
    <w:p>
      <w:pPr>
        <w:spacing w:after="0" w:line="1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320" w:top="486" w:right="5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00" w:type="dxa"/>
            <w:vAlign w:val="bottom"/>
          </w:tcPr>
          <w:p>
            <w:pPr>
              <w:jc w:val="center"/>
              <w:ind w:right="274"/>
              <w:spacing w:after="0"/>
              <w:rPr>
                <w:sz w:val="20"/>
                <w:szCs w:val="20"/>
                <w:color w:val="auto"/>
              </w:rPr>
            </w:pPr>
            <w:r>
              <w:rPr>
                <w:rFonts w:ascii="Arial" w:cs="Arial" w:eastAsia="Arial" w:hAnsi="Arial"/>
                <w:sz w:val="18"/>
                <w:szCs w:val="18"/>
                <w:b w:val="1"/>
                <w:bCs w:val="1"/>
                <w:color w:val="auto"/>
                <w:w w:val="94"/>
              </w:rPr>
              <w:t>Item 6.</w:t>
            </w:r>
          </w:p>
        </w:tc>
        <w:tc>
          <w:tcPr>
            <w:tcW w:w="10100" w:type="dxa"/>
            <w:vAlign w:val="bottom"/>
            <w:gridSpan w:val="8"/>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900" w:type="dxa"/>
            <w:vAlign w:val="bottom"/>
          </w:tcPr>
          <w:p>
            <w:pPr>
              <w:jc w:val="center"/>
              <w:ind w:right="314"/>
              <w:spacing w:after="0"/>
              <w:rPr>
                <w:sz w:val="20"/>
                <w:szCs w:val="20"/>
                <w:color w:val="auto"/>
              </w:rPr>
            </w:pPr>
            <w:r>
              <w:rPr>
                <w:rFonts w:ascii="Arial" w:cs="Arial" w:eastAsia="Arial" w:hAnsi="Arial"/>
                <w:sz w:val="14"/>
                <w:szCs w:val="14"/>
                <w:b w:val="1"/>
                <w:bCs w:val="1"/>
                <w:color w:val="auto"/>
                <w:w w:val="98"/>
              </w:rPr>
              <w:t>Exhibit</w:t>
            </w:r>
          </w:p>
        </w:tc>
        <w:tc>
          <w:tcPr>
            <w:tcW w:w="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gridSpan w:val="4"/>
            <w:vMerge w:val="restart"/>
          </w:tcPr>
          <w:p>
            <w:pPr>
              <w:ind w:left="1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900" w:type="dxa"/>
            <w:vAlign w:val="bottom"/>
          </w:tcPr>
          <w:p>
            <w:pPr>
              <w:jc w:val="center"/>
              <w:ind w:right="314"/>
              <w:spacing w:after="0"/>
              <w:rPr>
                <w:sz w:val="20"/>
                <w:szCs w:val="20"/>
                <w:color w:val="auto"/>
              </w:rPr>
            </w:pPr>
            <w:r>
              <w:rPr>
                <w:rFonts w:ascii="Arial" w:cs="Arial" w:eastAsia="Arial" w:hAnsi="Arial"/>
                <w:sz w:val="14"/>
                <w:szCs w:val="14"/>
                <w:b w:val="1"/>
                <w:bCs w:val="1"/>
                <w:color w:val="auto"/>
                <w:w w:val="94"/>
              </w:rPr>
              <w:t>Number</w:t>
            </w:r>
          </w:p>
        </w:tc>
        <w:tc>
          <w:tcPr>
            <w:tcW w:w="9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900" w:type="dxa"/>
            <w:vAlign w:val="bottom"/>
          </w:tcPr>
          <w:p>
            <w:pPr>
              <w:ind w:left="60"/>
              <w:spacing w:after="0"/>
              <w:rPr>
                <w:sz w:val="20"/>
                <w:szCs w:val="20"/>
                <w:color w:val="auto"/>
              </w:rPr>
            </w:pPr>
            <w:r>
              <w:rPr>
                <w:rFonts w:ascii="Arial" w:cs="Arial" w:eastAsia="Arial" w:hAnsi="Arial"/>
                <w:sz w:val="18"/>
                <w:szCs w:val="18"/>
                <w:color w:val="auto"/>
              </w:rPr>
              <w:t>10.1*</w:t>
            </w:r>
          </w:p>
        </w:tc>
        <w:tc>
          <w:tcPr>
            <w:tcW w:w="96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Severance Agreement and Release between John P. Gleason, Dave &amp; Buster’s Entertainment, Inc., and Dave &amp; Buster’s Management</w:t>
              </w:r>
            </w:hyperlink>
          </w:p>
        </w:tc>
        <w:tc>
          <w:tcPr>
            <w:tcW w:w="46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Corporation.</w:t>
              </w:r>
            </w:hyperlink>
          </w:p>
        </w:tc>
        <w:tc>
          <w:tcPr>
            <w:tcW w:w="9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00" w:type="dxa"/>
            <w:vAlign w:val="bottom"/>
          </w:tcPr>
          <w:p>
            <w:pPr>
              <w:ind w:left="60"/>
              <w:spacing w:after="0"/>
              <w:rPr>
                <w:sz w:val="20"/>
                <w:szCs w:val="20"/>
                <w:color w:val="auto"/>
              </w:rPr>
            </w:pPr>
            <w:r>
              <w:rPr>
                <w:rFonts w:ascii="Arial" w:cs="Arial" w:eastAsia="Arial" w:hAnsi="Arial"/>
                <w:sz w:val="18"/>
                <w:szCs w:val="18"/>
                <w:color w:val="auto"/>
              </w:rPr>
              <w:t>10.2*</w:t>
            </w:r>
          </w:p>
        </w:tc>
        <w:tc>
          <w:tcPr>
            <w:tcW w:w="101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First Amendment to Amended and Restated Credit Agreement among Dave &amp; Buster’s, Inc., various lenders and Bank of America, N.A., as</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administrative agent for the lenders.</w:t>
              </w:r>
            </w:hyperlink>
          </w:p>
        </w:tc>
        <w:tc>
          <w:tcPr>
            <w:tcW w:w="75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00" w:type="dxa"/>
            <w:vAlign w:val="bottom"/>
          </w:tcPr>
          <w:p>
            <w:pPr>
              <w:ind w:left="60"/>
              <w:spacing w:after="0"/>
              <w:rPr>
                <w:sz w:val="20"/>
                <w:szCs w:val="20"/>
                <w:color w:val="auto"/>
              </w:rPr>
            </w:pPr>
            <w:r>
              <w:rPr>
                <w:rFonts w:ascii="Arial" w:cs="Arial" w:eastAsia="Arial" w:hAnsi="Arial"/>
                <w:sz w:val="18"/>
                <w:szCs w:val="18"/>
                <w:color w:val="auto"/>
              </w:rPr>
              <w:t>31.1*</w:t>
            </w:r>
          </w:p>
        </w:tc>
        <w:tc>
          <w:tcPr>
            <w:tcW w:w="10100" w:type="dxa"/>
            <w:vAlign w:val="bottom"/>
            <w:gridSpan w:val="8"/>
          </w:tcPr>
          <w:p>
            <w:pPr>
              <w:spacing w:after="0"/>
              <w:rPr>
                <w:rFonts w:ascii="Arial" w:cs="Arial" w:eastAsia="Arial" w:hAnsi="Arial"/>
                <w:sz w:val="18"/>
                <w:szCs w:val="18"/>
                <w:u w:val="single" w:color="auto"/>
                <w:color w:val="0000EE"/>
                <w:w w:val="93"/>
              </w:rPr>
            </w:pPr>
            <w:hyperlink w:anchor="page232">
              <w:r>
                <w:rPr>
                  <w:rFonts w:ascii="Arial" w:cs="Arial" w:eastAsia="Arial" w:hAnsi="Arial"/>
                  <w:sz w:val="18"/>
                  <w:szCs w:val="18"/>
                  <w:u w:val="single" w:color="auto"/>
                  <w:color w:val="0000EE"/>
                  <w:w w:val="93"/>
                </w:rPr>
                <w:t>Certification of Brian A. Jenkins, Chief Executive Officer of the Registrant, pursuant to 17 CFR 240.13a-14(a) or 17 CFR 240.15d-14(a).</w:t>
              </w:r>
            </w:hyperlink>
          </w:p>
        </w:tc>
        <w:tc>
          <w:tcPr>
            <w:tcW w:w="0" w:type="dxa"/>
            <w:vAlign w:val="bottom"/>
          </w:tcPr>
          <w:p>
            <w:pPr>
              <w:spacing w:after="0"/>
              <w:rPr>
                <w:sz w:val="1"/>
                <w:szCs w:val="1"/>
                <w:color w:val="auto"/>
              </w:rPr>
            </w:pPr>
          </w:p>
        </w:tc>
      </w:tr>
      <w:tr>
        <w:trPr>
          <w:trHeight w:val="324"/>
        </w:trPr>
        <w:tc>
          <w:tcPr>
            <w:tcW w:w="900" w:type="dxa"/>
            <w:vAlign w:val="bottom"/>
          </w:tcPr>
          <w:p>
            <w:pPr>
              <w:ind w:left="60"/>
              <w:spacing w:after="0"/>
              <w:rPr>
                <w:sz w:val="20"/>
                <w:szCs w:val="20"/>
                <w:color w:val="auto"/>
              </w:rPr>
            </w:pPr>
            <w:r>
              <w:rPr>
                <w:rFonts w:ascii="Arial" w:cs="Arial" w:eastAsia="Arial" w:hAnsi="Arial"/>
                <w:sz w:val="18"/>
                <w:szCs w:val="18"/>
                <w:color w:val="auto"/>
              </w:rPr>
              <w:t>31.2*</w:t>
            </w:r>
          </w:p>
        </w:tc>
        <w:tc>
          <w:tcPr>
            <w:tcW w:w="10100" w:type="dxa"/>
            <w:vAlign w:val="bottom"/>
            <w:gridSpan w:val="8"/>
          </w:tcPr>
          <w:p>
            <w:pPr>
              <w:spacing w:after="0"/>
              <w:rPr>
                <w:rFonts w:ascii="Arial" w:cs="Arial" w:eastAsia="Arial" w:hAnsi="Arial"/>
                <w:sz w:val="18"/>
                <w:szCs w:val="18"/>
                <w:u w:val="single" w:color="auto"/>
                <w:color w:val="0000EE"/>
                <w:w w:val="93"/>
              </w:rPr>
            </w:pPr>
            <w:hyperlink w:anchor="page233">
              <w:r>
                <w:rPr>
                  <w:rFonts w:ascii="Arial" w:cs="Arial" w:eastAsia="Arial" w:hAnsi="Arial"/>
                  <w:sz w:val="18"/>
                  <w:szCs w:val="18"/>
                  <w:u w:val="single" w:color="auto"/>
                  <w:color w:val="0000EE"/>
                  <w:w w:val="93"/>
                </w:rPr>
                <w:t>Certification of Scott J. Bowman, Chief Financial Officer of the Registrant, pursuant to 17 CFR 240.13a-14(a) or 17 CFR 240.15d-14(a).</w:t>
              </w:r>
            </w:hyperlink>
          </w:p>
        </w:tc>
        <w:tc>
          <w:tcPr>
            <w:tcW w:w="0" w:type="dxa"/>
            <w:vAlign w:val="bottom"/>
          </w:tcPr>
          <w:p>
            <w:pPr>
              <w:spacing w:after="0"/>
              <w:rPr>
                <w:sz w:val="1"/>
                <w:szCs w:val="1"/>
                <w:color w:val="auto"/>
              </w:rPr>
            </w:pPr>
          </w:p>
        </w:tc>
      </w:tr>
      <w:tr>
        <w:trPr>
          <w:trHeight w:val="283"/>
        </w:trPr>
        <w:tc>
          <w:tcPr>
            <w:tcW w:w="900" w:type="dxa"/>
            <w:vAlign w:val="bottom"/>
          </w:tcPr>
          <w:p>
            <w:pPr>
              <w:ind w:left="60"/>
              <w:spacing w:after="0"/>
              <w:rPr>
                <w:sz w:val="20"/>
                <w:szCs w:val="20"/>
                <w:color w:val="auto"/>
              </w:rPr>
            </w:pPr>
            <w:r>
              <w:rPr>
                <w:rFonts w:ascii="Arial" w:cs="Arial" w:eastAsia="Arial" w:hAnsi="Arial"/>
                <w:sz w:val="18"/>
                <w:szCs w:val="18"/>
                <w:color w:val="auto"/>
              </w:rPr>
              <w:t>32.1*</w:t>
            </w:r>
          </w:p>
        </w:tc>
        <w:tc>
          <w:tcPr>
            <w:tcW w:w="97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34">
              <w:r>
                <w:rPr>
                  <w:rFonts w:ascii="Arial" w:cs="Arial" w:eastAsia="Arial" w:hAnsi="Arial"/>
                  <w:sz w:val="18"/>
                  <w:szCs w:val="18"/>
                  <w:color w:val="0000EE"/>
                  <w:w w:val="91"/>
                </w:rPr>
                <w:t>Certification of Brian A. Jenkins, Chief Executive Officer of the Registrant, pursuant to 18 U.S.C. Section 1350, as adopted pursuant to</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34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34">
              <w:r>
                <w:rPr>
                  <w:rFonts w:ascii="Arial" w:cs="Arial" w:eastAsia="Arial" w:hAnsi="Arial"/>
                  <w:sz w:val="18"/>
                  <w:szCs w:val="18"/>
                  <w:color w:val="0000EE"/>
                  <w:w w:val="90"/>
                </w:rPr>
                <w:t>Section 906 of the Sarbanes-Oxley Act of 2002.</w:t>
              </w:r>
            </w:hyperlink>
          </w:p>
        </w:tc>
        <w:tc>
          <w:tcPr>
            <w:tcW w:w="66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00" w:type="dxa"/>
            <w:vAlign w:val="bottom"/>
          </w:tcPr>
          <w:p>
            <w:pPr>
              <w:ind w:left="60"/>
              <w:spacing w:after="0"/>
              <w:rPr>
                <w:sz w:val="20"/>
                <w:szCs w:val="20"/>
                <w:color w:val="auto"/>
              </w:rPr>
            </w:pPr>
            <w:r>
              <w:rPr>
                <w:rFonts w:ascii="Arial" w:cs="Arial" w:eastAsia="Arial" w:hAnsi="Arial"/>
                <w:sz w:val="18"/>
                <w:szCs w:val="18"/>
                <w:color w:val="auto"/>
              </w:rPr>
              <w:t>32.2*</w:t>
            </w:r>
          </w:p>
        </w:tc>
        <w:tc>
          <w:tcPr>
            <w:tcW w:w="10100" w:type="dxa"/>
            <w:vAlign w:val="bottom"/>
            <w:gridSpan w:val="8"/>
          </w:tcPr>
          <w:p>
            <w:pPr>
              <w:spacing w:after="0"/>
              <w:rPr>
                <w:rFonts w:ascii="Arial" w:cs="Arial" w:eastAsia="Arial" w:hAnsi="Arial"/>
                <w:sz w:val="18"/>
                <w:szCs w:val="18"/>
                <w:color w:val="0000EE"/>
                <w:w w:val="94"/>
              </w:rPr>
            </w:pPr>
            <w:hyperlink w:anchor="page235">
              <w:r>
                <w:rPr>
                  <w:rFonts w:ascii="Arial" w:cs="Arial" w:eastAsia="Arial" w:hAnsi="Arial"/>
                  <w:sz w:val="18"/>
                  <w:szCs w:val="18"/>
                  <w:color w:val="0000EE"/>
                  <w:w w:val="94"/>
                </w:rPr>
                <w:t>Certification of Scott J. Bowman, Chief Financial Officer of the Registrant, pursuant to 18 U.S.C. Section 1350, as adopted pursuant to</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35">
              <w:r>
                <w:rPr>
                  <w:rFonts w:ascii="Arial" w:cs="Arial" w:eastAsia="Arial" w:hAnsi="Arial"/>
                  <w:sz w:val="18"/>
                  <w:szCs w:val="18"/>
                  <w:color w:val="0000EE"/>
                  <w:w w:val="90"/>
                </w:rPr>
                <w:t>Section 906 of the Sarbanes-Oxley Act of 2002.</w:t>
              </w:r>
            </w:hyperlink>
          </w:p>
        </w:tc>
        <w:tc>
          <w:tcPr>
            <w:tcW w:w="6260" w:type="dxa"/>
            <w:vAlign w:val="bottom"/>
            <w:tcBorders>
              <w:top w:val="single" w:sz="8" w:color="0000EE"/>
            </w:tcBorders>
            <w:gridSpan w:val="3"/>
          </w:tcPr>
          <w:p>
            <w:pPr>
              <w:spacing w:after="0"/>
              <w:rPr>
                <w:sz w:val="17"/>
                <w:szCs w:val="17"/>
                <w:color w:val="auto"/>
              </w:rPr>
            </w:pPr>
          </w:p>
        </w:tc>
        <w:tc>
          <w:tcPr>
            <w:tcW w:w="3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00" w:type="dxa"/>
            <w:vAlign w:val="bottom"/>
          </w:tcPr>
          <w:p>
            <w:pPr>
              <w:ind w:left="60"/>
              <w:spacing w:after="0"/>
              <w:rPr>
                <w:sz w:val="20"/>
                <w:szCs w:val="20"/>
                <w:color w:val="auto"/>
              </w:rPr>
            </w:pPr>
            <w:r>
              <w:rPr>
                <w:rFonts w:ascii="Arial" w:cs="Arial" w:eastAsia="Arial" w:hAnsi="Arial"/>
                <w:sz w:val="18"/>
                <w:szCs w:val="18"/>
                <w:color w:val="auto"/>
              </w:rPr>
              <w:t>101</w:t>
            </w:r>
          </w:p>
        </w:tc>
        <w:tc>
          <w:tcPr>
            <w:tcW w:w="10100" w:type="dxa"/>
            <w:vAlign w:val="bottom"/>
            <w:gridSpan w:val="8"/>
          </w:tcPr>
          <w:p>
            <w:pPr>
              <w:spacing w:after="0"/>
              <w:rPr>
                <w:sz w:val="20"/>
                <w:szCs w:val="20"/>
                <w:color w:val="auto"/>
              </w:rPr>
            </w:pPr>
            <w:r>
              <w:rPr>
                <w:rFonts w:ascii="Arial" w:cs="Arial" w:eastAsia="Arial" w:hAnsi="Arial"/>
                <w:sz w:val="18"/>
                <w:szCs w:val="18"/>
                <w:color w:val="auto"/>
              </w:rPr>
              <w:t>XBRL Interactive Data files</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right="3540" w:firstLine="50"/>
        <w:spacing w:after="0" w:line="461" w:lineRule="auto"/>
        <w:tabs>
          <w:tab w:leader="none" w:pos="1024"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-272415</wp:posOffset>
            </wp:positionV>
            <wp:extent cx="7372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DAVE &amp; BUSTER’S ENTERTAINMENT, INC.,</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120"/>
        <w:spacing w:after="0"/>
        <w:tabs>
          <w:tab w:leader="none" w:pos="5780" w:val="left"/>
        </w:tabs>
        <w:rPr>
          <w:sz w:val="20"/>
          <w:szCs w:val="20"/>
          <w:color w:val="auto"/>
        </w:rPr>
      </w:pPr>
      <w:r>
        <w:rPr>
          <w:rFonts w:ascii="Arial" w:cs="Arial" w:eastAsia="Arial" w:hAnsi="Arial"/>
          <w:sz w:val="18"/>
          <w:szCs w:val="18"/>
          <w:color w:val="auto"/>
        </w:rPr>
        <w:t>Date: June 11, 2020</w:t>
      </w:r>
      <w:r>
        <w:rPr>
          <w:sz w:val="20"/>
          <w:szCs w:val="20"/>
          <w:color w:val="auto"/>
        </w:rPr>
        <w:tab/>
      </w:r>
      <w:r>
        <w:rPr>
          <w:rFonts w:ascii="Arial" w:cs="Arial" w:eastAsia="Arial" w:hAnsi="Arial"/>
          <w:sz w:val="17"/>
          <w:szCs w:val="17"/>
          <w:color w:val="auto"/>
        </w:rPr>
        <w:t>By:  /s/ Brian A. Jenkins</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-130175</wp:posOffset>
            </wp:positionV>
            <wp:extent cx="32143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spacing w:after="0"/>
        <w:tabs>
          <w:tab w:leader="none" w:pos="5780" w:val="left"/>
        </w:tabs>
        <w:rPr>
          <w:sz w:val="20"/>
          <w:szCs w:val="20"/>
          <w:color w:val="auto"/>
        </w:rPr>
      </w:pPr>
      <w:r>
        <w:rPr>
          <w:rFonts w:ascii="Arial" w:cs="Arial" w:eastAsia="Arial" w:hAnsi="Arial"/>
          <w:sz w:val="18"/>
          <w:szCs w:val="18"/>
          <w:color w:val="auto"/>
        </w:rPr>
        <w:t>Date: June 11, 2020</w:t>
      </w:r>
      <w:r>
        <w:rPr>
          <w:sz w:val="20"/>
          <w:szCs w:val="20"/>
          <w:color w:val="auto"/>
        </w:rPr>
        <w:tab/>
      </w:r>
      <w:r>
        <w:rPr>
          <w:rFonts w:ascii="Arial" w:cs="Arial" w:eastAsia="Arial" w:hAnsi="Arial"/>
          <w:sz w:val="16"/>
          <w:szCs w:val="16"/>
          <w:color w:val="auto"/>
        </w:rPr>
        <w:t>By:  /s/ Scott J. Bowman</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-130175</wp:posOffset>
            </wp:positionV>
            <wp:extent cx="32143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40"/>
          </w:cols>
          <w:pgMar w:left="320" w:top="486" w:right="5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SEVERANCE AGREEMENT AND RELEASE</w:t>
      </w:r>
    </w:p>
    <w:p>
      <w:pPr>
        <w:spacing w:after="0" w:line="229"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This Severance Agreement and Release (this “Agreement”) is made and entered into by and between John P. Gleason (“Gleason”) and Dave &amp; Buster’s Entertainment, Inc. (“D&amp;B”) and Dave &amp; Buster’s Management Corporation (“D&amp;B Management”) (D&amp;B and D&amp;B Management are collectively referred to as the “Company”). Gleason and the Company are hereinafter collectively referred to as the “Parties.”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229"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WHEREAS, Gleason is currently employed as Chief Marketing Officer pursuant to his Employment Agreement dated August 19, 2015 (the “Employment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Gleason’s last day of employment with the Company and its corporate parents, subsidiaries, and affiliates will be April 30, 2020;</w:t>
      </w:r>
    </w:p>
    <w:p>
      <w:pPr>
        <w:spacing w:after="0" w:line="23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WHEREAS, the Parties desire to settle fully and finally, in the manner set forth herein, all differences between them which have arisen, or which may arise, prior to, or at the time of, the execution of this Agreement, including, but in no way limited to, any and all claims and controversies arising out of the employment relationship between Gleason and the Company and the termination thereof: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OF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NOW, THEREFORE, in consideration of the covenants and promises herein contained and for good and valuable consideration, the receipt and adequacy of which is hereby acknowledged, the Parties agree as follows:</w:t>
      </w:r>
    </w:p>
    <w:p>
      <w:pPr>
        <w:spacing w:after="0" w:line="166" w:lineRule="exact"/>
        <w:rPr>
          <w:sz w:val="20"/>
          <w:szCs w:val="20"/>
          <w:color w:val="auto"/>
        </w:rPr>
      </w:pPr>
    </w:p>
    <w:p>
      <w:pPr>
        <w:ind w:right="120" w:firstLine="436"/>
        <w:spacing w:after="0" w:line="303" w:lineRule="auto"/>
        <w:tabs>
          <w:tab w:leader="none" w:pos="755"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Admission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compliance with this Agreement shall not be construed as an admission by the Company of any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whatsoever, or as an admission by the Company of any violation of the rights of Gleason or any violation of any order, law, statute, duty, or contract whatsoever against Gleason or any person. The Company specifically denies and disclaims any liability to Gleason for any alleged violation of any rights of Gleason, or for any alleged violation of any order, law, statute, duty, common law rule or contract on the part of the Company.</w:t>
      </w:r>
    </w:p>
    <w:p>
      <w:pPr>
        <w:spacing w:after="0" w:line="150" w:lineRule="exact"/>
        <w:rPr>
          <w:rFonts w:ascii="Arial" w:cs="Arial" w:eastAsia="Arial" w:hAnsi="Arial"/>
          <w:sz w:val="16"/>
          <w:szCs w:val="16"/>
          <w:b w:val="1"/>
          <w:bCs w:val="1"/>
          <w:color w:val="auto"/>
        </w:rPr>
      </w:pPr>
    </w:p>
    <w:p>
      <w:pPr>
        <w:ind w:left="760" w:hanging="324"/>
        <w:spacing w:after="0"/>
        <w:tabs>
          <w:tab w:leader="none" w:pos="76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for this Agreement and Gleason’s release and other promises set forth herein, the Company shall pay to</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Gleason:</w:t>
      </w:r>
    </w:p>
    <w:p>
      <w:pPr>
        <w:spacing w:after="0" w:line="116" w:lineRule="exact"/>
        <w:rPr>
          <w:sz w:val="20"/>
          <w:szCs w:val="20"/>
          <w:color w:val="auto"/>
        </w:rPr>
      </w:pPr>
    </w:p>
    <w:p>
      <w:pPr>
        <w:ind w:left="960" w:right="320" w:hanging="532"/>
        <w:spacing w:after="0" w:line="279" w:lineRule="auto"/>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Four Hundred Ten Thousand ($410,000) (the “Severance Amount”), subject to all applicable withholdings, representing an amount equivalent to twelve (12) months of base salary, to be made in equal, pro rata amounts according to the Company’s normal payroll schedule and procedures over the course of the twelve (12) months commencing on the first payroll date of the Company following the sixtieth (60th) day of the Employee’s termination of employment (the “First Payroll Date”);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0" w:name="page31"/>
    <w:bookmarkEnd w:id="30"/>
    <w:p>
      <w:pPr>
        <w:ind w:left="960" w:right="100" w:hanging="532"/>
        <w:spacing w:after="0" w:line="272"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Twenty Two Thousand Seven Hundred Ninety Dollars and Sixty Four Cents ($22,790.64) (the “COBRA Amount”), subject to all applicable withholdings, representing the total monthly premiums required by Gleason to maintain his health insurance benefits provided by the Company’s group health insurance plan for twelve (12) months, in accordance with the requirements of the Consolidated Omnibus Budget Reconciliation Act of 1985 (“COBRA”), to be made in equal, pro rata amounts according to the Company’s normal payroll schedule and procedures over the course of the twelve (12) months commencing on the First Payroll Date (if during the course of the above 12 months, the monthly COBRA Amount is adjusted, the COBRA Amount will be accordingly adjusted as applicable to provide Gleason with twelve (12) months of COBRA payments at the then applicable rate each month);</w:t>
      </w:r>
    </w:p>
    <w:p>
      <w:pPr>
        <w:spacing w:after="0" w:line="82" w:lineRule="exact"/>
        <w:rPr>
          <w:rFonts w:ascii="Arial" w:cs="Arial" w:eastAsia="Arial" w:hAnsi="Arial"/>
          <w:sz w:val="17"/>
          <w:szCs w:val="17"/>
          <w:color w:val="auto"/>
        </w:rPr>
      </w:pPr>
    </w:p>
    <w:p>
      <w:pPr>
        <w:jc w:val="both"/>
        <w:ind w:left="960" w:right="260" w:hanging="532"/>
        <w:spacing w:after="0" w:line="286"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Twenty-Five Thousand Dollars ($25,000.00) (the “Executive Allowance Amount”), subject to all applicable withholdings, representing twelve (12) months of executive allowance, to be made in equal, pro rata amounts according to the Company’s normal payroll schedule and procedures over the course of the twelve (12) months commencing on the First Payroll Date;</w:t>
      </w:r>
    </w:p>
    <w:p>
      <w:pPr>
        <w:spacing w:after="0" w:line="70" w:lineRule="exact"/>
        <w:rPr>
          <w:rFonts w:ascii="Arial" w:cs="Arial" w:eastAsia="Arial" w:hAnsi="Arial"/>
          <w:sz w:val="17"/>
          <w:szCs w:val="17"/>
          <w:color w:val="auto"/>
        </w:rPr>
      </w:pPr>
    </w:p>
    <w:p>
      <w:pPr>
        <w:ind w:left="960" w:hanging="532"/>
        <w:spacing w:after="0" w:line="296"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full settlement of all annual bonus requirements for 2019, 2020, and otherwise, one hundred fifty thousand dollars ($150,000.00) worth of D&amp;B common stock (less any applicable taxes to be paid by withheld shares or payroll taxes, as legally permissible and as instructed by Gleason prior to grant), to vest immediately upon grant, and to be priced (based on the closing price of D&amp;B common stock on date of issuance) and issued on the same day, which day shall not be later than fourteen (14) days after execution of this Agreement by Gleason, with settlement to occur in one day (if deposited into Gleason’s registered shareholder account with Computershare);</w:t>
      </w:r>
    </w:p>
    <w:p>
      <w:pPr>
        <w:spacing w:after="0" w:line="16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payments under this Section shall not be due, owed, or payable to Gleason until each of the following has occurred: (a) the Company’s receipt of this Agreement, signed by Gleason; and (b) the Effective Date of this Agreement, whichever is later.</w:t>
      </w:r>
    </w:p>
    <w:p>
      <w:pPr>
        <w:spacing w:after="0" w:line="170"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Gleason agrees to return to the Company any payments received pursuant to this Section 2 in the event that Gleason does not materially comply with all post-employment obligations set out in this Agreement, including, but not limited to, the restrictive covenants and the restrictions on disclosure of the Confidential Information of the Company set forth herein and in Section 7 of his Employment Agreement.</w:t>
      </w:r>
    </w:p>
    <w:p>
      <w:pPr>
        <w:spacing w:after="0" w:line="161" w:lineRule="exact"/>
        <w:rPr>
          <w:sz w:val="20"/>
          <w:szCs w:val="20"/>
          <w:color w:val="auto"/>
        </w:rPr>
      </w:pPr>
    </w:p>
    <w:p>
      <w:pPr>
        <w:ind w:right="80" w:firstLine="436"/>
        <w:spacing w:after="0" w:line="294" w:lineRule="auto"/>
        <w:tabs>
          <w:tab w:leader="none" w:pos="755"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Gleason acknowledges and agrees that the Company has made no representations to Gleason regarding the tax</w:t>
      </w:r>
      <w:r>
        <w:rPr>
          <w:rFonts w:ascii="Arial" w:cs="Arial" w:eastAsia="Arial" w:hAnsi="Arial"/>
          <w:sz w:val="16"/>
          <w:szCs w:val="16"/>
          <w:b w:val="1"/>
          <w:bCs w:val="1"/>
          <w:color w:val="auto"/>
        </w:rPr>
        <w:t xml:space="preserve"> </w:t>
      </w:r>
      <w:r>
        <w:rPr>
          <w:rFonts w:ascii="Arial" w:cs="Arial" w:eastAsia="Arial" w:hAnsi="Arial"/>
          <w:sz w:val="16"/>
          <w:szCs w:val="16"/>
          <w:color w:val="auto"/>
        </w:rPr>
        <w:t>consequences of any amounts received by Gleason pursuant to this Agreement. Aside from any tax withholdings as set forth above, Gleason agrees that he will pay any and all taxes that may be due on account of any sums of money he receives pursuant to this Agreement and that the Company shall not be liable for any portion of any such taxes. In the event any governmental agency asserts that the Company, or the Released Parties (as defined below), are liable for any taxes on account of any sums of money paid to and/or received by Gleason pursuant to or as a result of this Agreement, Gleason further agrees that he shall indemnify and hold the Company, and/or the Released Parties (as defined below) harmless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1" w:name="page32"/>
    <w:bookmarkEnd w:id="31"/>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and for any and all claims, obligations and/or liabilities for any and all federal, state and or local taxes which may be or may become due on account of any such sums of money paid to and/or received by Gleason under the terms of this Agreement.</w:t>
      </w:r>
    </w:p>
    <w:p>
      <w:pPr>
        <w:spacing w:after="0" w:line="166" w:lineRule="exact"/>
        <w:rPr>
          <w:sz w:val="20"/>
          <w:szCs w:val="20"/>
          <w:color w:val="auto"/>
        </w:rPr>
      </w:pPr>
    </w:p>
    <w:p>
      <w:pPr>
        <w:jc w:val="both"/>
        <w:ind w:right="100" w:firstLine="436"/>
        <w:spacing w:after="0" w:line="261" w:lineRule="auto"/>
        <w:tabs>
          <w:tab w:leader="none" w:pos="75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Total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Gleason agrees that the foregoing shall constitute an accord and satisfaction and a full and complete severance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and consideration for his release of all claims and said payment shall constitute the entire amount of monetary consideration provided to him under this Agreement, and Gleason will not seek any further compensation for any other claimed damage, costs, or attorneys’ fees in connection with the matters encompassed in this Agreement.</w:t>
      </w:r>
    </w:p>
    <w:p>
      <w:pPr>
        <w:spacing w:after="0" w:line="179" w:lineRule="exact"/>
        <w:rPr>
          <w:rFonts w:ascii="Arial" w:cs="Arial" w:eastAsia="Arial" w:hAnsi="Arial"/>
          <w:sz w:val="18"/>
          <w:szCs w:val="18"/>
          <w:b w:val="1"/>
          <w:bCs w:val="1"/>
          <w:color w:val="auto"/>
        </w:rPr>
      </w:pPr>
    </w:p>
    <w:p>
      <w:pPr>
        <w:ind w:right="20" w:firstLine="436"/>
        <w:spacing w:after="0" w:line="291" w:lineRule="auto"/>
        <w:tabs>
          <w:tab w:leader="none" w:pos="755"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Monies Owed &amp; Duty of Cooperation</w:t>
      </w:r>
      <w:r>
        <w:rPr>
          <w:rFonts w:ascii="Arial" w:cs="Arial" w:eastAsia="Arial" w:hAnsi="Arial"/>
          <w:sz w:val="16"/>
          <w:szCs w:val="16"/>
          <w:b w:val="1"/>
          <w:bCs w:val="1"/>
          <w:color w:val="auto"/>
        </w:rPr>
        <w:t xml:space="preserve">. </w:t>
      </w:r>
      <w:r>
        <w:rPr>
          <w:rFonts w:ascii="Arial" w:cs="Arial" w:eastAsia="Arial" w:hAnsi="Arial"/>
          <w:sz w:val="16"/>
          <w:szCs w:val="16"/>
          <w:color w:val="auto"/>
        </w:rPr>
        <w:t>Gleason agrees to facilitate a smooth transition of his duties and to perform all business-related</w:t>
      </w:r>
      <w:r>
        <w:rPr>
          <w:rFonts w:ascii="Arial" w:cs="Arial" w:eastAsia="Arial" w:hAnsi="Arial"/>
          <w:sz w:val="16"/>
          <w:szCs w:val="16"/>
          <w:b w:val="1"/>
          <w:bCs w:val="1"/>
          <w:color w:val="auto"/>
        </w:rPr>
        <w:t xml:space="preserve"> </w:t>
      </w:r>
      <w:r>
        <w:rPr>
          <w:rFonts w:ascii="Arial" w:cs="Arial" w:eastAsia="Arial" w:hAnsi="Arial"/>
          <w:sz w:val="16"/>
          <w:szCs w:val="16"/>
          <w:color w:val="auto"/>
        </w:rPr>
        <w:t>tasks reasonably requested of him through his last date of employment of April 30, 2020, although Gleason will be permitted to work from home and look for other employment consistent with his confidentiality and noncompetition duties under this Agreement during this period. Gleason acknowledges that his severance payments are conditioned on his fulfilment of these duties. Gleason also represents that, after April 30, 2020, no earned wages, bonuses, stock awards, vacation, sick leave, overtime, premium pay and/or other monies or any other form of compensation of any kind, will be due to him except as described in this Agreement. To the extent Gleason has been granted Restricted Stock Units (“RSUs”) or Stock Options (“SOs”), the Restricted Stock Unit and Cash Award Agreements and the Nonqualified Stock Option Award Agreements (collectively, the “Equity Agreements”) specific to each of his grants shall govern the vesting and/or payout of any such RSUs and SOs.</w:t>
      </w:r>
    </w:p>
    <w:p>
      <w:pPr>
        <w:spacing w:after="0" w:line="159" w:lineRule="exact"/>
        <w:rPr>
          <w:rFonts w:ascii="Arial" w:cs="Arial" w:eastAsia="Arial" w:hAnsi="Arial"/>
          <w:sz w:val="16"/>
          <w:szCs w:val="16"/>
          <w:b w:val="1"/>
          <w:bCs w:val="1"/>
          <w:color w:val="auto"/>
        </w:rPr>
      </w:pPr>
    </w:p>
    <w:p>
      <w:pPr>
        <w:ind w:firstLine="436"/>
        <w:spacing w:after="0" w:line="268" w:lineRule="auto"/>
        <w:tabs>
          <w:tab w:leader="none" w:pos="755"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Release of Claims</w:t>
      </w:r>
      <w:r>
        <w:rPr>
          <w:rFonts w:ascii="Arial" w:cs="Arial" w:eastAsia="Arial" w:hAnsi="Arial"/>
          <w:sz w:val="17"/>
          <w:szCs w:val="17"/>
          <w:b w:val="1"/>
          <w:bCs w:val="1"/>
          <w:color w:val="auto"/>
        </w:rPr>
        <w:t xml:space="preserve">. </w:t>
      </w:r>
      <w:r>
        <w:rPr>
          <w:rFonts w:ascii="Arial" w:cs="Arial" w:eastAsia="Arial" w:hAnsi="Arial"/>
          <w:sz w:val="17"/>
          <w:szCs w:val="17"/>
          <w:color w:val="auto"/>
        </w:rPr>
        <w:t>Gleason, to the extent permitted by law, without limitation, hereby irrevocably and unconditionally releases and forever</w:t>
      </w:r>
      <w:r>
        <w:rPr>
          <w:rFonts w:ascii="Arial" w:cs="Arial" w:eastAsia="Arial" w:hAnsi="Arial"/>
          <w:sz w:val="17"/>
          <w:szCs w:val="17"/>
          <w:b w:val="1"/>
          <w:bCs w:val="1"/>
          <w:color w:val="auto"/>
        </w:rPr>
        <w:t xml:space="preserve"> </w:t>
      </w:r>
      <w:r>
        <w:rPr>
          <w:rFonts w:ascii="Arial" w:cs="Arial" w:eastAsia="Arial" w:hAnsi="Arial"/>
          <w:sz w:val="17"/>
          <w:szCs w:val="17"/>
          <w:color w:val="auto"/>
        </w:rPr>
        <w:t>discharges the Company, its current and former employees, its officers, agents, Board of Directors, supervisors, representatives, attorneys, divisions, parents, subsidiaries, parents’ subsidiaries, affiliates, joint ventures, partners, limited partners and successors, insurers, and all persons acting by, through, under, or in concert with any of them (all together collectively, the “Released Parties”) from any and all charges, complaints, claims, causes of action, debts, sums of money, controversies, agreements, promises, damages and liabilities of any kind or nature whatsoever, both at law and equity, known or unknown, suspected or unsuspected (hereinafter referred to as “claim” or “claims”), arising from conduct occurring on or before the date of this Agreement or arising out of any contract between Gleason and the Company or the Released Parties, which Gleason at any time heretofore had or claimed to have or which he may have or claim to have regarding events that have occurred from the beginning of time through the date this Agreement is signed. Such claims include, but are not limited to, all actions, complaints, claims and grievances, whether actual or potential, known or unknown, and specifically but not exclusively all claims that could potentially be brought arising out of Gleason’s employment with the Company. This provision is intended by the Parties to be all-encompassing and to act as a full and total release of any claim and any right to monetary or other recovery arising from any claim, whether specifically enumerated herein or not, that Gleason might have or has had, that exists or ever has existed on or prior to the date of this Agreement. All such claims, including related attorneys’ fees and costs, are forever barred by this Agreement (with the exception of any attorneys’ fees and costs incurred to enforce this Agreement) without regard to whether those claims are based on any alleged breach of a duty arising in contract (including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2" w:name="page33"/>
    <w:bookmarkEnd w:id="3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but not limited to claims arising under the Employment Agreement) or tort; any alleged unlawful act, any other claim or cause of action; and regardless of the forum in which it might be brought. This release specifically extends to, without limitation, claims or causes of action for wrongful termination, constructive discharge, impairment of ability to compete in the open labor market, breach of an express or implied contract, breach of the covenant of good faith and fair dealing, breach of fiduciary duty, fraud, misrepresentation, defamation, slander, infliction of emotional distress, discrimination, harassment, retaliation, disability, loss of future earnings, and claims under the Texas Constitution, the United States Constitution, and applicable state and federal fair employment laws, federal equal employment opportunity laws, and federal and state labor statutes and regulations, including, but not limited to, the Civil Rights Act of 1964, as amended, the Worker Retraining and Notification Act of 1988, as amended, the Employee Retirement Income Security Act of 1974, as amended, the Racketeer Influenced and Corrupt Company Act, the Family and Medical Leave Act, the Americans With Disabilities Act of 1990, as amended, the Rehabilitation Act of 1973, as amended, the National Labor Relations Act, the Texas Worker’s Compensation Act, the Texas Health and Safety Code, the Texas Minimum Wage Act, the Texas Payday Law, the Texas Commission on Human Rights Act, and the Texas Labor Code, as amended.</w:t>
      </w:r>
    </w:p>
    <w:p>
      <w:pPr>
        <w:spacing w:after="0" w:line="182"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Gleason also waives and releases to the maximum extent allowed by law all monetary and other relief that may be sought on Gleason’s behalf by other persons or agencies. However, notwithstanding the foregoing, nothing in this Agreement shall be construed to affect the rights and responsibilities of the Equal Employment Opportunity Commission (“EEOC”) or Department of Fair Employment and Housing (“DFEH”) to enforce the Civil Rights Act of 1964, as amended, the Age Discrimination in Employment Act of 1967, as amended, or any other applicable law, nor shall anything in this Agreement be construed as a basis for interfering with Gleason’s protected right to file a timely charge with, or participate in an investigation or proceeding conducted by the EEOC or DFEH, or any other state, federal or local government entity; provided, however, if the EEOC, DFEH, or any other state, federal or local government entity commences an investigation on Gleason’s behalf, Gleason specifically waives and releases his right, if any, to recover any monetary or other benefits of any sort whatsoever arising from any such investigation or otherwise.</w:t>
      </w:r>
    </w:p>
    <w:p>
      <w:pPr>
        <w:spacing w:after="0" w:line="165"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To the extent applicable, nothing in this Agreement is intended to waive claims: (i) for unemployment or workers’ compensation benefits; (ii) for vested rights under ERISA-covered employee benefit plans and/or the Equity Agreements as applicable on the Effective Date of this Agreement; (iii) that may arise after the Effective Date of this Agreement; or (iv) which cannot be released by private agreement.</w:t>
      </w:r>
    </w:p>
    <w:p>
      <w:pPr>
        <w:spacing w:after="0" w:line="165"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Gleason agrees that he: (a) received all wages, bonuses, overtime payments, and other monetary compensation, and other employee benefits to which he was entitled as a result of his employment and/or separation of employment with the Company through the date of Gleason’s execution of this Agreement; and (b) has not suffered any on the job injury for which he has not already filed a claim.</w:t>
      </w:r>
    </w:p>
    <w:p>
      <w:pPr>
        <w:spacing w:after="0" w:line="165"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Notwithstanding the foregoing paragraphs, Gleason agrees to waive any right to recover monetary damages in any charge, complaint, report, or lawsuit against the Company filed by Gleason or by anyone else on Gleason’s behalf, or based on any report or complaint made by Gleason about the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3" w:name="page34"/>
    <w:bookmarkEnd w:id="33"/>
    <w:p>
      <w:pPr>
        <w:ind w:right="80" w:firstLine="436"/>
        <w:spacing w:after="0" w:line="261" w:lineRule="auto"/>
        <w:tabs>
          <w:tab w:leader="none" w:pos="75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Release of Age Claims</w:t>
      </w:r>
      <w:r>
        <w:rPr>
          <w:rFonts w:ascii="Arial" w:cs="Arial" w:eastAsia="Arial" w:hAnsi="Arial"/>
          <w:sz w:val="18"/>
          <w:szCs w:val="18"/>
          <w:b w:val="1"/>
          <w:bCs w:val="1"/>
          <w:color w:val="auto"/>
        </w:rPr>
        <w:t xml:space="preserve">. </w:t>
      </w:r>
      <w:r>
        <w:rPr>
          <w:rFonts w:ascii="Arial" w:cs="Arial" w:eastAsia="Arial" w:hAnsi="Arial"/>
          <w:sz w:val="18"/>
          <w:szCs w:val="18"/>
          <w:color w:val="auto"/>
        </w:rPr>
        <w:t>Gleason understands and agrees that he is knowingly and voluntarily entering into this Agreement with the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releasing and waiving any claims he may have against Released Parties under the Age Discrimination in Employment Act of 1967 (the “ADEA”) and/or age discrimination claims under Chapter 21 of the Texas Labor Code, Tex. Lab. Code §§ 21.001, </w:t>
      </w:r>
      <w:r>
        <w:rPr>
          <w:rFonts w:ascii="Arial" w:cs="Arial" w:eastAsia="Arial" w:hAnsi="Arial"/>
          <w:sz w:val="18"/>
          <w:szCs w:val="18"/>
          <w:i w:val="1"/>
          <w:iCs w:val="1"/>
          <w:color w:val="auto"/>
        </w:rPr>
        <w:t>et. seq</w:t>
      </w:r>
      <w:r>
        <w:rPr>
          <w:rFonts w:ascii="Arial" w:cs="Arial" w:eastAsia="Arial" w:hAnsi="Arial"/>
          <w:sz w:val="18"/>
          <w:szCs w:val="18"/>
          <w:color w:val="auto"/>
        </w:rPr>
        <w:t>. (“Chapter 21”). Gleason acknowledges and agrees that:</w:t>
      </w:r>
    </w:p>
    <w:p>
      <w:pPr>
        <w:spacing w:after="0" w:line="89" w:lineRule="exact"/>
        <w:rPr>
          <w:sz w:val="20"/>
          <w:szCs w:val="20"/>
          <w:color w:val="auto"/>
        </w:rPr>
      </w:pPr>
    </w:p>
    <w:p>
      <w:pPr>
        <w:ind w:left="960" w:hanging="532"/>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Agreement is written in a manner that he fully understands;</w:t>
      </w:r>
    </w:p>
    <w:p>
      <w:pPr>
        <w:spacing w:after="0" w:line="130" w:lineRule="exact"/>
        <w:rPr>
          <w:rFonts w:ascii="Arial" w:cs="Arial" w:eastAsia="Arial" w:hAnsi="Arial"/>
          <w:sz w:val="18"/>
          <w:szCs w:val="18"/>
          <w:color w:val="auto"/>
        </w:rPr>
      </w:pPr>
    </w:p>
    <w:p>
      <w:pPr>
        <w:ind w:left="960" w:right="480" w:hanging="532"/>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Gleason specifically releases and waives any rights or claims against the Released Parties arising for age claims under the ADEA or Chapter 21;</w:t>
      </w:r>
    </w:p>
    <w:p>
      <w:pPr>
        <w:spacing w:after="0" w:line="75" w:lineRule="exact"/>
        <w:rPr>
          <w:rFonts w:ascii="Arial" w:cs="Arial" w:eastAsia="Arial" w:hAnsi="Arial"/>
          <w:sz w:val="18"/>
          <w:szCs w:val="18"/>
          <w:color w:val="auto"/>
        </w:rPr>
      </w:pPr>
    </w:p>
    <w:p>
      <w:pPr>
        <w:ind w:left="960" w:right="580" w:hanging="532"/>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Agreement does not waive any rights or claims under the ADEA or Chapter 21 that may arise after the date this Agreement is executed;</w:t>
      </w:r>
    </w:p>
    <w:p>
      <w:pPr>
        <w:spacing w:after="0" w:line="75"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rights and claims Gleason is releasing and waiving in this Agreement are in exchange for consideration over and above anything to which he is already entitled;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Gleason is hereby advised in writing to consult with an attorney prior to executing this Agreement;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Gleason has been given a period of at least </w:t>
      </w:r>
      <w:r>
        <w:rPr>
          <w:rFonts w:ascii="Arial" w:cs="Arial" w:eastAsia="Arial" w:hAnsi="Arial"/>
          <w:sz w:val="18"/>
          <w:szCs w:val="18"/>
          <w:u w:val="single" w:color="auto"/>
          <w:color w:val="auto"/>
        </w:rPr>
        <w:t>twenty-one (21) days</w:t>
      </w:r>
      <w:r>
        <w:rPr>
          <w:rFonts w:ascii="Arial" w:cs="Arial" w:eastAsia="Arial" w:hAnsi="Arial"/>
          <w:sz w:val="18"/>
          <w:szCs w:val="18"/>
          <w:color w:val="auto"/>
        </w:rPr>
        <w:t xml:space="preserve"> within which to consider this Agreement; and</w:t>
      </w:r>
    </w:p>
    <w:p>
      <w:pPr>
        <w:spacing w:after="0" w:line="130"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Gleason understands and acknowledges that he has a period of </w:t>
      </w:r>
      <w:r>
        <w:rPr>
          <w:rFonts w:ascii="Arial" w:cs="Arial" w:eastAsia="Arial" w:hAnsi="Arial"/>
          <w:sz w:val="18"/>
          <w:szCs w:val="18"/>
          <w:u w:val="single" w:color="auto"/>
          <w:color w:val="auto"/>
        </w:rPr>
        <w:t>seven (7) days</w:t>
      </w:r>
      <w:r>
        <w:rPr>
          <w:rFonts w:ascii="Arial" w:cs="Arial" w:eastAsia="Arial" w:hAnsi="Arial"/>
          <w:sz w:val="18"/>
          <w:szCs w:val="18"/>
          <w:color w:val="auto"/>
        </w:rPr>
        <w:t xml:space="preserve"> after executing this Agreement within which he can revoke the release of claims under Section seven (7) of this Agreement, and the Agreement shall not become effective or enforceable until the revocation period has expired without Gleason revoking this Agreement.</w:t>
      </w:r>
    </w:p>
    <w:p>
      <w:pPr>
        <w:spacing w:after="0" w:line="184" w:lineRule="exact"/>
        <w:rPr>
          <w:sz w:val="20"/>
          <w:szCs w:val="20"/>
          <w:color w:val="auto"/>
        </w:rPr>
      </w:pPr>
    </w:p>
    <w:p>
      <w:pPr>
        <w:jc w:val="both"/>
        <w:ind w:right="280" w:firstLine="440"/>
        <w:spacing w:after="0" w:line="259" w:lineRule="auto"/>
        <w:rPr>
          <w:sz w:val="20"/>
          <w:szCs w:val="20"/>
          <w:color w:val="auto"/>
        </w:rPr>
      </w:pPr>
      <w:r>
        <w:rPr>
          <w:rFonts w:ascii="Arial" w:cs="Arial" w:eastAsia="Arial" w:hAnsi="Arial"/>
          <w:sz w:val="18"/>
          <w:szCs w:val="18"/>
          <w:color w:val="auto"/>
        </w:rPr>
        <w:t xml:space="preserve">To the extent Gleason seeks to revoke his release of any age discrimination claims under the ADEA and/or Chapter 21 under this Section, any such revocation must be made in writing and sent to counsel for the Company, </w:t>
      </w:r>
      <w:r>
        <w:rPr>
          <w:rFonts w:ascii="Arial" w:cs="Arial" w:eastAsia="Arial" w:hAnsi="Arial"/>
          <w:sz w:val="18"/>
          <w:szCs w:val="18"/>
          <w:u w:val="single" w:color="auto"/>
          <w:color w:val="auto"/>
        </w:rPr>
        <w:t>Celeste R. Yeager, 2001 Ross Avenue, Suite 1500, Dallas, TX 75201</w:t>
      </w:r>
      <w:r>
        <w:rPr>
          <w:rFonts w:ascii="Arial" w:cs="Arial" w:eastAsia="Arial" w:hAnsi="Arial"/>
          <w:sz w:val="18"/>
          <w:szCs w:val="18"/>
          <w:color w:val="auto"/>
        </w:rPr>
        <w:t>, within the seven (7) day time limit set forth above. Gleason understands that nothing in this Agreement is intended to interfere with his right to later challenge his waiver of an ADEA or Chapter 21 claim for age discrimination.</w:t>
      </w:r>
    </w:p>
    <w:p>
      <w:pPr>
        <w:spacing w:after="0" w:line="183" w:lineRule="exact"/>
        <w:rPr>
          <w:sz w:val="20"/>
          <w:szCs w:val="20"/>
          <w:color w:val="auto"/>
        </w:rPr>
      </w:pPr>
    </w:p>
    <w:p>
      <w:pPr>
        <w:ind w:firstLine="436"/>
        <w:spacing w:after="0" w:line="258" w:lineRule="auto"/>
        <w:tabs>
          <w:tab w:leader="none" w:pos="75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Pending Claims</w:t>
      </w:r>
      <w:r>
        <w:rPr>
          <w:rFonts w:ascii="Arial" w:cs="Arial" w:eastAsia="Arial" w:hAnsi="Arial"/>
          <w:sz w:val="18"/>
          <w:szCs w:val="18"/>
          <w:b w:val="1"/>
          <w:bCs w:val="1"/>
          <w:color w:val="auto"/>
        </w:rPr>
        <w:t xml:space="preserve">. </w:t>
      </w:r>
      <w:r>
        <w:rPr>
          <w:rFonts w:ascii="Arial" w:cs="Arial" w:eastAsia="Arial" w:hAnsi="Arial"/>
          <w:sz w:val="18"/>
          <w:szCs w:val="18"/>
          <w:color w:val="auto"/>
        </w:rPr>
        <w:t>Gleason represents that he has not filed any complaints, claims, or actions against the Company and/or the Released</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with any state, federal, or local agency or court or any other forum, and that he will not do so at any time hereafter based upon conduct occurring prior to the date that he executes this Agreement. Gleason acknowledges and agrees that, to his present knowledge, he did not sustain any workplace injury during his employment with the Company for which he has not already filed a claim. Gleason acknowledges that he has not made a claim or complaint of sexual harassment against the Company or any of its employees.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0" w:right="499" w:bottom="1440" w:gutter="0" w:footer="0" w:header="0"/>
        </w:sectPr>
      </w:pPr>
    </w:p>
    <w:bookmarkStart w:id="34" w:name="page35"/>
    <w:bookmarkEnd w:id="34"/>
    <w:p>
      <w:pPr>
        <w:ind w:firstLine="436"/>
        <w:spacing w:after="0" w:line="258" w:lineRule="auto"/>
        <w:tabs>
          <w:tab w:leader="none" w:pos="75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Assignment of Claims</w:t>
      </w:r>
      <w:r>
        <w:rPr>
          <w:rFonts w:ascii="Arial" w:cs="Arial" w:eastAsia="Arial" w:hAnsi="Arial"/>
          <w:sz w:val="18"/>
          <w:szCs w:val="18"/>
          <w:b w:val="1"/>
          <w:bCs w:val="1"/>
          <w:color w:val="auto"/>
        </w:rPr>
        <w:t xml:space="preserve">. </w:t>
      </w:r>
      <w:r>
        <w:rPr>
          <w:rFonts w:ascii="Arial" w:cs="Arial" w:eastAsia="Arial" w:hAnsi="Arial"/>
          <w:sz w:val="18"/>
          <w:szCs w:val="18"/>
          <w:color w:val="auto"/>
        </w:rPr>
        <w:t>Gleason represents that he has not made, and will not make, any assignment of any claim, cause or right of action,</w:t>
      </w:r>
      <w:r>
        <w:rPr>
          <w:rFonts w:ascii="Arial" w:cs="Arial" w:eastAsia="Arial" w:hAnsi="Arial"/>
          <w:sz w:val="18"/>
          <w:szCs w:val="18"/>
          <w:b w:val="1"/>
          <w:bCs w:val="1"/>
          <w:color w:val="auto"/>
        </w:rPr>
        <w:t xml:space="preserve"> </w:t>
      </w:r>
      <w:r>
        <w:rPr>
          <w:rFonts w:ascii="Arial" w:cs="Arial" w:eastAsia="Arial" w:hAnsi="Arial"/>
          <w:sz w:val="18"/>
          <w:szCs w:val="18"/>
          <w:color w:val="auto"/>
        </w:rPr>
        <w:t>or any right of any kind whatsoever, embodied in any of the claims and obligations that are released herein, and that no other person or entity of any kind, other than Gleason, had or has any interest in any claims that are released herein. Gleason agrees to indemnify and hold the Company harmless from any and all claims, demands, expenses, costs, attorneys’ fees, and causes of action asserted by any person or entity due to a violation of this non-assignment provision.</w:t>
      </w:r>
    </w:p>
    <w:p>
      <w:pPr>
        <w:spacing w:after="0" w:line="183" w:lineRule="exact"/>
        <w:rPr>
          <w:rFonts w:ascii="Arial" w:cs="Arial" w:eastAsia="Arial" w:hAnsi="Arial"/>
          <w:sz w:val="18"/>
          <w:szCs w:val="18"/>
          <w:b w:val="1"/>
          <w:bCs w:val="1"/>
          <w:color w:val="auto"/>
        </w:rPr>
      </w:pPr>
    </w:p>
    <w:p>
      <w:pPr>
        <w:ind w:right="180" w:firstLine="436"/>
        <w:spacing w:after="0" w:line="312" w:lineRule="auto"/>
        <w:tabs>
          <w:tab w:leader="none" w:pos="845"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Non-Disclosure/Confidentiality</w:t>
      </w:r>
      <w:r>
        <w:rPr>
          <w:rFonts w:ascii="Arial" w:cs="Arial" w:eastAsia="Arial" w:hAnsi="Arial"/>
          <w:sz w:val="17"/>
          <w:szCs w:val="17"/>
          <w:b w:val="1"/>
          <w:bCs w:val="1"/>
          <w:color w:val="auto"/>
        </w:rPr>
        <w:t xml:space="preserve">. </w:t>
      </w:r>
      <w:r>
        <w:rPr>
          <w:rFonts w:ascii="Arial" w:cs="Arial" w:eastAsia="Arial" w:hAnsi="Arial"/>
          <w:sz w:val="17"/>
          <w:szCs w:val="17"/>
          <w:color w:val="auto"/>
        </w:rPr>
        <w:t>Gleason represents that he has not disclosed the amount or terms of this Agreement and/or any aspect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negotiations that resulted in the Agreement to any other person other than his counsel or spouse, if any.</w:t>
      </w:r>
    </w:p>
    <w:p>
      <w:pPr>
        <w:spacing w:after="0" w:line="14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Gleason agrees that he, his counsel, and his accountants and/or tax advisers will keep completely confidential and will not disclose to any person or entity the facts and allegations giving rise to any dispute between the Parties, the amount or terms of this Agreement, previous severance or settlement negotiations or any understandings, agreements, provisions or information contained herein except as required or authorized by law or pursuant to court order. Notwithstanding the foregoing, Gleason and his counsel may disclose this Agreement and its terms in their tax returns and to their respective accountants and attorneys, and to Gleason’s spouse, if any, provided in each case that the person first agrees to keep this agreement and each of its terms strictly confidential.</w:t>
      </w:r>
    </w:p>
    <w:p>
      <w:pPr>
        <w:spacing w:after="0" w:line="192"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If disclosure of this Agreement or its terms is required by law, whether through subpoena, request for production, deposition, or otherwise, Gleason shall promptly provide written notice to the Company prior to the disclosure so as to provide the Company an opportunity to oppose the disclosure. Any inquiry regarding any dispute between Gleason and the Company, or the claims or disposition related thereto or this Agreement, shall be responded to by stating only that any issues related thereto “have been resolved.” Gleason agrees and understands that he is responsible for notifying his representatives with respect to these obligations and is ultimately responsible for both his own and his representatives’ compliance with these obligations.</w:t>
      </w:r>
    </w:p>
    <w:p>
      <w:pPr>
        <w:spacing w:after="0" w:line="98" w:lineRule="exact"/>
        <w:rPr>
          <w:sz w:val="20"/>
          <w:szCs w:val="20"/>
          <w:color w:val="auto"/>
        </w:rPr>
      </w:pPr>
    </w:p>
    <w:p>
      <w:pPr>
        <w:ind w:left="1420" w:right="120" w:hanging="43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Gleason acknowledges that these Non-Disclosure/Confidentiality provisions are a material part of the inducement for the Company to enter into this Agreement.</w:t>
      </w:r>
    </w:p>
    <w:p>
      <w:pPr>
        <w:spacing w:after="0" w:line="75" w:lineRule="exact"/>
        <w:rPr>
          <w:rFonts w:ascii="Arial" w:cs="Arial" w:eastAsia="Arial" w:hAnsi="Arial"/>
          <w:sz w:val="18"/>
          <w:szCs w:val="18"/>
          <w:color w:val="auto"/>
        </w:rPr>
      </w:pPr>
    </w:p>
    <w:p>
      <w:pPr>
        <w:ind w:left="1420" w:right="40" w:hanging="439"/>
        <w:spacing w:after="0" w:line="25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Gleason agrees that the failure to comply with the terms of the Agreement’s Non-Disclosure/Confidentiality provisions shall amount to a material breach of this Agreement. Gleason and the Company specifically agree that it would be impossible to accurately calculate or assess the actual damages sustained by the Company in the event of such a breach and therefore agree that any and each such breach shall entitle the Company to recover from Gleason Twenty-Five Thousand Dollars per proven breach as liquidated damages.</w:t>
      </w:r>
    </w:p>
    <w:p>
      <w:pPr>
        <w:spacing w:after="0" w:line="93" w:lineRule="exact"/>
        <w:rPr>
          <w:rFonts w:ascii="Arial" w:cs="Arial" w:eastAsia="Arial" w:hAnsi="Arial"/>
          <w:sz w:val="18"/>
          <w:szCs w:val="18"/>
          <w:color w:val="auto"/>
        </w:rPr>
      </w:pPr>
    </w:p>
    <w:p>
      <w:pPr>
        <w:ind w:left="1420" w:right="60" w:hanging="43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any action for enforcement of these Non-Disclosure/Confidentiality provisions, the prevailing party shall be entitled to recover its reasonable attorneys’ fees and costs.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5" w:name="page36"/>
    <w:bookmarkEnd w:id="35"/>
    <w:p>
      <w:pPr>
        <w:ind w:left="1380" w:right="100" w:hanging="439"/>
        <w:spacing w:after="0" w:line="277" w:lineRule="auto"/>
        <w:tabs>
          <w:tab w:leader="none" w:pos="1380" w:val="left"/>
        </w:tabs>
        <w:numPr>
          <w:ilvl w:val="1"/>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action is instituted to enforce the terms of this Agreement, disclosing the terms of the Agreement will not constitute a breach of confidentiality of the Agreement.</w:t>
      </w:r>
    </w:p>
    <w:p>
      <w:pPr>
        <w:spacing w:after="0" w:line="166" w:lineRule="exact"/>
        <w:rPr>
          <w:rFonts w:ascii="Arial" w:cs="Arial" w:eastAsia="Arial" w:hAnsi="Arial"/>
          <w:sz w:val="18"/>
          <w:szCs w:val="18"/>
          <w:color w:val="auto"/>
        </w:rPr>
      </w:pPr>
    </w:p>
    <w:p>
      <w:pPr>
        <w:ind w:left="-40" w:firstLine="436"/>
        <w:spacing w:after="0" w:line="292" w:lineRule="auto"/>
        <w:tabs>
          <w:tab w:leader="none" w:pos="795"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Non-Disparagement</w:t>
      </w:r>
      <w:r>
        <w:rPr>
          <w:rFonts w:ascii="Arial" w:cs="Arial" w:eastAsia="Arial" w:hAnsi="Arial"/>
          <w:sz w:val="16"/>
          <w:szCs w:val="16"/>
          <w:b w:val="1"/>
          <w:bCs w:val="1"/>
          <w:color w:val="auto"/>
        </w:rPr>
        <w:t xml:space="preserve">. </w:t>
      </w:r>
      <w:r>
        <w:rPr>
          <w:rFonts w:ascii="Arial" w:cs="Arial" w:eastAsia="Arial" w:hAnsi="Arial"/>
          <w:sz w:val="16"/>
          <w:szCs w:val="16"/>
          <w:color w:val="auto"/>
        </w:rPr>
        <w:t>Gleason agrees to refrain from making any derogatory comment in any format, whether written or oral, to the press or</w:t>
      </w:r>
      <w:r>
        <w:rPr>
          <w:rFonts w:ascii="Arial" w:cs="Arial" w:eastAsia="Arial" w:hAnsi="Arial"/>
          <w:sz w:val="16"/>
          <w:szCs w:val="16"/>
          <w:b w:val="1"/>
          <w:bCs w:val="1"/>
          <w:color w:val="auto"/>
        </w:rPr>
        <w:t xml:space="preserve"> </w:t>
      </w:r>
      <w:r>
        <w:rPr>
          <w:rFonts w:ascii="Arial" w:cs="Arial" w:eastAsia="Arial" w:hAnsi="Arial"/>
          <w:sz w:val="16"/>
          <w:szCs w:val="16"/>
          <w:color w:val="auto"/>
        </w:rPr>
        <w:t>any publication, whether paper or electronic, or to any individual or entity regarding the Company or any of the Released Parties that relates to the Company’s or any of the Released Parties’ business or related activities or the relationship between the Parties. Gleason further and specifically agrees to refrain from any online posts or communications, including, but not limited to, posts on Yelp.com, Glassdoor.com, or any other website; as well as on any social media sites (</w:t>
      </w:r>
      <w:r>
        <w:rPr>
          <w:rFonts w:ascii="Arial" w:cs="Arial" w:eastAsia="Arial" w:hAnsi="Arial"/>
          <w:sz w:val="16"/>
          <w:szCs w:val="16"/>
          <w:i w:val="1"/>
          <w:iCs w:val="1"/>
          <w:color w:val="auto"/>
        </w:rPr>
        <w:t>i.e.</w:t>
      </w:r>
      <w:r>
        <w:rPr>
          <w:rFonts w:ascii="Arial" w:cs="Arial" w:eastAsia="Arial" w:hAnsi="Arial"/>
          <w:sz w:val="16"/>
          <w:szCs w:val="16"/>
          <w:color w:val="auto"/>
        </w:rPr>
        <w:t>, Facebook) which disparage the Company or any of the Released Parties. The Company agrees to instruct and require its Chief Executive Officer and his direct reports not to make any derogatory comments in any format, whether written or oral, to the press or any publication, whether paper or electronic, or to any individual or entity regarding Gleason and/or his performance while employed at the Company.</w:t>
      </w:r>
    </w:p>
    <w:p>
      <w:pPr>
        <w:spacing w:after="0" w:line="161" w:lineRule="exact"/>
        <w:rPr>
          <w:rFonts w:ascii="Arial" w:cs="Arial" w:eastAsia="Arial" w:hAnsi="Arial"/>
          <w:sz w:val="16"/>
          <w:szCs w:val="16"/>
          <w:b w:val="1"/>
          <w:bCs w:val="1"/>
          <w:color w:val="auto"/>
        </w:rPr>
      </w:pPr>
    </w:p>
    <w:p>
      <w:pPr>
        <w:ind w:left="-40" w:right="120" w:firstLine="436"/>
        <w:spacing w:after="0" w:line="292" w:lineRule="auto"/>
        <w:tabs>
          <w:tab w:leader="none" w:pos="805"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Future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After Gleason’s execution of this Agreement, he shall not seek employment or re-employment with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of the Released Parties as an employee, except that the Parties agree that Gleason may provide services for the Company as an independently contracted consultant per the terms contemplated in the Independent Consulting Agreement, which may be executed by the Parties concurrently with this Agreement. The parties understand that Gleason will be seeking employment elsewhere up to and including the date of Gleason’s termination of employment with the Company, and expressly acknowledge that this is not a violation of this Agreement or any other Agreement with the Company. Should Gleason become re-employed in contradiction of this Agreement, the fact of this Agreement will constitute a legitimate, non-discriminatory, non-retaliatory reason for terminating such employment and the Released Parties will have the absolute right to terminate such employment.</w:t>
      </w:r>
    </w:p>
    <w:p>
      <w:pPr>
        <w:spacing w:after="0" w:line="161" w:lineRule="exact"/>
        <w:rPr>
          <w:rFonts w:ascii="Arial" w:cs="Arial" w:eastAsia="Arial" w:hAnsi="Arial"/>
          <w:sz w:val="16"/>
          <w:szCs w:val="16"/>
          <w:b w:val="1"/>
          <w:bCs w:val="1"/>
          <w:color w:val="auto"/>
        </w:rPr>
      </w:pPr>
    </w:p>
    <w:p>
      <w:pPr>
        <w:ind w:left="-40" w:right="20" w:firstLine="436"/>
        <w:spacing w:after="0" w:line="266" w:lineRule="auto"/>
        <w:tabs>
          <w:tab w:leader="none" w:pos="80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Verification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Gleason should direct any requests for verification of his employment with the Company to Kathryn Rainey,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Senior Director of Human Resources. If Ms. Rainey is contacted for a reference or verification of employment, the Company shall only verify Gleason’s job title and dates of employment.</w:t>
      </w:r>
    </w:p>
    <w:p>
      <w:pPr>
        <w:spacing w:after="0" w:line="175" w:lineRule="exact"/>
        <w:rPr>
          <w:rFonts w:ascii="Arial" w:cs="Arial" w:eastAsia="Arial" w:hAnsi="Arial"/>
          <w:sz w:val="18"/>
          <w:szCs w:val="18"/>
          <w:b w:val="1"/>
          <w:bCs w:val="1"/>
          <w:color w:val="auto"/>
        </w:rPr>
      </w:pPr>
    </w:p>
    <w:p>
      <w:pPr>
        <w:ind w:left="-40" w:right="20" w:firstLine="436"/>
        <w:spacing w:after="0" w:line="270" w:lineRule="auto"/>
        <w:tabs>
          <w:tab w:leader="none" w:pos="805"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Entirety of Agreement and Waiver</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affirm that this Agreement constitutes the entire agreement between the Parties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supersedes any previous negotiations, agreements, or understandings of any kind relating to the subject matter hereof including but not limited to Gleason’s Employment Agreement, </w:t>
      </w:r>
      <w:r>
        <w:rPr>
          <w:rFonts w:ascii="Arial" w:cs="Arial" w:eastAsia="Arial" w:hAnsi="Arial"/>
          <w:sz w:val="17"/>
          <w:szCs w:val="17"/>
          <w:b w:val="1"/>
          <w:bCs w:val="1"/>
          <w:i w:val="1"/>
          <w:iCs w:val="1"/>
          <w:color w:val="auto"/>
        </w:rPr>
        <w:t>subject to the limitation that</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Paragraphs 7, 9, 10, 11, and 12</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of the Employment Agreement and the obligations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therein as well as the Equity Agreements in their totality shall remain in full force and effect and are hereby incorporated into this Agreement, including but not limited to the restrictions on competition, solicitation, and hiring in Paragraph 7(f)-(g) of the Employment Agreement</w:t>
      </w:r>
      <w:r>
        <w:rPr>
          <w:rFonts w:ascii="Arial" w:cs="Arial" w:eastAsia="Arial" w:hAnsi="Arial"/>
          <w:sz w:val="17"/>
          <w:szCs w:val="17"/>
          <w:color w:val="auto"/>
        </w:rPr>
        <w:t>; that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promise or agreement of any kind has been made to or with Gleason by any person or entity to cause his to execute this Agreement. This Agreement may not be amended except by an instrument in writing, signed by each of the Parties. No failure to exercise and no delay in exercising any right, remedy, or power under this Agreement shall operate as a waiver thereof, nor shall any single or partial exercise of any right, remedy, or power under this Agreement preclude any other or further exercise thereof, or the exercise of any other right, remedy, or power provided herein or by law or in equity.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74" w:right="499" w:bottom="1440" w:gutter="0" w:footer="0" w:header="0"/>
        </w:sectPr>
      </w:pPr>
    </w:p>
    <w:bookmarkStart w:id="36" w:name="page37"/>
    <w:bookmarkEnd w:id="36"/>
    <w:p>
      <w:pPr>
        <w:jc w:val="both"/>
        <w:ind w:right="20" w:firstLine="436"/>
        <w:spacing w:after="0" w:line="314" w:lineRule="auto"/>
        <w:tabs>
          <w:tab w:leader="none" w:pos="845" w:val="left"/>
        </w:tabs>
        <w:numPr>
          <w:ilvl w:val="1"/>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Should any provision of this Agreement be declared or be determined by any court of competent jurisdiction to be illegal,</w:t>
      </w:r>
      <w:r>
        <w:rPr>
          <w:rFonts w:ascii="Arial" w:cs="Arial" w:eastAsia="Arial" w:hAnsi="Arial"/>
          <w:sz w:val="16"/>
          <w:szCs w:val="16"/>
          <w:b w:val="1"/>
          <w:bCs w:val="1"/>
          <w:color w:val="auto"/>
        </w:rPr>
        <w:t xml:space="preserve"> </w:t>
      </w:r>
      <w:r>
        <w:rPr>
          <w:rFonts w:ascii="Arial" w:cs="Arial" w:eastAsia="Arial" w:hAnsi="Arial"/>
          <w:sz w:val="16"/>
          <w:szCs w:val="16"/>
          <w:color w:val="auto"/>
        </w:rPr>
        <w:t>invalid, or unenforceable, the legality, validity, and enforceability of the remaining parts, terms, or provisions shall not be affected thereby and shall remain fully valid and enforceable, and said illegal, unenforceable, or invalid part, term, or provision shall be deemed not to be a part of this Agreement.</w:t>
      </w:r>
    </w:p>
    <w:p>
      <w:pPr>
        <w:spacing w:after="0" w:line="141" w:lineRule="exact"/>
        <w:rPr>
          <w:rFonts w:ascii="Arial" w:cs="Arial" w:eastAsia="Arial" w:hAnsi="Arial"/>
          <w:sz w:val="16"/>
          <w:szCs w:val="16"/>
          <w:b w:val="1"/>
          <w:bCs w:val="1"/>
          <w:color w:val="auto"/>
        </w:rPr>
      </w:pPr>
    </w:p>
    <w:p>
      <w:pPr>
        <w:ind w:right="20" w:firstLine="436"/>
        <w:spacing w:after="0" w:line="289" w:lineRule="auto"/>
        <w:tabs>
          <w:tab w:leader="none" w:pos="845" w:val="left"/>
        </w:tabs>
        <w:numPr>
          <w:ilvl w:val="1"/>
          <w:numId w:val="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and Waiver of Jury Trial</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is made and entered into in the State of Texas and shall in all respects be</w:t>
      </w:r>
      <w:r>
        <w:rPr>
          <w:rFonts w:ascii="Arial" w:cs="Arial" w:eastAsia="Arial" w:hAnsi="Arial"/>
          <w:sz w:val="17"/>
          <w:szCs w:val="17"/>
          <w:b w:val="1"/>
          <w:bCs w:val="1"/>
          <w:color w:val="auto"/>
        </w:rPr>
        <w:t xml:space="preserve"> </w:t>
      </w:r>
      <w:r>
        <w:rPr>
          <w:rFonts w:ascii="Arial" w:cs="Arial" w:eastAsia="Arial" w:hAnsi="Arial"/>
          <w:sz w:val="17"/>
          <w:szCs w:val="17"/>
          <w:color w:val="auto"/>
        </w:rPr>
        <w:t>interpreted, enforced and governed by and under the laws of the State of Texas, without regard to conflicts of law. If any action is brought to enforce this Agreement, the prevailing party shall be entitled to reasonable attorneys’ fees and costs. The Parties waive any right to jury trial.</w:t>
      </w:r>
    </w:p>
    <w:p>
      <w:pPr>
        <w:spacing w:after="0" w:line="157" w:lineRule="exact"/>
        <w:rPr>
          <w:rFonts w:ascii="Arial" w:cs="Arial" w:eastAsia="Arial" w:hAnsi="Arial"/>
          <w:sz w:val="17"/>
          <w:szCs w:val="17"/>
          <w:b w:val="1"/>
          <w:bCs w:val="1"/>
          <w:color w:val="auto"/>
        </w:rPr>
      </w:pPr>
    </w:p>
    <w:p>
      <w:pPr>
        <w:ind w:firstLine="436"/>
        <w:spacing w:after="0" w:line="285" w:lineRule="auto"/>
        <w:tabs>
          <w:tab w:leader="none" w:pos="845" w:val="left"/>
        </w:tabs>
        <w:numPr>
          <w:ilvl w:val="1"/>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 Arbitration</w:t>
      </w:r>
      <w:r>
        <w:rPr>
          <w:rFonts w:ascii="Arial" w:cs="Arial" w:eastAsia="Arial" w:hAnsi="Arial"/>
          <w:sz w:val="16"/>
          <w:szCs w:val="16"/>
          <w:b w:val="1"/>
          <w:bCs w:val="1"/>
          <w:color w:val="auto"/>
        </w:rPr>
        <w:t xml:space="preserve">. </w:t>
      </w:r>
      <w:r>
        <w:rPr>
          <w:rFonts w:ascii="Arial" w:cs="Arial" w:eastAsia="Arial" w:hAnsi="Arial"/>
          <w:sz w:val="16"/>
          <w:szCs w:val="16"/>
          <w:color w:val="auto"/>
        </w:rPr>
        <w:t>Gleason and the Company hereby agree that any controversy or claim arising out of or relating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including the arbitrability of any controversy or claim, which cannot be settled by mutual agreement will be finally settled by confidential and binding arbitration in accordance with the Federal Arbitration Act. Further, notwithstanding the preceding sentence, in the event disputes arise that relate in any way to and concern this Agreement and also relate in any way to and concern one or more other Equity Agreements, the Parties agree that such disputes may be joined in a single binding arbitration if doing so would not result in unreasonable delay. All arbitrations shall be administered by a panel of three neutral arbitrators (the “Panel”) admitted to practice law in Texas for at least ten (10) years, in accordance with the American Arbitration Association Rules. Any such arbitration proceeding shall be administered by the American Arbitration Association and all hearings shall take place in Dallas County, Texas. The arbitration proceeding and all related documents will be confidential, unless disclosure is required by law. In the event of arbitration pursuant to this Agreement, each Party shall bear the costs of their own counsel. The Party filing a claim in arbitration pursuant to this Agreement shall bear the cost of the initial filing fee for arbitration in Dallas County. All other costs of arbitration shall be the responsibility of the Company, regardless of which Party filed the initial claim. The Panel will have the authority to award the same remedies, damages, and costs that a court could award, including but not limited to the right to award injunctive relief in accordance with the other provisions of this Agreement. Further, the Parties specifically agree that, in the interest of minimizing expenses and promoting early resolution of claims, the filing of dispositive motions shall be permitted and that prompt resolution of such motions by the Panel shall be encouraged. The Panel shall issue a written reasoned award explaining the decision, the reasons for the decision, and any damages awarded. The Panel’s decision will be final and binding. The judgment on the award rendered by the Panel may be entered in any court having jurisdiction thereof. This provision can be enforced under the Federal Arbitration Act. The Panel shall be permitted to award only those remedies in law or equity that are requested by the Parties, appropriate for the claims and supported by evidence, and each Party shall be required to bear its or his own arbitration costs, attorneys’ fees and expenses.</w:t>
      </w:r>
    </w:p>
    <w:p>
      <w:pPr>
        <w:spacing w:after="0" w:line="80" w:lineRule="exact"/>
        <w:rPr>
          <w:rFonts w:ascii="Arial" w:cs="Arial" w:eastAsia="Arial" w:hAnsi="Arial"/>
          <w:sz w:val="16"/>
          <w:szCs w:val="16"/>
          <w:b w:val="1"/>
          <w:bCs w:val="1"/>
          <w:color w:val="auto"/>
        </w:rPr>
      </w:pPr>
    </w:p>
    <w:p>
      <w:pPr>
        <w:ind w:left="960" w:right="160" w:hanging="532"/>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decision of the arbitrator on the points in dispute will be final, unappealable and binding, and judgment on the award may be entered in any court having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37" w:name="page38"/>
    <w:bookmarkEnd w:id="37"/>
    <w:p>
      <w:pPr>
        <w:ind w:left="98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jurisdiction thereof. The Parties agree that this provision has been adopted by the Parties to rapidly and inexpensively resolve any disputes between them and that this provision will be grounds for dismissal of any court action commenced by any Party with respect to this Agreement, other than post-arbitration actions seeking to enforce an arbitration award.</w:t>
      </w:r>
    </w:p>
    <w:p>
      <w:pPr>
        <w:spacing w:after="0" w:line="89" w:lineRule="exact"/>
        <w:rPr>
          <w:sz w:val="20"/>
          <w:szCs w:val="20"/>
          <w:color w:val="auto"/>
        </w:rPr>
      </w:pPr>
    </w:p>
    <w:p>
      <w:pPr>
        <w:jc w:val="both"/>
        <w:ind w:left="960" w:right="120" w:hanging="532"/>
        <w:spacing w:after="0" w:line="263"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Parties will keep confidential, and will not disclose to any person, except as may be required by law, the existence of any controversy under this Section 17, the referral of any such controversy to arbitration or the status or resolution thereof. In addition, the confidentiality restrictions set forth in this Agreement shall continue in full force and effect.</w:t>
      </w:r>
    </w:p>
    <w:p>
      <w:pPr>
        <w:spacing w:after="0" w:line="89" w:lineRule="exact"/>
        <w:rPr>
          <w:rFonts w:ascii="Arial" w:cs="Arial" w:eastAsia="Arial" w:hAnsi="Arial"/>
          <w:sz w:val="18"/>
          <w:szCs w:val="18"/>
          <w:color w:val="auto"/>
        </w:rPr>
      </w:pPr>
    </w:p>
    <w:p>
      <w:pPr>
        <w:ind w:left="960" w:hanging="532"/>
        <w:spacing w:after="0" w:line="272" w:lineRule="auto"/>
        <w:tabs>
          <w:tab w:leader="none" w:pos="9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 the sole exception to the exclusive and binding nature of the arbitration commitment set forth above, the Parties agree that the Company may resort to Texas state courts having equity jurisdiction in and for Dallas County, Texas and the United States District Court for the Northern District of Texas, Dallas Division, at its sole option, to request temporary, preliminary, and/or permanent injunctive or other equitable relief, including, without limitation, specific performance, to enforce the postemployment restrictions and other non-solicitation and confidentiality obligations set forth in this Agreement, without the necessity of proving inadequacy of legal remedies or irreparable harm or posting bond or giving notice, to the maximum extent permitted by law. However, nothing in this Section 17 should be construed to constitute a waiver of the Parties’ rights and obligations to arbitrate: as set forth in this Section 17.</w:t>
      </w:r>
    </w:p>
    <w:p>
      <w:pPr>
        <w:spacing w:after="0" w:line="82" w:lineRule="exact"/>
        <w:rPr>
          <w:rFonts w:ascii="Arial" w:cs="Arial" w:eastAsia="Arial" w:hAnsi="Arial"/>
          <w:sz w:val="17"/>
          <w:szCs w:val="17"/>
          <w:color w:val="auto"/>
        </w:rPr>
      </w:pPr>
    </w:p>
    <w:p>
      <w:pPr>
        <w:ind w:left="960" w:right="60" w:hanging="532"/>
        <w:spacing w:after="0" w:line="271" w:lineRule="auto"/>
        <w:tabs>
          <w:tab w:leader="none" w:pos="9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EVENT THAT ANY COURT OF COMPETENT JURISDICTION OR ARBITRATOR DETERMINES THAT THE SCOPE OF THE ARBITRATION OR RELATED PROVISIONS OF THIS AGREEMENT ARE TOO BROAD TO BE ENFORCED AS WRITTEN, THE PARTIES INTEND THAT THE COURT REFORM THE PROVISION IN QUESTION TO SUCH NARROWER SCOPE AS IT DETERMINES TO BE REASONABLE AND ENFORCEABLE. EACH PARTY HERETO ACKNOWLEDGES THAT IT HAS BEEN INFORMED BY THE OTHER PARTY HERETO THAT THIS SECTION 17 CONSTITUTES A MATERIAL INDUCEMENT UPON WHICH IT OR HE IS RELYING AND WILL RELY IN ENTERING INTO THIS AGREEMENT. BEFORE ACCEPTING THE TERMS OF THIS AGREEMENT, INCLUDING THE RESTRICTIVE COVENANT TERMS, PLEASE READ AND UNDERSTAND YOUR CONTINUING OBLIGATIONS TO THE COMPANY AND ITS AFFILIATES.</w:t>
      </w:r>
    </w:p>
    <w:p>
      <w:pPr>
        <w:spacing w:after="0" w:line="174" w:lineRule="exact"/>
        <w:rPr>
          <w:rFonts w:ascii="Arial" w:cs="Arial" w:eastAsia="Arial" w:hAnsi="Arial"/>
          <w:sz w:val="17"/>
          <w:szCs w:val="17"/>
          <w:color w:val="auto"/>
        </w:rPr>
      </w:pPr>
    </w:p>
    <w:p>
      <w:pPr>
        <w:ind w:right="400" w:firstLine="436"/>
        <w:spacing w:after="0" w:line="282" w:lineRule="auto"/>
        <w:tabs>
          <w:tab w:leader="none" w:pos="845"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interpreted in accordance with the plain meaning of its terms and not strictly for or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drafter or any of the Parties.</w:t>
      </w:r>
    </w:p>
    <w:p>
      <w:pPr>
        <w:spacing w:after="0" w:line="161" w:lineRule="exact"/>
        <w:rPr>
          <w:rFonts w:ascii="Arial" w:cs="Arial" w:eastAsia="Arial" w:hAnsi="Arial"/>
          <w:sz w:val="18"/>
          <w:szCs w:val="18"/>
          <w:b w:val="1"/>
          <w:bCs w:val="1"/>
          <w:color w:val="auto"/>
        </w:rPr>
      </w:pPr>
    </w:p>
    <w:p>
      <w:pPr>
        <w:ind w:right="540" w:firstLine="436"/>
        <w:spacing w:after="0" w:line="347" w:lineRule="auto"/>
        <w:tabs>
          <w:tab w:leader="none" w:pos="845" w:val="left"/>
        </w:tabs>
        <w:numPr>
          <w:ilvl w:val="1"/>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Voluntary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Gleason represents that he has reviewed all aspects of this Agreement, that he has carefully read and fully</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understands all the provisions of this Agreement, including its final and binding effect, that he understands that in agreeing to this document he is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8" w:name="page39"/>
    <w:bookmarkEnd w:id="38"/>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releasing the Released Parties from any and all claims he may have against them, that he voluntarily agrees to all the terms set forth in this Agreement, that he knowingly and willingly intends to be legally bound by the same, that he was given the opportunity to consider the terms of this Agreement and discuss them with his legal counsel, that he does not rely and has not relied upon any statement made by any other party or its respective agents, representatives or attorneys with regard to any aspect of this Agreement, including its effect, and that the terms of this Agreement were determined through negotiation between counsel for Gleason and the Company’s counsel.</w:t>
      </w:r>
    </w:p>
    <w:p>
      <w:pPr>
        <w:spacing w:after="0" w:line="184" w:lineRule="exact"/>
        <w:rPr>
          <w:sz w:val="20"/>
          <w:szCs w:val="20"/>
          <w:color w:val="auto"/>
        </w:rPr>
      </w:pPr>
    </w:p>
    <w:p>
      <w:pPr>
        <w:ind w:firstLine="436"/>
        <w:spacing w:after="0" w:line="258" w:lineRule="auto"/>
        <w:tabs>
          <w:tab w:leader="none" w:pos="84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It is expressly understood and agreed by the Parties hereto that this Agreement shall be binding upon and will inure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benefit of Gleason’s individual and/or collective heirs, successors, agents, executors, and administrators if any, and will inure to the benefit of the individual and/or collective successors, assigns, fiduciaries and insurers of the Parties, their present and former affiliated business entities, their successors, assigns, fiduciaries and insurers, and all of their present and former proprietors, partners, shareholders, directors, officers, employees, agents, and all persons acting by, through, or in concert with any of them.</w:t>
      </w:r>
    </w:p>
    <w:p>
      <w:pPr>
        <w:spacing w:after="0" w:line="183" w:lineRule="exact"/>
        <w:rPr>
          <w:rFonts w:ascii="Arial" w:cs="Arial" w:eastAsia="Arial" w:hAnsi="Arial"/>
          <w:sz w:val="18"/>
          <w:szCs w:val="18"/>
          <w:b w:val="1"/>
          <w:bCs w:val="1"/>
          <w:color w:val="auto"/>
        </w:rPr>
      </w:pPr>
    </w:p>
    <w:p>
      <w:pPr>
        <w:ind w:right="60" w:firstLine="436"/>
        <w:spacing w:after="0" w:line="266" w:lineRule="auto"/>
        <w:tabs>
          <w:tab w:leader="none" w:pos="84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Attorneys’ Fees and Costs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shall each bear their own attorneys’ fees and costs incurred in connection with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in any subsequent proceeding or action to interpret or enforce the terms of the Agreement, the prevailing party shall be entitled to an award of reasonable attorney’s fees and costs.</w:t>
      </w:r>
    </w:p>
    <w:p>
      <w:pPr>
        <w:spacing w:after="0" w:line="175" w:lineRule="exact"/>
        <w:rPr>
          <w:rFonts w:ascii="Arial" w:cs="Arial" w:eastAsia="Arial" w:hAnsi="Arial"/>
          <w:sz w:val="18"/>
          <w:szCs w:val="18"/>
          <w:b w:val="1"/>
          <w:bCs w:val="1"/>
          <w:color w:val="auto"/>
        </w:rPr>
      </w:pPr>
    </w:p>
    <w:p>
      <w:pPr>
        <w:ind w:right="240" w:firstLine="436"/>
        <w:spacing w:after="0" w:line="312" w:lineRule="auto"/>
        <w:tabs>
          <w:tab w:leader="none" w:pos="845"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counterparts and each counterpart, when executed, shall have the validity of a second</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Photographic or facsimile copies of any such signed counterparts may be used in lieu of the original for any purpose.</w:t>
      </w:r>
    </w:p>
    <w:p>
      <w:pPr>
        <w:spacing w:after="0" w:line="139" w:lineRule="exact"/>
        <w:rPr>
          <w:rFonts w:ascii="Arial" w:cs="Arial" w:eastAsia="Arial" w:hAnsi="Arial"/>
          <w:sz w:val="17"/>
          <w:szCs w:val="17"/>
          <w:b w:val="1"/>
          <w:bCs w:val="1"/>
          <w:color w:val="auto"/>
        </w:rPr>
      </w:pPr>
    </w:p>
    <w:p>
      <w:pPr>
        <w:ind w:right="60" w:firstLine="436"/>
        <w:spacing w:after="0" w:line="255" w:lineRule="auto"/>
        <w:tabs>
          <w:tab w:leader="none" w:pos="84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Acknowledgment</w:t>
      </w:r>
      <w:r>
        <w:rPr>
          <w:rFonts w:ascii="Arial" w:cs="Arial" w:eastAsia="Arial" w:hAnsi="Arial"/>
          <w:sz w:val="18"/>
          <w:szCs w:val="18"/>
          <w:b w:val="1"/>
          <w:bCs w:val="1"/>
          <w:color w:val="auto"/>
        </w:rPr>
        <w:t xml:space="preserve">. </w:t>
      </w:r>
      <w:r>
        <w:rPr>
          <w:rFonts w:ascii="Arial" w:cs="Arial" w:eastAsia="Arial" w:hAnsi="Arial"/>
          <w:sz w:val="18"/>
          <w:szCs w:val="18"/>
          <w:color w:val="auto"/>
        </w:rPr>
        <w:t>By signing below, Gleason unconditionally represents and warrants that: (a) he has been advised to consult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 regarding the terms of this Agreement; (b) he has consulted with, or has had sufficient opportunity to consult with his own counsel or other advisors regarding the terms of this Agreement; (c) he has relied solely on his own judgment and that of his attorneys, advisors, and representatives regarding the consideration for, and the terms of, this Agreement; (d) any and all questions regarding the terms of this Agreement have been asked and answered to his complete satisfaction; (e) he has read this Agreement and fully understand its terms and their import; and (f) he is entering into this Agreement voluntarily, of his own free will, and without any duress, coercion, fraudulent inducement, or undue influence exerted by or on behalf of any other Party or any other person or entity.</w:t>
      </w:r>
    </w:p>
    <w:p>
      <w:pPr>
        <w:spacing w:after="0" w:line="188" w:lineRule="exact"/>
        <w:rPr>
          <w:rFonts w:ascii="Arial" w:cs="Arial" w:eastAsia="Arial" w:hAnsi="Arial"/>
          <w:sz w:val="18"/>
          <w:szCs w:val="18"/>
          <w:b w:val="1"/>
          <w:bCs w:val="1"/>
          <w:color w:val="auto"/>
        </w:rPr>
      </w:pPr>
    </w:p>
    <w:p>
      <w:pPr>
        <w:ind w:right="100" w:firstLine="436"/>
        <w:spacing w:after="0" w:line="256" w:lineRule="auto"/>
        <w:tabs>
          <w:tab w:leader="none" w:pos="84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Cooperation in 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Gleason agrees to cooperate fully with the Company and its counsel with respect to any matter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litigation, investigation, government proceedings and general claims) which relates to matters with which he was involved during the term of his employment with the Company, subject to reimbursement of reasonable out-of-pocket travel costs and expenses. Further, as noted in Section 14 of this Agreement, the Company incorporates Paragraph 11 of Gleason’s Employment Agreement herein, which entitles Gleason to continuing rights for indemnification as articulated therein and to the extent permitted under the Company’s insurance and Company policies. Such cooperation may include appearing from time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9" w:name="page40"/>
    <w:bookmarkEnd w:id="3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time at the offices of the Company or its counsel, or telephonically, for conferences and interviews and providing testimony in depositions, court proceedings and administrative hearings as necessary for the Company to defend claims, and in general providing the Company and its counsel with the full benefit of Gleason’s knowledge with respect to any such matter. Gleason agrees to render such cooperation in a timely fashion and at such times as may be mutually agreeable to the parties concerned.</w:t>
      </w:r>
    </w:p>
    <w:p>
      <w:pPr>
        <w:spacing w:after="0" w:line="183" w:lineRule="exact"/>
        <w:rPr>
          <w:sz w:val="20"/>
          <w:szCs w:val="20"/>
          <w:color w:val="auto"/>
        </w:rPr>
      </w:pPr>
    </w:p>
    <w:p>
      <w:pPr>
        <w:jc w:val="both"/>
        <w:ind w:right="140" w:firstLine="436"/>
        <w:spacing w:after="0" w:line="314" w:lineRule="auto"/>
        <w:tabs>
          <w:tab w:leader="none" w:pos="845"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Medicare</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based upon a good faith determination of the Parties to resolve a disputed claim. The Parties have not shifted</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responsibility of medical treatment to Medicare in contravention of 42 U.S.C. Sec. 1395y(b). The Parties resolved this matter in compliance with both state and federal law. The Parties made every effort to adequately protect Medicare’s interest and incorporate such into the terms of this Agreement.</w:t>
      </w:r>
    </w:p>
    <w:p>
      <w:pPr>
        <w:spacing w:after="0" w:line="14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Gleason warrants that he is not a Medicare beneficiary as of the date of this release. Because Gleason is not a Medicare recipient as of the date of this release, no conditional payments have been made by Medicare.</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While it is impossible to accurately predict the need for medical treatment, this Agreement is based upon a good faith determination of the Parties in order to resolve a disputed claim. The Parties have attempted to resolve this matter in compliance with both state and federal law and it is believed that the terms adequately consider and protect Medicare’s interest and do not reflect any attempt to shift responsibility of treatment to Medicare pursuant to 42 U.S.C. Sec. 1395y(b). The Parties acknowledge and understand that any present or future action or decision by CMS or Medicare on this Agreement, or Gleason’s eligibility or entitlement to Medicare or Medicare payments, will not render this release void or ineffective, or in any way affect the finality of this Agreement.</w:t>
      </w:r>
    </w:p>
    <w:p>
      <w:pPr>
        <w:spacing w:after="0" w:line="188" w:lineRule="exact"/>
        <w:rPr>
          <w:sz w:val="20"/>
          <w:szCs w:val="20"/>
          <w:color w:val="auto"/>
        </w:rPr>
      </w:pPr>
    </w:p>
    <w:p>
      <w:pPr>
        <w:ind w:right="140" w:firstLine="436"/>
        <w:spacing w:after="0" w:line="258" w:lineRule="auto"/>
        <w:tabs>
          <w:tab w:leader="none" w:pos="84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is not effective or enforceable until expiration of seven (7) calendar days following Gleason’s execution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The eighth (8th) day following Gleason’s execution of the Agreement, if he has not revoked his Agreement within the seven-day revocation period, shall be the “Effective Date” of the Agreement. If Gleason revokes his agreement within the seven-day revocation period, this Agreement will not be effective and the Company will have no obligation to comply with the terms herein, including but not limited to the payments under Section 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remainder of this page is left intentionally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40" w:name="page41"/>
    <w:bookmarkEnd w:id="40"/>
    <w:p>
      <w:pPr>
        <w:ind w:right="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PLEASE READ CAREFULLY. THIS SEVERANCE AGREEMENT AND RELEASE INCLUDES A RELEASE OF ALL KNOWN AND UNKNOWN CLAIMS. YOU HAVE 21 DAYS TO CONSIDER THIS AGREEMENT. YOU MAY REVOKE YOUR AGREEMENT WITHIN 7 DAYS OF EXECUTING THIS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 reflect their agreement to each of the terms set forth above, the Parties have signed this Agreement as of the dates set forth below.</w:t>
      </w:r>
    </w:p>
    <w:p>
      <w:pPr>
        <w:sectPr>
          <w:pgSz w:w="11900" w:h="16838" w:orient="portrait"/>
          <w:cols w:equalWidth="0" w:num="1">
            <w:col w:w="11020"/>
          </w:cols>
          <w:pgMar w:left="440" w:top="270" w:right="43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Dated: April 13, 2020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Dated: April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Dated: April 14,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John P.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14605</wp:posOffset>
            </wp:positionV>
            <wp:extent cx="3488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JOHN P. GLEASON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DAVE &amp; BUSTER’S ENTERTAINMENT, INC.</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Edmund</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Robert Edmund</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General Counsel &amp; SVP of HR</w:t>
            </w:r>
          </w:p>
        </w:tc>
      </w:tr>
    </w:tbl>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DAVE &amp; BUSTER’S MANAGEMENT,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ind w:left="1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Edmund</w:t>
            </w:r>
          </w:p>
        </w:tc>
      </w:tr>
      <w:tr>
        <w:trPr>
          <w:trHeight w:val="209"/>
        </w:trPr>
        <w:tc>
          <w:tcPr>
            <w:tcW w:w="740" w:type="dxa"/>
            <w:vAlign w:val="bottom"/>
          </w:tcPr>
          <w:p>
            <w:pPr>
              <w:ind w:left="1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Robert Edmund</w:t>
            </w:r>
          </w:p>
        </w:tc>
      </w:tr>
      <w:tr>
        <w:trPr>
          <w:trHeight w:val="230"/>
        </w:trPr>
        <w:tc>
          <w:tcPr>
            <w:tcW w:w="740" w:type="dxa"/>
            <w:vAlign w:val="bottom"/>
          </w:tcPr>
          <w:p>
            <w:pPr>
              <w:ind w:left="1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General Counsel &amp; SVP of HR</w:t>
            </w:r>
          </w:p>
        </w:tc>
      </w:tr>
      <w:tr>
        <w:trPr>
          <w:trHeight w:val="365"/>
        </w:trPr>
        <w:tc>
          <w:tcPr>
            <w:tcW w:w="740" w:type="dxa"/>
            <w:vAlign w:val="bottom"/>
          </w:tcPr>
          <w:p>
            <w:pPr>
              <w:jc w:val="right"/>
              <w:ind w:right="470"/>
              <w:spacing w:after="0"/>
              <w:rPr>
                <w:sz w:val="20"/>
                <w:szCs w:val="20"/>
                <w:color w:val="auto"/>
              </w:rPr>
            </w:pPr>
            <w:r>
              <w:rPr>
                <w:rFonts w:ascii="Arial" w:cs="Arial" w:eastAsia="Arial" w:hAnsi="Arial"/>
                <w:sz w:val="18"/>
                <w:szCs w:val="18"/>
                <w:color w:val="auto"/>
                <w:w w:val="79"/>
              </w:rPr>
              <w:t>12</w:t>
            </w:r>
          </w:p>
        </w:tc>
        <w:tc>
          <w:tcPr>
            <w:tcW w:w="4860" w:type="dxa"/>
            <w:vAlign w:val="bottom"/>
          </w:tcPr>
          <w:p>
            <w:pPr>
              <w:spacing w:after="0"/>
              <w:rPr>
                <w:sz w:val="24"/>
                <w:szCs w:val="24"/>
                <w:color w:val="auto"/>
              </w:rPr>
            </w:pPr>
          </w:p>
        </w:tc>
      </w:tr>
    </w:tbl>
    <w:p>
      <w:pPr>
        <w:sectPr>
          <w:pgSz w:w="11900" w:h="16838" w:orient="portrait"/>
          <w:cols w:equalWidth="0" w:num="2">
            <w:col w:w="4700" w:space="720"/>
            <w:col w:w="5600"/>
          </w:cols>
          <w:pgMar w:left="440" w:top="270" w:right="4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FIRST AMENDMENT TO AMENDED AND RESTATED CREDIT AGREEMENT dated as of April 14, 2020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among DAVE &amp; BUSTER’S, INC., a Missouri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(the “</w:t>
      </w:r>
      <w:r>
        <w:rPr>
          <w:rFonts w:ascii="Arial" w:cs="Arial" w:eastAsia="Arial" w:hAnsi="Arial"/>
          <w:sz w:val="18"/>
          <w:szCs w:val="18"/>
          <w:u w:val="single" w:color="auto"/>
          <w:color w:val="auto"/>
        </w:rPr>
        <w:t>Consenting Lenders</w:t>
      </w:r>
      <w:r>
        <w:rPr>
          <w:rFonts w:ascii="Arial" w:cs="Arial" w:eastAsia="Arial" w:hAnsi="Arial"/>
          <w:sz w:val="18"/>
          <w:szCs w:val="18"/>
          <w:color w:val="auto"/>
        </w:rPr>
        <w:t>”) and BANK OF AMERICA, N.A., as Administrative Agent for the Lenders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84" w:lineRule="exact"/>
        <w:rPr>
          <w:sz w:val="20"/>
          <w:szCs w:val="20"/>
          <w:color w:val="auto"/>
        </w:rPr>
      </w:pPr>
    </w:p>
    <w:p>
      <w:pPr>
        <w:ind w:right="120" w:firstLine="991"/>
        <w:spacing w:after="0" w:line="254" w:lineRule="auto"/>
        <w:rPr>
          <w:sz w:val="20"/>
          <w:szCs w:val="20"/>
          <w:color w:val="auto"/>
        </w:rPr>
      </w:pPr>
      <w:r>
        <w:rPr>
          <w:rFonts w:ascii="Arial" w:cs="Arial" w:eastAsia="Arial" w:hAnsi="Arial"/>
          <w:sz w:val="18"/>
          <w:szCs w:val="18"/>
          <w:color w:val="auto"/>
        </w:rPr>
        <w:t>Dave &amp; Buster’s Holdings, Inc., as a guarantor, the Borrower, the direct and indirect Subsidiaries of the Borrower from time to time party thereto, as guarantors, the several financial institutions from time to time party thereto, as Lenders, Swing Line Lender and/or L/C Issuers, and the Administrative Agent, are parties to that certain Amended and Restated Credit Agreement, dated as of August 17, 2017 (as amended, supplemented or otherwise modified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Pursuant to Section 13.13 of the Credit Agreement, the Borrower has requested that the Lenders agree to certain amendments to the Credit Agreement, and each of the Consenting Lenders (which Consenting Lenders collectively constitute the Required Lenders under the Credit Agreement) have agreed, subject to the terms and conditions set forth herein, to amend the Credit Agreement as herein provided.</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Accordingly, the Borrower and the Consenting Lenders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right="180" w:firstLine="991"/>
        <w:spacing w:after="0" w:line="347" w:lineRule="auto"/>
        <w:rPr>
          <w:sz w:val="20"/>
          <w:szCs w:val="20"/>
          <w:color w:val="auto"/>
        </w:rPr>
      </w:pPr>
      <w:r>
        <w:rPr>
          <w:rFonts w:ascii="Arial" w:cs="Arial" w:eastAsia="Arial" w:hAnsi="Arial"/>
          <w:sz w:val="16"/>
          <w:szCs w:val="16"/>
          <w:b w:val="1"/>
          <w:bCs w:val="1"/>
          <w:color w:val="auto"/>
        </w:rPr>
        <w:t xml:space="preserve">Section 1.01 </w:t>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Unless otherwise defined herein, capitalized terms defined in the Credit Agreement after giving effect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First Amendment (the “</w:t>
      </w:r>
      <w:r>
        <w:rPr>
          <w:rFonts w:ascii="Arial" w:cs="Arial" w:eastAsia="Arial" w:hAnsi="Arial"/>
          <w:sz w:val="16"/>
          <w:szCs w:val="16"/>
          <w:u w:val="single" w:color="auto"/>
          <w:color w:val="auto"/>
        </w:rPr>
        <w:t>Amended Credit Agreement</w:t>
      </w:r>
      <w:r>
        <w:rPr>
          <w:rFonts w:ascii="Arial" w:cs="Arial" w:eastAsia="Arial" w:hAnsi="Arial"/>
          <w:sz w:val="16"/>
          <w:szCs w:val="16"/>
          <w:color w:val="auto"/>
        </w:rPr>
        <w:t xml:space="preserve">”) have the same meanings when used in this First Amendment (including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 THE CREDIT AGREEMENT</w:t>
      </w:r>
    </w:p>
    <w:p>
      <w:pPr>
        <w:spacing w:after="0" w:line="207" w:lineRule="exact"/>
        <w:rPr>
          <w:sz w:val="20"/>
          <w:szCs w:val="20"/>
          <w:color w:val="auto"/>
        </w:rPr>
      </w:pPr>
    </w:p>
    <w:p>
      <w:pPr>
        <w:ind w:right="280" w:firstLine="991"/>
        <w:spacing w:after="0" w:line="266" w:lineRule="auto"/>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The Credit Agreement is hereby amended, effective as of the Amendment Effective Date, to delete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to add the underlined text (indicated textually in the same manner as the following example: </w:t>
      </w:r>
      <w:r>
        <w:rPr>
          <w:rFonts w:ascii="Arial" w:cs="Arial" w:eastAsia="Arial" w:hAnsi="Arial"/>
          <w:sz w:val="18"/>
          <w:szCs w:val="18"/>
          <w:u w:val="single" w:color="auto"/>
          <w:color w:val="0000E1"/>
        </w:rPr>
        <w:t>underlined text</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EFFECTIVENESS</w:t>
      </w:r>
    </w:p>
    <w:p>
      <w:pPr>
        <w:spacing w:after="0" w:line="207" w:lineRule="exact"/>
        <w:rPr>
          <w:sz w:val="20"/>
          <w:szCs w:val="20"/>
          <w:color w:val="auto"/>
        </w:rPr>
      </w:pPr>
    </w:p>
    <w:p>
      <w:pPr>
        <w:ind w:right="140" w:firstLine="991"/>
        <w:spacing w:after="0" w:line="266" w:lineRule="auto"/>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b w:val="1"/>
          <w:bCs w:val="1"/>
          <w:u w:val="single" w:color="auto"/>
          <w:color w:val="auto"/>
        </w:rPr>
        <w:t>Conditions to Effectiveness of this First Amendment</w:t>
      </w:r>
      <w:r>
        <w:rPr>
          <w:rFonts w:ascii="Arial" w:cs="Arial" w:eastAsia="Arial" w:hAnsi="Arial"/>
          <w:sz w:val="18"/>
          <w:szCs w:val="18"/>
          <w:color w:val="auto"/>
        </w:rPr>
        <w:t>. This First Amendment, and each of the amendments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shall become effective on the date (the “</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when each of the following conditions precedent have been fulfilled (or waived) to the reasonable satisfaction of the Administrative Agent:</w:t>
      </w:r>
    </w:p>
    <w:p>
      <w:pPr>
        <w:spacing w:after="0" w:line="180" w:lineRule="exact"/>
        <w:rPr>
          <w:sz w:val="20"/>
          <w:szCs w:val="20"/>
          <w:color w:val="auto"/>
        </w:rPr>
      </w:pPr>
    </w:p>
    <w:p>
      <w:pPr>
        <w:ind w:right="220" w:firstLine="987"/>
        <w:spacing w:after="0" w:line="263" w:lineRule="auto"/>
        <w:tabs>
          <w:tab w:leader="none" w:pos="137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Execution and Delivery of this First Amendment</w:t>
      </w:r>
      <w:r>
        <w:rPr>
          <w:rFonts w:ascii="Arial" w:cs="Arial" w:eastAsia="Arial" w:hAnsi="Arial"/>
          <w:sz w:val="18"/>
          <w:szCs w:val="18"/>
          <w:color w:val="auto"/>
        </w:rPr>
        <w:t>. The Administrative Agent shall have received counterparts of this First Amendment duly executed by the Borrower, the Administrative Agent and Lenders under the Credit Agreement collectively constituting the Required Lenders.</w:t>
      </w:r>
    </w:p>
    <w:p>
      <w:pPr>
        <w:spacing w:after="0" w:line="183" w:lineRule="exact"/>
        <w:rPr>
          <w:rFonts w:ascii="Arial" w:cs="Arial" w:eastAsia="Arial" w:hAnsi="Arial"/>
          <w:sz w:val="18"/>
          <w:szCs w:val="18"/>
          <w:color w:val="auto"/>
        </w:rPr>
      </w:pPr>
    </w:p>
    <w:p>
      <w:pPr>
        <w:ind w:right="560" w:firstLine="987"/>
        <w:spacing w:after="0" w:line="263" w:lineRule="auto"/>
        <w:tabs>
          <w:tab w:leader="none" w:pos="138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xml:space="preserve">. The Administrative Agent shall have received counterparts of an Acknowledgement and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duly executed by each of the Persons (other than the Borrower) who are or are required by the Loan Documents to be Loan Parties.</w:t>
      </w:r>
    </w:p>
    <w:p>
      <w:pPr>
        <w:sectPr>
          <w:pgSz w:w="11900" w:h="16838" w:orient="portrait"/>
          <w:cols w:equalWidth="0" w:num="1">
            <w:col w:w="11020"/>
          </w:cols>
          <w:pgMar w:left="440" w:top="121" w:right="439" w:bottom="1440" w:gutter="0" w:footer="0" w:header="0"/>
        </w:sectPr>
      </w:pPr>
    </w:p>
    <w:bookmarkStart w:id="42" w:name="page43"/>
    <w:bookmarkEnd w:id="42"/>
    <w:p>
      <w:pPr>
        <w:ind w:right="260" w:firstLine="987"/>
        <w:spacing w:after="0" w:line="259" w:lineRule="auto"/>
        <w:tabs>
          <w:tab w:leader="none" w:pos="137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Expenses</w:t>
      </w:r>
      <w:r>
        <w:rPr>
          <w:rFonts w:ascii="Arial" w:cs="Arial" w:eastAsia="Arial" w:hAnsi="Arial"/>
          <w:sz w:val="18"/>
          <w:szCs w:val="18"/>
          <w:color w:val="auto"/>
        </w:rPr>
        <w:t xml:space="preserve">. The Administrative Agent shall have received full payment of all expenses to be reimbursed (i) in accordance with Section 13.15 of the Credit Agreement, including as set forth in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of this First Amendment, and (ii) pursuant to the Engagement and Commitment Letter, dated as of January 30, 2020, by and among the Administrative Agent, BofA Securities, Inc. and the Borrower, in each case, for which an invoice has been provided to the Borrower on or prior to the date hereof.</w:t>
      </w:r>
    </w:p>
    <w:p>
      <w:pPr>
        <w:spacing w:after="0" w:line="186" w:lineRule="exact"/>
        <w:rPr>
          <w:rFonts w:ascii="Arial" w:cs="Arial" w:eastAsia="Arial" w:hAnsi="Arial"/>
          <w:sz w:val="18"/>
          <w:szCs w:val="18"/>
          <w:color w:val="auto"/>
        </w:rPr>
      </w:pPr>
    </w:p>
    <w:p>
      <w:pPr>
        <w:jc w:val="both"/>
        <w:ind w:firstLine="987"/>
        <w:spacing w:after="0" w:line="263" w:lineRule="auto"/>
        <w:tabs>
          <w:tab w:leader="none" w:pos="138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Borrower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this First Amendment shall be true and correct on and as of the date hereof, except to the extent that such representations and warranties specifically refer to an earlier date, in which case they shall be true and correct as of such earlier date.</w:t>
      </w:r>
    </w:p>
    <w:p>
      <w:pPr>
        <w:spacing w:after="0" w:line="288" w:lineRule="exact"/>
        <w:rPr>
          <w:sz w:val="20"/>
          <w:szCs w:val="20"/>
          <w:color w:val="auto"/>
        </w:rPr>
      </w:pPr>
    </w:p>
    <w:p>
      <w:pPr>
        <w:ind w:left="980"/>
        <w:spacing w:after="0"/>
        <w:tabs>
          <w:tab w:leader="none" w:pos="206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6"/>
          <w:szCs w:val="16"/>
          <w:b w:val="1"/>
          <w:bCs w:val="1"/>
          <w:u w:val="single" w:color="auto"/>
          <w:color w:val="auto"/>
        </w:rPr>
        <w:t>Effects of this First Amendment</w:t>
      </w:r>
      <w:r>
        <w:rPr>
          <w:rFonts w:ascii="Arial" w:cs="Arial" w:eastAsia="Arial" w:hAnsi="Arial"/>
          <w:sz w:val="16"/>
          <w:szCs w:val="16"/>
          <w:color w:val="auto"/>
        </w:rPr>
        <w:t>.</w:t>
      </w:r>
    </w:p>
    <w:p>
      <w:pPr>
        <w:spacing w:after="0" w:line="121" w:lineRule="exact"/>
        <w:rPr>
          <w:sz w:val="20"/>
          <w:szCs w:val="20"/>
          <w:color w:val="auto"/>
        </w:rPr>
      </w:pPr>
    </w:p>
    <w:p>
      <w:pPr>
        <w:ind w:firstLine="987"/>
        <w:spacing w:after="0" w:line="257" w:lineRule="auto"/>
        <w:tabs>
          <w:tab w:leader="none" w:pos="13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the First Amendment Effective Date, the Credit Agreement will be automatically amended to reflect the amendments thereto provided for in this First Amendment. The rights and obligations of the parties hereto shall be governed (i) prior to the First Amendment Effective Date, by the Credit Agreement and (ii) on and after the First Amendment Effective Date, by the Amended Credit Agreement. Once the First Amendment Effective Date has occurred, all references to the Credit Agreement in any document, instrument, agreement, or writing shall be deemed to refer to the Amended Credit Agreement.</w:t>
      </w:r>
    </w:p>
    <w:p>
      <w:pPr>
        <w:spacing w:after="0" w:line="187" w:lineRule="exact"/>
        <w:rPr>
          <w:rFonts w:ascii="Arial" w:cs="Arial" w:eastAsia="Arial" w:hAnsi="Arial"/>
          <w:sz w:val="18"/>
          <w:szCs w:val="18"/>
          <w:color w:val="auto"/>
        </w:rPr>
      </w:pPr>
    </w:p>
    <w:p>
      <w:pPr>
        <w:ind w:firstLine="987"/>
        <w:spacing w:after="0" w:line="291" w:lineRule="auto"/>
        <w:tabs>
          <w:tab w:leader="none" w:pos="1381" w:val="left"/>
        </w:tabs>
        <w:numPr>
          <w:ilvl w:val="0"/>
          <w:numId w:val="36"/>
        </w:numPr>
        <w:rPr>
          <w:rFonts w:ascii="Arial" w:cs="Arial" w:eastAsia="Arial" w:hAnsi="Arial"/>
          <w:sz w:val="16"/>
          <w:szCs w:val="16"/>
          <w:color w:val="auto"/>
        </w:rPr>
      </w:pPr>
      <w:r>
        <w:rPr>
          <w:rFonts w:ascii="Arial" w:cs="Arial" w:eastAsia="Arial" w:hAnsi="Arial"/>
          <w:sz w:val="16"/>
          <w:szCs w:val="16"/>
          <w:color w:val="auto"/>
        </w:rPr>
        <w:t>Other than as specifically and expressly provided herein, this First Amendment shall not operate as a waiver or amendment of any right, power or privilege of the Administrative Agent or any Lender under the Credit Agreement or any other Loan Document or of any other term or condition of the Credit Agreement or any other Loan Document, nor shall the entering into of this First Amendment preclude the Administrative Agent and/or any Lender from refusing to enter into any further waivers or amendments with respect thereto. This First Amendment is not intended by any of the parties hereto to be interpreted as a course of dealing which would in any way impair the rights or remedies of the Administrative Agent or any Lender except as expressly stated herein, and no Lender shall have any obligation to extend credit to the Borrower other than pursuant to the strict terms of the Credit Agreement and the other Loan Documents, as amended or supplemented to date (including by means of this First Amendment).</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207" w:lineRule="exact"/>
        <w:rPr>
          <w:sz w:val="20"/>
          <w:szCs w:val="20"/>
          <w:color w:val="auto"/>
        </w:rPr>
      </w:pPr>
    </w:p>
    <w:p>
      <w:pPr>
        <w:ind w:right="340" w:firstLine="991"/>
        <w:spacing w:after="0" w:line="282" w:lineRule="auto"/>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In order to induce the Consenting Lenders to consent to the amendments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the Borrower represents and warrants as set forth below:</w:t>
      </w:r>
    </w:p>
    <w:p>
      <w:pPr>
        <w:spacing w:after="0" w:line="166" w:lineRule="exact"/>
        <w:rPr>
          <w:sz w:val="20"/>
          <w:szCs w:val="20"/>
          <w:color w:val="auto"/>
        </w:rPr>
      </w:pPr>
    </w:p>
    <w:p>
      <w:pPr>
        <w:ind w:right="20" w:firstLine="987"/>
        <w:spacing w:after="0" w:line="273" w:lineRule="auto"/>
        <w:tabs>
          <w:tab w:leader="none" w:pos="1361" w:val="left"/>
        </w:tabs>
        <w:numPr>
          <w:ilvl w:val="0"/>
          <w:numId w:val="37"/>
        </w:numPr>
        <w:rPr>
          <w:rFonts w:ascii="Arial" w:cs="Arial" w:eastAsia="Arial" w:hAnsi="Arial"/>
          <w:sz w:val="17"/>
          <w:szCs w:val="17"/>
          <w:color w:val="auto"/>
        </w:rPr>
      </w:pPr>
      <w:r>
        <w:rPr>
          <w:rFonts w:ascii="Arial" w:cs="Arial" w:eastAsia="Arial" w:hAnsi="Arial"/>
          <w:sz w:val="17"/>
          <w:szCs w:val="17"/>
          <w:color w:val="auto"/>
        </w:rPr>
        <w:t>After giving effect to this First Amendment, the Credit Agreement, as amended, does not impair the validity, effectiveness or priority of the Liens granted pursuant to the Collateral Documents, and such Liens continue unimpaired with the same priority to secure repayment of all Obligations, whether heretofore or hereafter incurred. The position of the Lenders with respect to such Liens, the Collateral in which a security interest was granted pursuant to the Collateral Documents and the ability of the Administrative Agent to realize upon such Liens pursuant to the terms of the Collateral Documents have not been adversely affected in any material respect by the amendments to the Credit Agreement effected pursuant to this First Amendment or by the execution, delivery, performance or effectiveness of this First Amendment.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43" w:name="page44"/>
    <w:bookmarkEnd w:id="43"/>
    <w:p>
      <w:pPr>
        <w:ind w:left="-20" w:right="80" w:firstLine="987"/>
        <w:spacing w:after="0" w:line="275" w:lineRule="auto"/>
        <w:tabs>
          <w:tab w:leader="none" w:pos="1358" w:val="left"/>
        </w:tabs>
        <w:numPr>
          <w:ilvl w:val="0"/>
          <w:numId w:val="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Borrower reaffirms as of the date hereof and the First Amendment Effective Date its covenants and agreements contained in the Credit Agreement and each Collateral Document and other Loan Document to which it is a party, including, in each case, as such covenants and agreements may be modified by this First Amendment on the First Amendment Effective Date. The Borrower further confirms that each Collateral Document and other Loan Document to which it is a party is, and shall continue to be, in full force and effect, and the same is hereby ratified, approved and confirmed in all respects, except as the Credit Agreement may be amended by this First Amendment.</w:t>
      </w:r>
    </w:p>
    <w:p>
      <w:pPr>
        <w:spacing w:after="0" w:line="176" w:lineRule="exact"/>
        <w:rPr>
          <w:rFonts w:ascii="Arial" w:cs="Arial" w:eastAsia="Arial" w:hAnsi="Arial"/>
          <w:sz w:val="17"/>
          <w:szCs w:val="17"/>
          <w:color w:val="auto"/>
        </w:rPr>
      </w:pPr>
    </w:p>
    <w:p>
      <w:pPr>
        <w:ind w:left="-20" w:right="140" w:firstLine="987"/>
        <w:spacing w:after="0" w:line="311" w:lineRule="auto"/>
        <w:tabs>
          <w:tab w:leader="none" w:pos="1351"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Prior to and immediately after giving effect to this First Amendment, the representations and warranties set forth in Section 6 of the Credit Agreement (as so amended) and each other Loan Document are, in each case, true and correct in all material respects (unless stated to relate solely to an earlier date, in which case such representations and warranties shall be true and correct in all material respects as of such earlier date).</w:t>
      </w:r>
    </w:p>
    <w:p>
      <w:pPr>
        <w:spacing w:after="0" w:line="148" w:lineRule="exact"/>
        <w:rPr>
          <w:rFonts w:ascii="Arial" w:cs="Arial" w:eastAsia="Arial" w:hAnsi="Arial"/>
          <w:sz w:val="16"/>
          <w:szCs w:val="16"/>
          <w:color w:val="auto"/>
        </w:rPr>
      </w:pPr>
    </w:p>
    <w:p>
      <w:pPr>
        <w:ind w:left="-20" w:firstLine="987"/>
        <w:spacing w:after="0" w:line="259" w:lineRule="auto"/>
        <w:tabs>
          <w:tab w:leader="none" w:pos="13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First Amendment has been duly authorized, executed and delivered by the Borrower and constitutes a valid and binding obligation of the Borrower enforceable against it in accordance with its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w:t>
      </w:r>
    </w:p>
    <w:p>
      <w:pPr>
        <w:spacing w:after="0" w:line="186" w:lineRule="exact"/>
        <w:rPr>
          <w:rFonts w:ascii="Arial" w:cs="Arial" w:eastAsia="Arial" w:hAnsi="Arial"/>
          <w:sz w:val="18"/>
          <w:szCs w:val="18"/>
          <w:color w:val="auto"/>
        </w:rPr>
      </w:pPr>
    </w:p>
    <w:p>
      <w:pPr>
        <w:ind w:left="-20" w:right="640" w:firstLine="987"/>
        <w:spacing w:after="0" w:line="342" w:lineRule="auto"/>
        <w:tabs>
          <w:tab w:leader="none" w:pos="1348"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parties signatory to the Acknowledgment and Agreement delivered pursuant to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of this First Amendment constitute all of the Persons who (together with the Borrower) are or are required under the terms of the Loan Documents to be Loan Parties.</w:t>
      </w:r>
    </w:p>
    <w:p>
      <w:pPr>
        <w:spacing w:after="0" w:line="123" w:lineRule="exact"/>
        <w:rPr>
          <w:rFonts w:ascii="Arial" w:cs="Arial" w:eastAsia="Arial" w:hAnsi="Arial"/>
          <w:sz w:val="16"/>
          <w:szCs w:val="16"/>
          <w:color w:val="auto"/>
        </w:rPr>
      </w:pPr>
    </w:p>
    <w:p>
      <w:pPr>
        <w:ind w:left="-20" w:right="20" w:firstLine="987"/>
        <w:spacing w:after="0" w:line="255" w:lineRule="auto"/>
        <w:tabs>
          <w:tab w:leader="none" w:pos="1321"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written information (other than any projections, other forward looking statements and information of a general economic or industry specific nature) furnished and prepared by or on behalf of Holdings, the Borrower and the Restricted Subsidiaries furnished to the Administrative Agent and the Consenting Lenders for use in connection with the negotiation of this First Amendment do not, taken as a whole, as of the First Amendment Effective Date, contain any untrue statements of a material fact or omit to state a material fact necessary in order to make the statements contained therein not materially misleading in light of the circumstances under which such statements are made (after giving effect to all supplements and updates thereto from time to time).</w:t>
      </w:r>
    </w:p>
    <w:p>
      <w:pPr>
        <w:spacing w:after="0" w:line="192" w:lineRule="exact"/>
        <w:rPr>
          <w:rFonts w:ascii="Arial" w:cs="Arial" w:eastAsia="Arial" w:hAnsi="Arial"/>
          <w:sz w:val="18"/>
          <w:szCs w:val="18"/>
          <w:color w:val="auto"/>
        </w:rPr>
      </w:pPr>
    </w:p>
    <w:p>
      <w:pPr>
        <w:ind w:left="-20" w:right="60" w:firstLine="987"/>
        <w:spacing w:after="0" w:line="259" w:lineRule="auto"/>
        <w:tabs>
          <w:tab w:leader="none" w:pos="13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Borrower has full right and authority to enter into this First Amendment and to perform all of its obligations under, this First Amendment and the Amended Credit Agreement, and the execution and delivery of this First Amendment and any agreements, instruments, certificates or documents related thereto (the “</w:t>
      </w:r>
      <w:r>
        <w:rPr>
          <w:rFonts w:ascii="Arial" w:cs="Arial" w:eastAsia="Arial" w:hAnsi="Arial"/>
          <w:sz w:val="18"/>
          <w:szCs w:val="18"/>
          <w:u w:val="single" w:color="auto"/>
          <w:color w:val="auto"/>
        </w:rPr>
        <w:t>First Amendment Documents</w:t>
      </w:r>
      <w:r>
        <w:rPr>
          <w:rFonts w:ascii="Arial" w:cs="Arial" w:eastAsia="Arial" w:hAnsi="Arial"/>
          <w:sz w:val="18"/>
          <w:szCs w:val="18"/>
          <w:color w:val="auto"/>
        </w:rPr>
        <w:t>”) have been duly authorized by all necessary corporate action on the part of each Loan Party.</w:t>
      </w:r>
    </w:p>
    <w:p>
      <w:pPr>
        <w:spacing w:after="0" w:line="186" w:lineRule="exact"/>
        <w:rPr>
          <w:rFonts w:ascii="Arial" w:cs="Arial" w:eastAsia="Arial" w:hAnsi="Arial"/>
          <w:sz w:val="18"/>
          <w:szCs w:val="18"/>
          <w:color w:val="auto"/>
        </w:rPr>
      </w:pPr>
    </w:p>
    <w:p>
      <w:pPr>
        <w:ind w:left="-20" w:right="140" w:firstLine="987"/>
        <w:spacing w:after="0" w:line="342" w:lineRule="auto"/>
        <w:tabs>
          <w:tab w:leader="none" w:pos="1351"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 of the First Amendment Effective Date (and giving effect to this First Amendment), no Default or Event of Default has occurred and is continuing or will result from the consummation of the transactions contemplated by this First Amendment or the Amended Credit Agreement.</w:t>
      </w:r>
    </w:p>
    <w:p>
      <w:pPr>
        <w:spacing w:after="0" w:line="123" w:lineRule="exact"/>
        <w:rPr>
          <w:rFonts w:ascii="Arial" w:cs="Arial" w:eastAsia="Arial" w:hAnsi="Arial"/>
          <w:sz w:val="16"/>
          <w:szCs w:val="16"/>
          <w:color w:val="auto"/>
        </w:rPr>
      </w:pPr>
    </w:p>
    <w:p>
      <w:pPr>
        <w:ind w:left="-20" w:right="40" w:firstLine="987"/>
        <w:spacing w:after="0" w:line="263" w:lineRule="auto"/>
        <w:tabs>
          <w:tab w:leader="none" w:pos="13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is no litigation or governmental or arbitration proceeding or labor controversy pending, nor to the knowledge of the Borrower threatened in writing, against Holdings, the Borrower or any Restricted Subsidiary or any of their Property which would reasonably be expected to have a Material Adverse Effect.</w:t>
      </w:r>
    </w:p>
    <w:p>
      <w:pPr>
        <w:spacing w:after="0" w:line="183" w:lineRule="exact"/>
        <w:rPr>
          <w:rFonts w:ascii="Arial" w:cs="Arial" w:eastAsia="Arial" w:hAnsi="Arial"/>
          <w:sz w:val="18"/>
          <w:szCs w:val="18"/>
          <w:color w:val="auto"/>
        </w:rPr>
      </w:pPr>
    </w:p>
    <w:p>
      <w:pPr>
        <w:ind w:left="-20" w:right="60" w:firstLine="987"/>
        <w:spacing w:after="0" w:line="277" w:lineRule="auto"/>
        <w:tabs>
          <w:tab w:leader="none" w:pos="1321"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authorization, consent, license or exemption from, or filing or registration with, any court or governmental department, agency or instrumentality, nor any approval or consent of any other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74" w:right="479" w:bottom="1440" w:gutter="0" w:footer="0" w:header="0"/>
        </w:sectPr>
      </w:pPr>
    </w:p>
    <w:bookmarkStart w:id="44" w:name="page45"/>
    <w:bookmarkEnd w:id="44"/>
    <w:p>
      <w:pPr>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 is or will be necessary for the valid execution, delivery or performance by Borrower of this First Amendment, except for such (i) approvals which have been obtained prior to the First Amendment Effective Date and remain in full force and effect, (ii) filings necessary to perfect Liens created pursuant to the Loan Documents and (iii) those consents, approvals, registrations, filings or actions the failure of which to obtain or make could not, either individually or in the aggregate, reasonably be expected to have a Material Adverse Effect.</w:t>
      </w:r>
    </w:p>
    <w:p>
      <w:pPr>
        <w:spacing w:after="0" w:line="187" w:lineRule="exact"/>
        <w:rPr>
          <w:sz w:val="20"/>
          <w:szCs w:val="20"/>
          <w:color w:val="auto"/>
        </w:rPr>
      </w:pPr>
    </w:p>
    <w:p>
      <w:pPr>
        <w:ind w:left="4" w:firstLine="987"/>
        <w:spacing w:after="0" w:line="263" w:lineRule="auto"/>
        <w:tabs>
          <w:tab w:leader="none" w:pos="138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execution, delivery and performance by each Loan Party of the First Amendment Documents will not contravene any provision of law or any judgment, injunction, order or decree binding upon the Borrower or any Guarantor which would reasonably be expected to have a Material Adverse Effect.</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ind w:left="984"/>
        <w:spacing w:after="0"/>
        <w:tabs>
          <w:tab w:leader="none" w:pos="2064" w:val="left"/>
        </w:tabs>
        <w:rPr>
          <w:sz w:val="20"/>
          <w:szCs w:val="20"/>
          <w:color w:val="auto"/>
        </w:rPr>
      </w:pPr>
      <w:r>
        <w:rPr>
          <w:rFonts w:ascii="Arial" w:cs="Arial" w:eastAsia="Arial" w:hAnsi="Arial"/>
          <w:sz w:val="18"/>
          <w:szCs w:val="18"/>
          <w:b w:val="1"/>
          <w:bCs w:val="1"/>
          <w:color w:val="auto"/>
        </w:rPr>
        <w:t>Section 5.01</w:t>
      </w:r>
      <w:r>
        <w:rPr>
          <w:sz w:val="20"/>
          <w:szCs w:val="20"/>
          <w:color w:val="auto"/>
        </w:rPr>
        <w:tab/>
      </w:r>
      <w:r>
        <w:rPr>
          <w:rFonts w:ascii="Arial" w:cs="Arial" w:eastAsia="Arial" w:hAnsi="Arial"/>
          <w:sz w:val="16"/>
          <w:szCs w:val="16"/>
          <w:b w:val="1"/>
          <w:bCs w:val="1"/>
          <w:u w:val="single" w:color="auto"/>
          <w:color w:val="auto"/>
        </w:rPr>
        <w:t>ATM Offerings</w:t>
      </w:r>
      <w:r>
        <w:rPr>
          <w:rFonts w:ascii="Arial" w:cs="Arial" w:eastAsia="Arial" w:hAnsi="Arial"/>
          <w:sz w:val="16"/>
          <w:szCs w:val="16"/>
          <w:color w:val="auto"/>
        </w:rPr>
        <w:t>. The Borrower and Holdings shall use commercially reasonable efforts to consummate, within sixty</w:t>
      </w:r>
    </w:p>
    <w:p>
      <w:pPr>
        <w:spacing w:after="0" w:line="27" w:lineRule="exact"/>
        <w:rPr>
          <w:sz w:val="20"/>
          <w:szCs w:val="20"/>
          <w:color w:val="auto"/>
        </w:rPr>
      </w:pPr>
    </w:p>
    <w:p>
      <w:pPr>
        <w:ind w:left="4" w:right="300" w:hanging="4"/>
        <w:spacing w:after="0" w:line="260" w:lineRule="auto"/>
        <w:tabs>
          <w:tab w:leader="none" w:pos="3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days after the First Amendment Effective Date, one or more at-the-market equity offerings by Holdings (or any direct or indirect parent thereof) with aggregate net cash proceeds to the Borrower of up to $75,000,000.</w:t>
      </w:r>
    </w:p>
    <w:p>
      <w:pPr>
        <w:spacing w:after="0" w:line="181" w:lineRule="exact"/>
        <w:rPr>
          <w:sz w:val="20"/>
          <w:szCs w:val="20"/>
          <w:color w:val="auto"/>
        </w:rPr>
      </w:pPr>
    </w:p>
    <w:p>
      <w:pPr>
        <w:ind w:left="4" w:firstLine="991"/>
        <w:spacing w:after="0" w:line="294" w:lineRule="auto"/>
        <w:rPr>
          <w:sz w:val="20"/>
          <w:szCs w:val="20"/>
          <w:color w:val="auto"/>
        </w:rPr>
      </w:pPr>
      <w:r>
        <w:rPr>
          <w:rFonts w:ascii="Arial" w:cs="Arial" w:eastAsia="Arial" w:hAnsi="Arial"/>
          <w:sz w:val="16"/>
          <w:szCs w:val="16"/>
          <w:b w:val="1"/>
          <w:bCs w:val="1"/>
          <w:color w:val="auto"/>
        </w:rPr>
        <w:t xml:space="preserve">Section 5.02 </w:t>
      </w:r>
      <w:r>
        <w:rPr>
          <w:rFonts w:ascii="Arial" w:cs="Arial" w:eastAsia="Arial" w:hAnsi="Arial"/>
          <w:sz w:val="16"/>
          <w:szCs w:val="16"/>
          <w:b w:val="1"/>
          <w:bCs w:val="1"/>
          <w:u w:val="single" w:color="auto"/>
          <w:color w:val="auto"/>
        </w:rPr>
        <w:t>Control Agreements</w:t>
      </w:r>
      <w:r>
        <w:rPr>
          <w:rFonts w:ascii="Arial" w:cs="Arial" w:eastAsia="Arial" w:hAnsi="Arial"/>
          <w:sz w:val="16"/>
          <w:szCs w:val="16"/>
          <w:color w:val="auto"/>
        </w:rPr>
        <w:t>. The Borrower shall cause all deposit accounts and securities accounts of the Loan Parties to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deposit account control agreements and securities account control agreements within thirty (30) days after the First Amendment Effective Date (or such longer period as may be agreed by the Administrative Agent), other than with respect to payroll, employee benefits, fiduciary or trust accounts, or zero balance accounts (“</w:t>
      </w:r>
      <w:r>
        <w:rPr>
          <w:rFonts w:ascii="Arial" w:cs="Arial" w:eastAsia="Arial" w:hAnsi="Arial"/>
          <w:sz w:val="16"/>
          <w:szCs w:val="16"/>
          <w:b w:val="1"/>
          <w:bCs w:val="1"/>
          <w:i w:val="1"/>
          <w:iCs w:val="1"/>
          <w:color w:val="auto"/>
        </w:rPr>
        <w:t>Excluded Accounts</w:t>
      </w:r>
      <w:r>
        <w:rPr>
          <w:rFonts w:ascii="Arial" w:cs="Arial" w:eastAsia="Arial" w:hAnsi="Arial"/>
          <w:sz w:val="16"/>
          <w:szCs w:val="16"/>
          <w:color w:val="auto"/>
        </w:rPr>
        <w:t>”). Within ten (10) days after the First Amendment Effective Date, the Borrower shall deliver to the Administrative Agent a schedule of all of the deposit accounts and securities accounts of the Loan Parties, identifying the account number and the deposit bank or securities intermediary for each such account, and indicating which of such accounts are Excluded Accounts.</w:t>
      </w:r>
    </w:p>
    <w:p>
      <w:pPr>
        <w:spacing w:after="0" w:line="160" w:lineRule="exact"/>
        <w:rPr>
          <w:sz w:val="20"/>
          <w:szCs w:val="20"/>
          <w:color w:val="auto"/>
        </w:rPr>
      </w:pPr>
    </w:p>
    <w:p>
      <w:pPr>
        <w:ind w:left="4" w:right="60" w:firstLine="991"/>
        <w:spacing w:after="0" w:line="269" w:lineRule="auto"/>
        <w:rPr>
          <w:sz w:val="20"/>
          <w:szCs w:val="20"/>
          <w:color w:val="auto"/>
        </w:rPr>
      </w:pPr>
      <w:r>
        <w:rPr>
          <w:rFonts w:ascii="Arial" w:cs="Arial" w:eastAsia="Arial" w:hAnsi="Arial"/>
          <w:sz w:val="17"/>
          <w:szCs w:val="17"/>
          <w:b w:val="1"/>
          <w:bCs w:val="1"/>
          <w:color w:val="auto"/>
        </w:rPr>
        <w:t xml:space="preserve">Section 5.03 </w:t>
      </w:r>
      <w:r>
        <w:rPr>
          <w:rFonts w:ascii="Arial" w:cs="Arial" w:eastAsia="Arial" w:hAnsi="Arial"/>
          <w:sz w:val="17"/>
          <w:szCs w:val="17"/>
          <w:b w:val="1"/>
          <w:bCs w:val="1"/>
          <w:u w:val="single" w:color="auto"/>
          <w:color w:val="auto"/>
        </w:rPr>
        <w:t>Amendment Fee</w:t>
      </w:r>
      <w:r>
        <w:rPr>
          <w:rFonts w:ascii="Arial" w:cs="Arial" w:eastAsia="Arial" w:hAnsi="Arial"/>
          <w:sz w:val="17"/>
          <w:szCs w:val="17"/>
          <w:b w:val="1"/>
          <w:bCs w:val="1"/>
          <w:color w:val="auto"/>
        </w:rPr>
        <w:t xml:space="preserve">. </w:t>
      </w:r>
      <w:r>
        <w:rPr>
          <w:rFonts w:ascii="Arial" w:cs="Arial" w:eastAsia="Arial" w:hAnsi="Arial"/>
          <w:sz w:val="17"/>
          <w:szCs w:val="17"/>
          <w:color w:val="auto"/>
        </w:rPr>
        <w:t>As consideration for the consent of the Consenting Lenders to the amendments contained herein, the</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agrees to pay (or cause to be paid) to each Lender that is party to the Credit Agreement on the First Amendment Effective Date (whether or not such Lender is a Consenting Lender) a fee (the “</w:t>
      </w:r>
      <w:r>
        <w:rPr>
          <w:rFonts w:ascii="Arial" w:cs="Arial" w:eastAsia="Arial" w:hAnsi="Arial"/>
          <w:sz w:val="17"/>
          <w:szCs w:val="17"/>
          <w:b w:val="1"/>
          <w:bCs w:val="1"/>
          <w:i w:val="1"/>
          <w:iCs w:val="1"/>
          <w:color w:val="auto"/>
        </w:rPr>
        <w:t>Amendment Fee</w:t>
      </w:r>
      <w:r>
        <w:rPr>
          <w:rFonts w:ascii="Arial" w:cs="Arial" w:eastAsia="Arial" w:hAnsi="Arial"/>
          <w:sz w:val="17"/>
          <w:szCs w:val="17"/>
          <w:color w:val="auto"/>
        </w:rPr>
        <w:t>”) equal to 25 basis points (0.25%) of the aggregate principal amount of Loans and Commitments (without duplication of Revolving Loans and Revolving Credit Commitments) of such Lender on the First Amendment Effective Date. The Amendment Fee shall be earned by each Lender on the First Amendment Effective Date and due and payable on the earliest of (w) the Revolving Credit Termination Date, (x) the maturity date of the Term Loans (as set forth in Section 1.8 of the Credit Agreement) or such earlier date on which the Term Loans become due and payable under the Credit Agreement (pursuant to Section 9.2, Section 9.3 or otherwise), (y) the earlier of (i) the date on which either the Term Loans outstanding on the First Amendment Effective Date are paid in full or (ii) the Revolving Credit Commitments outstanding on the First Amendment Effective Date are terminated in whole and (z) any transaction that has the effect of extending the maturity date of any Term Loans outstanding on the First Amendment Effective Date or extending the Revolving Credit Termination Date in respect of any Revolving Credit Commitments outstanding on the First Amendment Effective Date.</w:t>
      </w:r>
    </w:p>
    <w:p>
      <w:pPr>
        <w:spacing w:after="0" w:line="186" w:lineRule="exact"/>
        <w:rPr>
          <w:sz w:val="20"/>
          <w:szCs w:val="20"/>
          <w:color w:val="auto"/>
        </w:rPr>
      </w:pPr>
    </w:p>
    <w:p>
      <w:pPr>
        <w:ind w:left="4" w:right="240" w:firstLine="440"/>
        <w:spacing w:after="0" w:line="259" w:lineRule="auto"/>
        <w:rPr>
          <w:sz w:val="20"/>
          <w:szCs w:val="20"/>
          <w:color w:val="auto"/>
        </w:rPr>
      </w:pPr>
      <w:r>
        <w:rPr>
          <w:rFonts w:ascii="Arial" w:cs="Arial" w:eastAsia="Arial" w:hAnsi="Arial"/>
          <w:sz w:val="18"/>
          <w:szCs w:val="18"/>
          <w:color w:val="auto"/>
        </w:rPr>
        <w:t>Once earned, the Amendment Fee shall be become due and payable in accordance with the previous sentence and once paid shall be nonrefundable for any reason whatsoever and shall be in addition to any other fees, costs and expenses payable pursuant to the Loan Documents. The Amendment Fee shall be payable in U.S. dollars in immediately available funds, free and clear of, and without deduction for, any and all present or future applicable taxes, levies, imposts, duties, deductions, charges or withholding</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45" w:name="page46"/>
    <w:bookmarkEnd w:id="45"/>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imposed by any national, state or local taxing authority, or will be grossed up by the Borrower for such amounts. The obligation to pay the Amendment Fee will not be subject to counterclaim or setoff for, or be otherwise affected by, any claim or dispute of any Loan Party.</w:t>
      </w:r>
    </w:p>
    <w:p>
      <w:pPr>
        <w:spacing w:after="0" w:line="166" w:lineRule="exact"/>
        <w:rPr>
          <w:sz w:val="20"/>
          <w:szCs w:val="20"/>
          <w:color w:val="auto"/>
        </w:rPr>
      </w:pPr>
    </w:p>
    <w:p>
      <w:pPr>
        <w:ind w:right="240" w:firstLine="991"/>
        <w:spacing w:after="0" w:line="312" w:lineRule="auto"/>
        <w:rPr>
          <w:sz w:val="20"/>
          <w:szCs w:val="20"/>
          <w:color w:val="auto"/>
        </w:rPr>
      </w:pPr>
      <w:r>
        <w:rPr>
          <w:rFonts w:ascii="Arial" w:cs="Arial" w:eastAsia="Arial" w:hAnsi="Arial"/>
          <w:sz w:val="17"/>
          <w:szCs w:val="17"/>
          <w:b w:val="1"/>
          <w:bCs w:val="1"/>
          <w:color w:val="auto"/>
        </w:rPr>
        <w:t xml:space="preserve">Section 5.04 </w:t>
      </w:r>
      <w:r>
        <w:rPr>
          <w:rFonts w:ascii="Arial" w:cs="Arial" w:eastAsia="Arial" w:hAnsi="Arial"/>
          <w:sz w:val="17"/>
          <w:szCs w:val="17"/>
          <w:b w:val="1"/>
          <w:bCs w:val="1"/>
          <w:u w:val="single" w:color="auto"/>
          <w:color w:val="auto"/>
        </w:rPr>
        <w:t>Event of Default</w:t>
      </w:r>
      <w:r>
        <w:rPr>
          <w:rFonts w:ascii="Arial" w:cs="Arial" w:eastAsia="Arial" w:hAnsi="Arial"/>
          <w:sz w:val="17"/>
          <w:szCs w:val="17"/>
          <w:color w:val="auto"/>
        </w:rPr>
        <w:t>. A default in any of the obligations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5.01</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5.02</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5.03</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First</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shall constitute a Default and an immediate Event of Default without an opportunity to remedy such Event of Default.</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560" w:firstLine="991"/>
        <w:spacing w:after="0" w:line="282" w:lineRule="auto"/>
        <w:rPr>
          <w:sz w:val="20"/>
          <w:szCs w:val="20"/>
          <w:color w:val="auto"/>
        </w:rPr>
      </w:pPr>
      <w:r>
        <w:rPr>
          <w:rFonts w:ascii="Arial" w:cs="Arial" w:eastAsia="Arial" w:hAnsi="Arial"/>
          <w:sz w:val="18"/>
          <w:szCs w:val="18"/>
          <w:b w:val="1"/>
          <w:bCs w:val="1"/>
          <w:color w:val="auto"/>
        </w:rPr>
        <w:t xml:space="preserve">Section 6.01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various headings of this First Amendment are inserted for convenience only and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or interpretation of this First Amendment or any provisions hereof.</w:t>
      </w:r>
    </w:p>
    <w:p>
      <w:pPr>
        <w:spacing w:after="0" w:line="162" w:lineRule="exact"/>
        <w:rPr>
          <w:sz w:val="20"/>
          <w:szCs w:val="20"/>
          <w:color w:val="auto"/>
        </w:rPr>
      </w:pPr>
    </w:p>
    <w:p>
      <w:pPr>
        <w:ind w:right="100" w:firstLine="991"/>
        <w:spacing w:after="0" w:line="281" w:lineRule="auto"/>
        <w:rPr>
          <w:sz w:val="20"/>
          <w:szCs w:val="20"/>
          <w:color w:val="auto"/>
        </w:rPr>
      </w:pPr>
      <w:r>
        <w:rPr>
          <w:rFonts w:ascii="Arial" w:cs="Arial" w:eastAsia="Arial" w:hAnsi="Arial"/>
          <w:sz w:val="17"/>
          <w:szCs w:val="17"/>
          <w:b w:val="1"/>
          <w:bCs w:val="1"/>
          <w:color w:val="auto"/>
        </w:rPr>
        <w:t xml:space="preserve">Section 6.02 </w:t>
      </w:r>
      <w:r>
        <w:rPr>
          <w:rFonts w:ascii="Arial" w:cs="Arial" w:eastAsia="Arial" w:hAnsi="Arial"/>
          <w:sz w:val="17"/>
          <w:szCs w:val="17"/>
          <w:b w:val="1"/>
          <w:bCs w:val="1"/>
          <w:u w:val="single" w:color="auto"/>
          <w:color w:val="auto"/>
        </w:rPr>
        <w:t>Execution in Counterparts</w:t>
      </w:r>
      <w:r>
        <w:rPr>
          <w:rFonts w:ascii="Arial" w:cs="Arial" w:eastAsia="Arial" w:hAnsi="Arial"/>
          <w:sz w:val="17"/>
          <w:szCs w:val="17"/>
          <w:color w:val="auto"/>
        </w:rPr>
        <w:t>. This First Amendment may be executed in any number of counterparts, and by the different</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hereto on separate counterpart signature pages, each of which shall constitute an original, and all such counterparts taken together shall be deemed to constitute one and the same contract. Delivery of an executed counterpart of a signature page to this First Amendment by facsimile or other electronic transmission will be effective as delivery of a manually executed counterpart thereof.</w:t>
      </w:r>
    </w:p>
    <w:p>
      <w:pPr>
        <w:spacing w:after="0" w:line="165" w:lineRule="exact"/>
        <w:rPr>
          <w:sz w:val="20"/>
          <w:szCs w:val="20"/>
          <w:color w:val="auto"/>
        </w:rPr>
      </w:pPr>
    </w:p>
    <w:p>
      <w:pPr>
        <w:ind w:right="300" w:firstLine="991"/>
        <w:spacing w:after="0" w:line="282" w:lineRule="auto"/>
        <w:rPr>
          <w:sz w:val="20"/>
          <w:szCs w:val="20"/>
          <w:color w:val="auto"/>
        </w:rPr>
      </w:pPr>
      <w:r>
        <w:rPr>
          <w:rFonts w:ascii="Arial" w:cs="Arial" w:eastAsia="Arial" w:hAnsi="Arial"/>
          <w:sz w:val="18"/>
          <w:szCs w:val="18"/>
          <w:b w:val="1"/>
          <w:bCs w:val="1"/>
          <w:color w:val="auto"/>
        </w:rPr>
        <w:t xml:space="preserve">Section 6.03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provisions of this First Amendment shall be binding upon and inure to the benefit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and their respective successors and assigns permitted by the Credit Agreement.</w:t>
      </w:r>
    </w:p>
    <w:p>
      <w:pPr>
        <w:spacing w:after="0" w:line="270" w:lineRule="exact"/>
        <w:rPr>
          <w:sz w:val="20"/>
          <w:szCs w:val="20"/>
          <w:color w:val="auto"/>
        </w:rPr>
      </w:pPr>
    </w:p>
    <w:p>
      <w:pPr>
        <w:ind w:left="980"/>
        <w:spacing w:after="0"/>
        <w:tabs>
          <w:tab w:leader="none" w:pos="2060" w:val="left"/>
        </w:tabs>
        <w:rPr>
          <w:sz w:val="20"/>
          <w:szCs w:val="20"/>
          <w:color w:val="auto"/>
        </w:rPr>
      </w:pPr>
      <w:r>
        <w:rPr>
          <w:rFonts w:ascii="Arial" w:cs="Arial" w:eastAsia="Arial" w:hAnsi="Arial"/>
          <w:sz w:val="18"/>
          <w:szCs w:val="18"/>
          <w:b w:val="1"/>
          <w:bCs w:val="1"/>
          <w:color w:val="auto"/>
        </w:rPr>
        <w:t>Section 6.04</w:t>
      </w:r>
      <w:r>
        <w:rPr>
          <w:sz w:val="20"/>
          <w:szCs w:val="20"/>
          <w:color w:val="auto"/>
        </w:rPr>
        <w:tab/>
      </w:r>
      <w:r>
        <w:rPr>
          <w:rFonts w:ascii="Arial" w:cs="Arial" w:eastAsia="Arial" w:hAnsi="Arial"/>
          <w:sz w:val="16"/>
          <w:szCs w:val="16"/>
          <w:b w:val="1"/>
          <w:bCs w:val="1"/>
          <w:u w:val="single" w:color="auto"/>
          <w:color w:val="auto"/>
        </w:rPr>
        <w:t>Governing Law; Jurisdiction, Etc.</w:t>
      </w:r>
    </w:p>
    <w:p>
      <w:pPr>
        <w:spacing w:after="0" w:line="121" w:lineRule="exact"/>
        <w:rPr>
          <w:sz w:val="20"/>
          <w:szCs w:val="20"/>
          <w:color w:val="auto"/>
        </w:rPr>
      </w:pPr>
    </w:p>
    <w:p>
      <w:pPr>
        <w:ind w:right="140" w:firstLine="987"/>
        <w:spacing w:after="0" w:line="275" w:lineRule="auto"/>
        <w:tabs>
          <w:tab w:leader="none" w:pos="1371" w:val="left"/>
        </w:tabs>
        <w:numPr>
          <w:ilvl w:val="0"/>
          <w:numId w:val="41"/>
        </w:numPr>
        <w:rPr>
          <w:rFonts w:ascii="Arial" w:cs="Arial" w:eastAsia="Arial" w:hAnsi="Arial"/>
          <w:sz w:val="17"/>
          <w:szCs w:val="17"/>
          <w:color w:val="auto"/>
        </w:rPr>
      </w:pPr>
      <w:r>
        <w:rPr>
          <w:rFonts w:ascii="Arial" w:cs="Arial" w:eastAsia="Arial" w:hAnsi="Arial"/>
          <w:sz w:val="17"/>
          <w:szCs w:val="17"/>
          <w:i w:val="1"/>
          <w:iCs w:val="1"/>
          <w:u w:val="single" w:color="auto"/>
          <w:color w:val="auto"/>
        </w:rPr>
        <w:t>Governing Law</w:t>
      </w:r>
      <w:r>
        <w:rPr>
          <w:rFonts w:ascii="Arial" w:cs="Arial" w:eastAsia="Arial" w:hAnsi="Arial"/>
          <w:sz w:val="17"/>
          <w:szCs w:val="17"/>
          <w:i w:val="1"/>
          <w:iCs w:val="1"/>
          <w:color w:val="auto"/>
        </w:rPr>
        <w:t xml:space="preserve">. </w:t>
      </w:r>
      <w:r>
        <w:rPr>
          <w:rFonts w:ascii="Arial" w:cs="Arial" w:eastAsia="Arial" w:hAnsi="Arial"/>
          <w:sz w:val="17"/>
          <w:szCs w:val="17"/>
          <w:color w:val="auto"/>
        </w:rPr>
        <w:t>THIS FIRST AMENDMENT AND THE OTHER FIRST AMENDMENT DOCUMENTS (EXCEPT AS</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SPECIFIED THEREIN) AND THE TRANSACTIONS CONTEMPLATED HEREBY AND THEREBY, AND THE RIGHTS AND OBLIGATIONS OF THE PARTIES HEREUNDER AND THEREUNDER AND ALL CLAIMS AND CONTROVERSIES ARISING OUT OF THE SUBJECT MATTER HEREOF AND THEREOF WHETHER SOUNDING IN CONTRACT LAW, TORT LAW OR OTHERWISE SHALL BE GOVERNED BY, AND SHALL BE CONSTRUED AND ENFORCED IN ACCORDANCE WITH, THE LAWS OF THE STATE OF NEW YORK.</w:t>
      </w:r>
    </w:p>
    <w:p>
      <w:pPr>
        <w:spacing w:after="0" w:line="176" w:lineRule="exact"/>
        <w:rPr>
          <w:rFonts w:ascii="Arial" w:cs="Arial" w:eastAsia="Arial" w:hAnsi="Arial"/>
          <w:sz w:val="17"/>
          <w:szCs w:val="17"/>
          <w:color w:val="auto"/>
        </w:rPr>
      </w:pPr>
    </w:p>
    <w:p>
      <w:pPr>
        <w:ind w:firstLine="987"/>
        <w:spacing w:after="0" w:line="255" w:lineRule="auto"/>
        <w:tabs>
          <w:tab w:leader="none" w:pos="1381" w:val="left"/>
        </w:tabs>
        <w:numPr>
          <w:ilvl w:val="0"/>
          <w:numId w:val="41"/>
        </w:numPr>
        <w:rPr>
          <w:rFonts w:ascii="Arial" w:cs="Arial" w:eastAsia="Arial" w:hAnsi="Arial"/>
          <w:sz w:val="18"/>
          <w:szCs w:val="18"/>
          <w:color w:val="auto"/>
        </w:rPr>
      </w:pPr>
      <w:r>
        <w:rPr>
          <w:rFonts w:ascii="Arial" w:cs="Arial" w:eastAsia="Arial" w:hAnsi="Arial"/>
          <w:sz w:val="18"/>
          <w:szCs w:val="18"/>
          <w:i w:val="1"/>
          <w:iCs w:val="1"/>
          <w:u w:val="single" w:color="auto"/>
          <w:color w:val="auto"/>
        </w:rPr>
        <w:t>Submission to Jurisdiction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BORROWER HEREBY SUBMITS TO THE EXCLUSIVE JURISDICTION OF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DISTRICT COURT FOR THE SOUTHERN DISTRICT OF NEW YORK AND OF ANY NEW YORK STATE COURT SITTING IN THE COUNTY OF NEW YORK, AND OF ANY APPELLATE COURT OF ANY THEREOF FOR PURPOSES OF ALL LEGAL PROCEEDINGS ARISING OUT OF OR RELATING TO THIS FIRST AMENDMENT, THE OTHER FIRST AMENDMENT DOCUMENTS OR THE TRANSACTIONS CONTEMPLATED HEREBY OR THEREBY, WHETHER IN LAW OR EQUITY, WHETHER IN CONTRACT OR IN TORT OR OTHERWISE.</w:t>
      </w:r>
    </w:p>
    <w:p>
      <w:pPr>
        <w:spacing w:after="0" w:line="192" w:lineRule="exact"/>
        <w:rPr>
          <w:rFonts w:ascii="Arial" w:cs="Arial" w:eastAsia="Arial" w:hAnsi="Arial"/>
          <w:sz w:val="18"/>
          <w:szCs w:val="18"/>
          <w:color w:val="auto"/>
        </w:rPr>
      </w:pPr>
    </w:p>
    <w:p>
      <w:pPr>
        <w:ind w:firstLine="987"/>
        <w:spacing w:after="0" w:line="259" w:lineRule="auto"/>
        <w:tabs>
          <w:tab w:leader="none" w:pos="1371" w:val="left"/>
        </w:tabs>
        <w:numPr>
          <w:ilvl w:val="0"/>
          <w:numId w:val="41"/>
        </w:numPr>
        <w:rPr>
          <w:rFonts w:ascii="Arial" w:cs="Arial" w:eastAsia="Arial" w:hAnsi="Arial"/>
          <w:sz w:val="18"/>
          <w:szCs w:val="18"/>
          <w:color w:val="auto"/>
        </w:rPr>
      </w:pPr>
      <w:r>
        <w:rPr>
          <w:rFonts w:ascii="Arial" w:cs="Arial" w:eastAsia="Arial" w:hAnsi="Arial"/>
          <w:sz w:val="18"/>
          <w:szCs w:val="18"/>
          <w:i w:val="1"/>
          <w:iCs w:val="1"/>
          <w:u w:val="single" w:color="auto"/>
          <w:color w:val="auto"/>
        </w:rPr>
        <w:t>Waiver of Venue</w:t>
      </w:r>
      <w:r>
        <w:rPr>
          <w:rFonts w:ascii="Arial" w:cs="Arial" w:eastAsia="Arial" w:hAnsi="Arial"/>
          <w:sz w:val="18"/>
          <w:szCs w:val="18"/>
          <w:color w:val="auto"/>
        </w:rPr>
        <w:t>. THE BORROWER IRREVOCABLY WAIVES, TO THE FULLEST EXTENT PERMITTED BY LAW, ANY</w:t>
      </w:r>
      <w:r>
        <w:rPr>
          <w:rFonts w:ascii="Arial" w:cs="Arial" w:eastAsia="Arial" w:hAnsi="Arial"/>
          <w:sz w:val="18"/>
          <w:szCs w:val="18"/>
          <w:i w:val="1"/>
          <w:iCs w:val="1"/>
          <w:color w:val="auto"/>
        </w:rPr>
        <w:t xml:space="preserve"> </w:t>
      </w:r>
      <w:r>
        <w:rPr>
          <w:rFonts w:ascii="Arial" w:cs="Arial" w:eastAsia="Arial" w:hAnsi="Arial"/>
          <w:sz w:val="18"/>
          <w:szCs w:val="18"/>
          <w:color w:val="auto"/>
        </w:rPr>
        <w:t>OBJECTION WHICH THEY MAY NOW OR HEREAFTER HAVE TO THE LAYING OF THE VENUE OF ANY SUCH PROCEEDING BROUGHT IN SUCH A COURT AND ANY CLAIM THAT ANY SUCH PROCEEDING BROUGHT IN SUCH A COURT HAS BEEN BROUGHT IN AN INCONVENIENT FORUM. EACH OF THE PARTIES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46" w:name="page47"/>
    <w:bookmarkEnd w:id="46"/>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HERETO AGREES THAT, TO THE EXTENT PERMITTED BY LAW, A FINAL JUDGMENT IN ANY SUCH ACTION OR PROCEEDING SHALL BE CONCLUSIVE AND MAY BE ENFORCED IN OTHER JURISDICTIONS BY SUIT ON THE JUDGMENT OR IN ANY OTHER MANNER PROVIDED BY LAW. NOTHING IN THIS FIRST AMENDMENT SHALL AFFECT ANY RIGHT THAT THE ADMINISTRATIVE AGENT OR ANY OTHER LENDER OR ANY L/C ISSUER MAY OTHERWISE HAVE TO BRING ANY ACTION OR PROCEEDING RELATING TO THIS AGREEMENT AGAINST THE BORROWER, ANY GUARANTOR OR THEIR RESPECTIVE PROPERTIES IN THE COURTS OF ANY JURISDICTION.</w:t>
      </w:r>
    </w:p>
    <w:p>
      <w:pPr>
        <w:spacing w:after="0" w:line="192" w:lineRule="exact"/>
        <w:rPr>
          <w:sz w:val="20"/>
          <w:szCs w:val="20"/>
          <w:color w:val="auto"/>
        </w:rPr>
      </w:pPr>
    </w:p>
    <w:p>
      <w:pPr>
        <w:ind w:left="4" w:right="60" w:firstLine="987"/>
        <w:spacing w:after="0" w:line="286" w:lineRule="auto"/>
        <w:tabs>
          <w:tab w:leader="none" w:pos="1385" w:val="left"/>
        </w:tabs>
        <w:numPr>
          <w:ilvl w:val="0"/>
          <w:numId w:val="42"/>
        </w:numPr>
        <w:rPr>
          <w:rFonts w:ascii="Arial" w:cs="Arial" w:eastAsia="Arial" w:hAnsi="Arial"/>
          <w:sz w:val="17"/>
          <w:szCs w:val="17"/>
          <w:color w:val="auto"/>
        </w:rPr>
      </w:pPr>
      <w:r>
        <w:rPr>
          <w:rFonts w:ascii="Arial" w:cs="Arial" w:eastAsia="Arial" w:hAnsi="Arial"/>
          <w:sz w:val="17"/>
          <w:szCs w:val="17"/>
          <w:i w:val="1"/>
          <w:iCs w:val="1"/>
          <w:u w:val="single" w:color="auto"/>
          <w:color w:val="auto"/>
        </w:rPr>
        <w:t>Service of Process</w:t>
      </w:r>
      <w:r>
        <w:rPr>
          <w:rFonts w:ascii="Arial" w:cs="Arial" w:eastAsia="Arial" w:hAnsi="Arial"/>
          <w:sz w:val="17"/>
          <w:szCs w:val="17"/>
          <w:i w:val="1"/>
          <w:iCs w:val="1"/>
          <w:color w:val="auto"/>
        </w:rPr>
        <w:t xml:space="preserve">. </w:t>
      </w:r>
      <w:r>
        <w:rPr>
          <w:rFonts w:ascii="Arial" w:cs="Arial" w:eastAsia="Arial" w:hAnsi="Arial"/>
          <w:sz w:val="17"/>
          <w:szCs w:val="17"/>
          <w:color w:val="auto"/>
        </w:rPr>
        <w:t>EACH PARTY HERETO IRREVOCABLY CONSENTS TO SERVICE OF PROCESS IN THE MANNER</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FOR NOTICES IN SECTION 13.8 OF THE CREDIT AGREEMENT. NOTHING IN THIS FIRST AMENDMENT WILL AFFECT THE RIGHT OF ANY PARTY HERETO TO SERVE PROCESS IN ANY OTHER MANNER PERMITTED BY APPLICABLE LAW.</w:t>
      </w:r>
    </w:p>
    <w:p>
      <w:pPr>
        <w:spacing w:after="0" w:line="161" w:lineRule="exact"/>
        <w:rPr>
          <w:sz w:val="20"/>
          <w:szCs w:val="20"/>
          <w:color w:val="auto"/>
        </w:rPr>
      </w:pPr>
    </w:p>
    <w:p>
      <w:pPr>
        <w:ind w:left="4" w:right="80" w:firstLine="991"/>
        <w:spacing w:after="0" w:line="253" w:lineRule="auto"/>
        <w:rPr>
          <w:sz w:val="20"/>
          <w:szCs w:val="20"/>
          <w:color w:val="auto"/>
        </w:rPr>
      </w:pPr>
      <w:r>
        <w:rPr>
          <w:rFonts w:ascii="Arial" w:cs="Arial" w:eastAsia="Arial" w:hAnsi="Arial"/>
          <w:sz w:val="18"/>
          <w:szCs w:val="18"/>
          <w:b w:val="1"/>
          <w:bCs w:val="1"/>
          <w:color w:val="auto"/>
        </w:rPr>
        <w:t xml:space="preserve">Section 6.05 </w:t>
      </w:r>
      <w:r>
        <w:rPr>
          <w:rFonts w:ascii="Arial" w:cs="Arial" w:eastAsia="Arial" w:hAnsi="Arial"/>
          <w:sz w:val="18"/>
          <w:szCs w:val="18"/>
          <w:b w:val="1"/>
          <w:bCs w:val="1"/>
          <w:u w:val="single" w:color="auto"/>
          <w:color w:val="auto"/>
        </w:rPr>
        <w:t>Waiver of Right to Trial by Jury</w:t>
      </w:r>
      <w:r>
        <w:rPr>
          <w:rFonts w:ascii="Arial" w:cs="Arial" w:eastAsia="Arial" w:hAnsi="Arial"/>
          <w:sz w:val="18"/>
          <w:szCs w:val="18"/>
          <w:color w:val="auto"/>
        </w:rPr>
        <w:t>. EACH PARTY HERETO HEREBY IRREVOCABLY WAIVES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TRIAL BY JURY IN ANY LEGAL PROCEEDING DIRECTLY OR INDIRECTLY ARISING OUT OF OR RELATING TO THIS FIRST AMENDMENT OR ANY OTHER FIRST AMENDMENT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5" w:lineRule="exact"/>
        <w:rPr>
          <w:sz w:val="20"/>
          <w:szCs w:val="20"/>
          <w:color w:val="auto"/>
        </w:rPr>
      </w:pPr>
    </w:p>
    <w:p>
      <w:pPr>
        <w:jc w:val="both"/>
        <w:ind w:left="4" w:right="60" w:hanging="4"/>
        <w:spacing w:after="0" w:line="255" w:lineRule="auto"/>
        <w:tabs>
          <w:tab w:leader="none" w:pos="27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ACKNOWLEDGES THAT IT AND THE OTHER PARTIES HERETO HAVE BEEN INDUCED TO ENTER INTO THIS FIRST AMENDMENT AND THE OTHER FIRST AMENDMENT DOCUMENTS BY, AMONG OTHER THINGS, THE MUTUAL WAIVERS AND CERTIFICATIONS IN THIS SECTION.</w:t>
      </w:r>
    </w:p>
    <w:p>
      <w:pPr>
        <w:spacing w:after="0" w:line="186" w:lineRule="exact"/>
        <w:rPr>
          <w:sz w:val="20"/>
          <w:szCs w:val="20"/>
          <w:color w:val="auto"/>
        </w:rPr>
      </w:pPr>
    </w:p>
    <w:p>
      <w:pPr>
        <w:ind w:left="4" w:right="220" w:firstLine="991"/>
        <w:spacing w:after="0" w:line="347" w:lineRule="auto"/>
        <w:rPr>
          <w:sz w:val="20"/>
          <w:szCs w:val="20"/>
          <w:color w:val="auto"/>
        </w:rPr>
      </w:pPr>
      <w:r>
        <w:rPr>
          <w:rFonts w:ascii="Arial" w:cs="Arial" w:eastAsia="Arial" w:hAnsi="Arial"/>
          <w:sz w:val="16"/>
          <w:szCs w:val="16"/>
          <w:b w:val="1"/>
          <w:bCs w:val="1"/>
          <w:color w:val="auto"/>
        </w:rPr>
        <w:t xml:space="preserve">Section 6.06 </w:t>
      </w: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First Amendment represents the final agreement among the parties and may not be contradicted</w:t>
      </w:r>
      <w:r>
        <w:rPr>
          <w:rFonts w:ascii="Arial" w:cs="Arial" w:eastAsia="Arial" w:hAnsi="Arial"/>
          <w:sz w:val="16"/>
          <w:szCs w:val="16"/>
          <w:b w:val="1"/>
          <w:bCs w:val="1"/>
          <w:color w:val="auto"/>
        </w:rPr>
        <w:t xml:space="preserve"> </w:t>
      </w:r>
      <w:r>
        <w:rPr>
          <w:rFonts w:ascii="Arial" w:cs="Arial" w:eastAsia="Arial" w:hAnsi="Arial"/>
          <w:sz w:val="16"/>
          <w:szCs w:val="16"/>
          <w:color w:val="auto"/>
        </w:rPr>
        <w:t>by evidence of prior, contemporaneous or subsequent oral agreements of the parties. There are no unwritten oral agreements among the parties.</w:t>
      </w:r>
    </w:p>
    <w:p>
      <w:pPr>
        <w:spacing w:after="0" w:line="116" w:lineRule="exact"/>
        <w:rPr>
          <w:sz w:val="20"/>
          <w:szCs w:val="20"/>
          <w:color w:val="auto"/>
        </w:rPr>
      </w:pPr>
    </w:p>
    <w:p>
      <w:pPr>
        <w:ind w:left="4" w:right="40" w:firstLine="991"/>
        <w:spacing w:after="0" w:line="261" w:lineRule="auto"/>
        <w:rPr>
          <w:sz w:val="20"/>
          <w:szCs w:val="20"/>
          <w:color w:val="auto"/>
        </w:rPr>
      </w:pPr>
      <w:r>
        <w:rPr>
          <w:rFonts w:ascii="Arial" w:cs="Arial" w:eastAsia="Arial" w:hAnsi="Arial"/>
          <w:sz w:val="18"/>
          <w:szCs w:val="18"/>
          <w:b w:val="1"/>
          <w:bCs w:val="1"/>
          <w:color w:val="auto"/>
        </w:rPr>
        <w:t xml:space="preserve">Section 6.07 </w:t>
      </w:r>
      <w:r>
        <w:rPr>
          <w:rFonts w:ascii="Arial" w:cs="Arial" w:eastAsia="Arial" w:hAnsi="Arial"/>
          <w:sz w:val="18"/>
          <w:szCs w:val="18"/>
          <w:b w:val="1"/>
          <w:bCs w:val="1"/>
          <w:u w:val="single" w:color="auto"/>
          <w:color w:val="auto"/>
        </w:rPr>
        <w:t>Fees and Expenses</w:t>
      </w:r>
      <w:r>
        <w:rPr>
          <w:rFonts w:ascii="Arial" w:cs="Arial" w:eastAsia="Arial" w:hAnsi="Arial"/>
          <w:sz w:val="18"/>
          <w:szCs w:val="18"/>
          <w:color w:val="auto"/>
        </w:rPr>
        <w:t>. The Borrower agrees to pay all reasonable out-of-pocket expenses incurred by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in connection with the preparation, negotiation, execution, delivery and enforcement of this First Amendment and the other First Amendment Documents, including, but not limited to, the fees, disbursements and other charges of Fried Frank, counsel to the Administrative Agent, in each case, as provided in Section 13.15 of the Amended Credit Agreement.</w:t>
      </w:r>
    </w:p>
    <w:p>
      <w:pPr>
        <w:spacing w:after="0" w:line="180" w:lineRule="exact"/>
        <w:rPr>
          <w:sz w:val="20"/>
          <w:szCs w:val="20"/>
          <w:color w:val="auto"/>
        </w:rPr>
      </w:pPr>
    </w:p>
    <w:p>
      <w:pPr>
        <w:jc w:val="both"/>
        <w:ind w:left="4" w:right="300" w:firstLine="991"/>
        <w:spacing w:after="0" w:line="266" w:lineRule="auto"/>
        <w:rPr>
          <w:sz w:val="20"/>
          <w:szCs w:val="20"/>
          <w:color w:val="auto"/>
        </w:rPr>
      </w:pPr>
      <w:r>
        <w:rPr>
          <w:rFonts w:ascii="Arial" w:cs="Arial" w:eastAsia="Arial" w:hAnsi="Arial"/>
          <w:sz w:val="18"/>
          <w:szCs w:val="18"/>
          <w:b w:val="1"/>
          <w:bCs w:val="1"/>
          <w:color w:val="auto"/>
        </w:rPr>
        <w:t xml:space="preserve">Section 6.08 </w:t>
      </w:r>
      <w:r>
        <w:rPr>
          <w:rFonts w:ascii="Arial" w:cs="Arial" w:eastAsia="Arial" w:hAnsi="Arial"/>
          <w:sz w:val="18"/>
          <w:szCs w:val="18"/>
          <w:b w:val="1"/>
          <w:bCs w:val="1"/>
          <w:u w:val="single" w:color="auto"/>
          <w:color w:val="auto"/>
        </w:rPr>
        <w:t>Loan Document Pursuant to Credit Agreement</w:t>
      </w:r>
      <w:r>
        <w:rPr>
          <w:rFonts w:ascii="Arial" w:cs="Arial" w:eastAsia="Arial" w:hAnsi="Arial"/>
          <w:sz w:val="18"/>
          <w:szCs w:val="18"/>
          <w:color w:val="auto"/>
        </w:rPr>
        <w:t>. This First Amendment is a Loan Document executed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and shall be construed, administered and applied in accordance with all of the terms and provisions of the Credit Agreement (and, from and after the date hereof, the Amended Credit Agreement).</w:t>
      </w:r>
    </w:p>
    <w:p>
      <w:pPr>
        <w:spacing w:after="0" w:line="18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47" w:name="page48"/>
    <w:bookmarkEnd w:id="47"/>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First Amendment to be duly executed and delivered as of the day and year first above written.</w:t>
      </w:r>
    </w:p>
    <w:p>
      <w:pPr>
        <w:sectPr>
          <w:pgSz w:w="11900" w:h="16838" w:orient="portrait"/>
          <w:cols w:equalWidth="0" w:num="1">
            <w:col w:w="10860"/>
          </w:cols>
          <w:pgMar w:left="440" w:top="274" w:right="5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HOLDINGS (solely as to Section 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DAVE &amp; BUSTER’S, INC., a Missouri</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W. Edmund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14605</wp:posOffset>
            </wp:positionV>
            <wp:extent cx="30772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Name: Robert W. Edmund</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Title:  General Counsel, Secretary &amp; SVP of HR</w:t>
      </w:r>
    </w:p>
    <w:p>
      <w:pPr>
        <w:spacing w:after="0" w:line="23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DAVE &amp; BUSTER’S HOLDINGS, INC., a</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Delaware corporation</w:t>
      </w:r>
    </w:p>
    <w:p>
      <w:pPr>
        <w:spacing w:after="0" w:line="211"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W. Edmund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14605</wp:posOffset>
            </wp:positionV>
            <wp:extent cx="3077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Name: Robert W. Edmund</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Title:  General Counsel, Secretary &amp; SVP of HR</w:t>
      </w:r>
    </w:p>
    <w:p>
      <w:pPr>
        <w:spacing w:after="0" w:line="23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BANK OF AMERICA, N.A., as Administrative</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Charlene Wright-Jones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14605</wp:posOffset>
            </wp:positionV>
            <wp:extent cx="3077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Charlene Wright-Jones</w:t>
      </w:r>
    </w:p>
    <w:p>
      <w:pPr>
        <w:spacing w:after="0" w:line="23" w:lineRule="exact"/>
        <w:rPr>
          <w:sz w:val="20"/>
          <w:szCs w:val="20"/>
          <w:color w:val="auto"/>
        </w:rPr>
      </w:pPr>
    </w:p>
    <w:p>
      <w:pPr>
        <w:ind w:left="1360"/>
        <w:spacing w:after="0"/>
        <w:tabs>
          <w:tab w:leader="none" w:pos="198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to First Amendment]</w:t>
      </w:r>
    </w:p>
    <w:p>
      <w:pPr>
        <w:sectPr>
          <w:pgSz w:w="11900" w:h="16838" w:orient="portrait"/>
          <w:cols w:equalWidth="0" w:num="2">
            <w:col w:w="3440" w:space="720"/>
            <w:col w:w="6700"/>
          </w:cols>
          <w:pgMar w:left="440" w:top="274" w:right="599" w:bottom="1440" w:gutter="0" w:footer="0" w:header="0"/>
          <w:type w:val="continuous"/>
        </w:sectPr>
      </w:pPr>
    </w:p>
    <w:bookmarkStart w:id="48" w:name="page49"/>
    <w:bookmarkEnd w:id="4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BANK OF AMERICA, N.A., as Lender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Luppino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Anthony Luppino</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CAPITAL ONE, N.A., as Lender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Sullivan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Duly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PNC Bank, National Association, as Lender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Brendan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Brendan McGuire</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Executive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REGIONS BANK, as Lender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Ryan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Ryan Fischer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STIFEL BANK &amp; TRUST, as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P. McDonald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Daniel P. McDonald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TRUST BANK, as Lender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McCormack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Frank McCormack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SVP</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U.S. BANK NATIONAL ASSOCIATION, as Lender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P.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Sean P. Walters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BRANCH BANKING AND TRUST COMPANY, as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Frank McCormack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Frank McCormack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SVP</w:t>
      </w:r>
    </w:p>
    <w:p>
      <w:pPr>
        <w:spacing w:after="0" w:line="143"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First Amendment]</w:t>
      </w:r>
    </w:p>
    <w:p>
      <w:pPr>
        <w:sectPr>
          <w:pgSz w:w="11900" w:h="16838" w:orient="portrait"/>
          <w:cols w:equalWidth="0" w:num="1">
            <w:col w:w="10020"/>
          </w:cols>
          <w:pgMar w:left="1440" w:top="274" w:right="4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ACKNOWLEDGEMENT AND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14, 2020</w:t>
      </w:r>
    </w:p>
    <w:p>
      <w:pPr>
        <w:spacing w:after="0" w:line="225" w:lineRule="exact"/>
        <w:rPr>
          <w:sz w:val="20"/>
          <w:szCs w:val="20"/>
          <w:color w:val="auto"/>
        </w:rPr>
      </w:pPr>
    </w:p>
    <w:p>
      <w:pPr>
        <w:ind w:right="80" w:firstLine="991"/>
        <w:spacing w:after="0" w:line="289" w:lineRule="auto"/>
        <w:rPr>
          <w:sz w:val="20"/>
          <w:szCs w:val="20"/>
          <w:color w:val="auto"/>
        </w:rPr>
      </w:pPr>
      <w:r>
        <w:rPr>
          <w:rFonts w:ascii="Arial" w:cs="Arial" w:eastAsia="Arial" w:hAnsi="Arial"/>
          <w:sz w:val="16"/>
          <w:szCs w:val="16"/>
          <w:color w:val="auto"/>
        </w:rPr>
        <w:t>Each Loan Party hereby acknowledges that it has reviewed the First Amendment to the Amended and Restated Credit Agreement dated as of April 14, 2020 to which this Acknowledgement and Agreement is attached as an exhibit (the “</w:t>
      </w:r>
      <w:r>
        <w:rPr>
          <w:rFonts w:ascii="Arial" w:cs="Arial" w:eastAsia="Arial" w:hAnsi="Arial"/>
          <w:sz w:val="16"/>
          <w:szCs w:val="16"/>
          <w:u w:val="single" w:color="auto"/>
          <w:color w:val="auto"/>
        </w:rPr>
        <w:t>First Amendment</w:t>
      </w:r>
      <w:r>
        <w:rPr>
          <w:rFonts w:ascii="Arial" w:cs="Arial" w:eastAsia="Arial" w:hAnsi="Arial"/>
          <w:sz w:val="16"/>
          <w:szCs w:val="16"/>
          <w:color w:val="auto"/>
        </w:rPr>
        <w:t>”) and hereby consents to the execution, delivery and performance thereof by the Borrower. Each Loan Party hereby confirms its obligation under each Loan Document to which it is a party and agrees that, after giving effect to the First Amendment, neither the modification of the Credit Agreement or any other Loan Document effected pursuant to the First Amendment, nor the execution, delivery, performance or effectiveness of the First Amendment or any other Loan Document impairs the validity or effectiveness of any Loan Document to which it is a party or impairs the validity, effectiveness or priority of the Liens granted pursuant to any other Loan Document to which it is a party or by which it is otherwise bound. The representations and warranties of each Loan Party contained in Article IV of the First Amendment are true and correct on and as of the date hereof, except to the extent that such representations and warranties specifically refer to an earlier date, in which case they shall be true and correct as of such earlier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1020"/>
          </w:cols>
          <w:pgMar w:left="440" w:top="270" w:right="439" w:bottom="1440" w:gutter="0" w:footer="0" w:header="0"/>
        </w:sectPr>
      </w:pPr>
    </w:p>
    <w:bookmarkStart w:id="50" w:name="page51"/>
    <w:bookmarkEnd w:id="5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LOAN PARTIES: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HOLDINGS, INC.</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W. Edmund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Robert Edmund</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7"/>
          <w:szCs w:val="17"/>
          <w:color w:val="auto"/>
        </w:rPr>
        <w:t>Title:</w:t>
        <w:tab/>
        <w:t>General Counsel, Secretary &amp; SVP of HR</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I,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FLORIDA,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DAVE &amp; BUSTER’S, INC., as its general partner</w:t>
      </w:r>
    </w:p>
    <w:p>
      <w:pPr>
        <w:spacing w:after="0" w:line="234"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W. Edmund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Robert Edmund</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7"/>
          <w:szCs w:val="17"/>
          <w:color w:val="auto"/>
        </w:rPr>
        <w:t>Title:</w:t>
        <w:tab/>
        <w:t>General Counsel, Secretary &amp; SVP of HR</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D&amp;B DELCO,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D&amp;B LEASING,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D&amp;B MARKETING COMPANY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DANB TEXAS,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MANAGEMENT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CORPORATION,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INVESCO,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ALABAMA,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ALASKA,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ARKANSAS,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CALIFORNIA,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COLORADO,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CONNECTICUT,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GEORGIA,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HAWAII,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IDAHO,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ILLINOIS,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INDIANA,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IOWA,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KANSAS,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KENTUCKY,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LOUISIANA,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MARYLAND,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DAVE &amp; BUSTER’S OF MASSACHUSETTS, INC.</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NEBRASKA,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NEVADA,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DAVE &amp; BUSTER’S OF NEW HAMPSHIRE, INC.</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NEW JERSEY,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NEW MEXICO,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NEW YORK,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OKLAHOMA,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OREGON,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PENNSYLVANIA,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PITTSBURGH, INC.</w:t>
      </w:r>
    </w:p>
    <w:p>
      <w:pPr>
        <w:spacing w:after="0" w:line="14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First Amendment Acknowledgement and Agreement]</w:t>
      </w:r>
    </w:p>
    <w:p>
      <w:pPr>
        <w:sectPr>
          <w:pgSz w:w="11900" w:h="16838" w:orient="portrait"/>
          <w:cols w:equalWidth="0" w:num="1">
            <w:col w:w="9500"/>
          </w:cols>
          <w:pgMar w:left="1440" w:top="274" w:right="959" w:bottom="1440" w:gutter="0" w:footer="0" w:header="0"/>
        </w:sectPr>
      </w:pPr>
    </w:p>
    <w:bookmarkStart w:id="51" w:name="page52"/>
    <w:bookmarkEnd w:id="5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DAVE &amp; BUSTER’S OF PUERTO RICO,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DAVE &amp; BUSTER’S OF SOUTH CAROLINA, INC.</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SOUTH DAKOTA,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UTAH,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VIRGINIA,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WASHINGTON,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OF WISCONSIN,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PROCO,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TANGO ACQUISITION,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TANGO LICENSE CORPORATION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TANGO OF ARIZONA,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TANGO OF ARUNDEL,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TANGO OF FARMINGDALE,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TANGO OF FRANKLIN,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TANGO OF HOUSTON,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TANGO OF NORTH CAROLINA,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TANGO OF TENNESSEE,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TANGO OF WESTBURY, INC.</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W. Edmund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Robert Edmund</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7"/>
          <w:szCs w:val="17"/>
          <w:color w:val="auto"/>
        </w:rPr>
        <w:t>Title:</w:t>
        <w:tab/>
        <w:t>General Counsel, Secretary &amp; SVP of HR</w:t>
      </w:r>
    </w:p>
    <w:p>
      <w:pPr>
        <w:spacing w:after="0" w:line="15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First Amendment Acknowledgement and Agreement]</w:t>
      </w:r>
    </w:p>
    <w:p>
      <w:pPr>
        <w:sectPr>
          <w:pgSz w:w="11900" w:h="16838" w:orient="portrait"/>
          <w:cols w:equalWidth="0" w:num="1">
            <w:col w:w="9500"/>
          </w:cols>
          <w:pgMar w:left="1440" w:top="274" w:right="9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6"/>
          <w:szCs w:val="16"/>
          <w:u w:val="single" w:color="auto"/>
          <w:color w:val="auto"/>
        </w:rPr>
        <w:t>Composite Credit Agreement</w:t>
      </w:r>
    </w:p>
    <w:p>
      <w:pPr>
        <w:spacing w:after="0" w:line="248"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[Exhibit B]</w:t>
      </w:r>
    </w:p>
    <w:p>
      <w:pPr>
        <w:sectPr>
          <w:pgSz w:w="11900" w:h="16838" w:orient="portrait"/>
          <w:cols w:equalWidth="0" w:num="1">
            <w:col w:w="10020"/>
          </w:cols>
          <w:pgMar w:left="1440" w:top="270" w:right="4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i w:val="1"/>
          <w:iCs w:val="1"/>
          <w:color w:val="FF0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0000E1"/>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14605</wp:posOffset>
            </wp:positionV>
            <wp:extent cx="5911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Deal CUSIP: 23833EAQ7</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Term Loan CUSIP: 23833EAS3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Revolving Facility CUSIP: 23833EAR5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14605</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57150</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MENDED AND</w:t>
      </w:r>
      <w:r>
        <w:rPr>
          <w:rFonts w:ascii="Arial" w:cs="Arial" w:eastAsia="Arial" w:hAnsi="Arial"/>
          <w:sz w:val="18"/>
          <w:szCs w:val="18"/>
          <w:color w:val="auto"/>
        </w:rPr>
        <w:t xml:space="preserve"> R</w:t>
      </w:r>
      <w:r>
        <w:rPr>
          <w:rFonts w:ascii="Arial" w:cs="Arial" w:eastAsia="Arial" w:hAnsi="Arial"/>
          <w:sz w:val="14"/>
          <w:szCs w:val="14"/>
          <w:color w:val="auto"/>
        </w:rPr>
        <w:t>ESTATED</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ATED AS OF</w:t>
      </w:r>
      <w:r>
        <w:rPr>
          <w:rFonts w:ascii="Arial" w:cs="Arial" w:eastAsia="Arial" w:hAnsi="Arial"/>
          <w:sz w:val="18"/>
          <w:szCs w:val="18"/>
          <w:color w:val="auto"/>
        </w:rPr>
        <w:t xml:space="preserve"> A</w:t>
      </w:r>
      <w:r>
        <w:rPr>
          <w:rFonts w:ascii="Arial" w:cs="Arial" w:eastAsia="Arial" w:hAnsi="Arial"/>
          <w:sz w:val="14"/>
          <w:szCs w:val="14"/>
          <w:color w:val="auto"/>
        </w:rPr>
        <w:t>UGUST</w:t>
      </w:r>
      <w:r>
        <w:rPr>
          <w:rFonts w:ascii="Arial" w:cs="Arial" w:eastAsia="Arial" w:hAnsi="Arial"/>
          <w:sz w:val="18"/>
          <w:szCs w:val="18"/>
          <w:color w:val="auto"/>
        </w:rPr>
        <w:t xml:space="preserve"> 17, 2017</w:t>
      </w:r>
      <w:r>
        <w:rPr>
          <w:rFonts w:ascii="Arial" w:cs="Arial" w:eastAsia="Arial" w:hAnsi="Arial"/>
          <w:sz w:val="18"/>
          <w:szCs w:val="18"/>
          <w:color w:val="FF0000"/>
          <w:strike w:val="1"/>
        </w:rPr>
        <w: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5"/>
          <w:szCs w:val="15"/>
          <w:u w:val="single" w:color="auto"/>
          <w:color w:val="0000E1"/>
        </w:rPr>
        <w:t xml:space="preserve">AS </w:t>
      </w:r>
      <w:r>
        <w:rPr>
          <w:rFonts w:ascii="Arial" w:cs="Arial" w:eastAsia="Arial" w:hAnsi="Arial"/>
          <w:sz w:val="17"/>
          <w:szCs w:val="17"/>
          <w:u w:val="single" w:color="auto"/>
          <w:color w:val="0000E1"/>
        </w:rPr>
        <w:t>A</w:t>
      </w:r>
      <w:r>
        <w:rPr>
          <w:rFonts w:ascii="Arial" w:cs="Arial" w:eastAsia="Arial" w:hAnsi="Arial"/>
          <w:sz w:val="15"/>
          <w:szCs w:val="15"/>
          <w:u w:val="single" w:color="auto"/>
          <w:color w:val="0000E1"/>
        </w:rPr>
        <w:t xml:space="preserve">MENDED </w:t>
      </w:r>
      <w:r>
        <w:rPr>
          <w:rFonts w:ascii="Arial" w:cs="Arial" w:eastAsia="Arial" w:hAnsi="Arial"/>
          <w:sz w:val="17"/>
          <w:szCs w:val="17"/>
          <w:u w:val="single" w:color="auto"/>
          <w:color w:val="0000E1"/>
        </w:rPr>
        <w:t>P</w:t>
      </w:r>
      <w:r>
        <w:rPr>
          <w:rFonts w:ascii="Arial" w:cs="Arial" w:eastAsia="Arial" w:hAnsi="Arial"/>
          <w:sz w:val="15"/>
          <w:szCs w:val="15"/>
          <w:u w:val="single" w:color="auto"/>
          <w:color w:val="0000E1"/>
        </w:rPr>
        <w:t>URSUANT TO THE</w:t>
      </w:r>
    </w:p>
    <w:p>
      <w:pPr>
        <w:spacing w:after="0" w:line="35" w:lineRule="exact"/>
        <w:rPr>
          <w:sz w:val="20"/>
          <w:szCs w:val="20"/>
          <w:color w:val="auto"/>
        </w:rPr>
      </w:pPr>
    </w:p>
    <w:p>
      <w:pPr>
        <w:jc w:val="center"/>
        <w:ind w:right="1020"/>
        <w:spacing w:after="0"/>
        <w:rPr>
          <w:sz w:val="20"/>
          <w:szCs w:val="20"/>
          <w:color w:val="auto"/>
        </w:rPr>
      </w:pPr>
      <w:r>
        <w:rPr>
          <w:rFonts w:ascii="Arial" w:cs="Arial" w:eastAsia="Arial" w:hAnsi="Arial"/>
          <w:sz w:val="18"/>
          <w:szCs w:val="18"/>
          <w:u w:val="single" w:color="auto"/>
          <w:color w:val="0000E1"/>
        </w:rPr>
        <w:t>F</w:t>
      </w:r>
      <w:r>
        <w:rPr>
          <w:rFonts w:ascii="Arial" w:cs="Arial" w:eastAsia="Arial" w:hAnsi="Arial"/>
          <w:sz w:val="14"/>
          <w:szCs w:val="14"/>
          <w:u w:val="single" w:color="auto"/>
          <w:color w:val="0000E1"/>
        </w:rPr>
        <w:t>IRST</w:t>
      </w:r>
      <w:r>
        <w:rPr>
          <w:rFonts w:ascii="Arial" w:cs="Arial" w:eastAsia="Arial" w:hAnsi="Arial"/>
          <w:sz w:val="18"/>
          <w:szCs w:val="18"/>
          <w:u w:val="single" w:color="auto"/>
          <w:color w:val="0000E1"/>
        </w:rPr>
        <w:t xml:space="preserve"> A</w:t>
      </w:r>
      <w:r>
        <w:rPr>
          <w:rFonts w:ascii="Arial" w:cs="Arial" w:eastAsia="Arial" w:hAnsi="Arial"/>
          <w:sz w:val="14"/>
          <w:szCs w:val="14"/>
          <w:u w:val="single" w:color="auto"/>
          <w:color w:val="0000E1"/>
        </w:rPr>
        <w:t>MENDMENT TO</w:t>
      </w:r>
      <w:r>
        <w:rPr>
          <w:rFonts w:ascii="Arial" w:cs="Arial" w:eastAsia="Arial" w:hAnsi="Arial"/>
          <w:sz w:val="18"/>
          <w:szCs w:val="18"/>
          <w:u w:val="single" w:color="auto"/>
          <w:color w:val="0000E1"/>
        </w:rPr>
        <w:t xml:space="preserve"> C</w:t>
      </w:r>
      <w:r>
        <w:rPr>
          <w:rFonts w:ascii="Arial" w:cs="Arial" w:eastAsia="Arial" w:hAnsi="Arial"/>
          <w:sz w:val="14"/>
          <w:szCs w:val="14"/>
          <w:u w:val="single" w:color="auto"/>
          <w:color w:val="0000E1"/>
        </w:rPr>
        <w:t>REDIT</w:t>
      </w:r>
      <w:r>
        <w:rPr>
          <w:rFonts w:ascii="Arial" w:cs="Arial" w:eastAsia="Arial" w:hAnsi="Arial"/>
          <w:sz w:val="18"/>
          <w:szCs w:val="18"/>
          <w:u w:val="single" w:color="auto"/>
          <w:color w:val="0000E1"/>
        </w:rPr>
        <w:t xml:space="preserve"> A</w:t>
      </w:r>
      <w:r>
        <w:rPr>
          <w:rFonts w:ascii="Arial" w:cs="Arial" w:eastAsia="Arial" w:hAnsi="Arial"/>
          <w:sz w:val="14"/>
          <w:szCs w:val="14"/>
          <w:u w:val="single" w:color="auto"/>
          <w:color w:val="0000E1"/>
        </w:rPr>
        <w:t>GREEMENT DATED AS OF</w:t>
      </w:r>
      <w:r>
        <w:rPr>
          <w:rFonts w:ascii="Arial" w:cs="Arial" w:eastAsia="Arial" w:hAnsi="Arial"/>
          <w:sz w:val="18"/>
          <w:szCs w:val="18"/>
          <w:u w:val="single" w:color="auto"/>
          <w:color w:val="0000E1"/>
        </w:rPr>
        <w:t xml:space="preserve"> A</w:t>
      </w:r>
      <w:r>
        <w:rPr>
          <w:rFonts w:ascii="Arial" w:cs="Arial" w:eastAsia="Arial" w:hAnsi="Arial"/>
          <w:sz w:val="14"/>
          <w:szCs w:val="14"/>
          <w:u w:val="single" w:color="auto"/>
          <w:color w:val="0000E1"/>
        </w:rPr>
        <w:t>PRIL</w:t>
      </w:r>
      <w:r>
        <w:rPr>
          <w:rFonts w:ascii="Arial" w:cs="Arial" w:eastAsia="Arial" w:hAnsi="Arial"/>
          <w:sz w:val="18"/>
          <w:szCs w:val="18"/>
          <w:u w:val="single" w:color="auto"/>
          <w:color w:val="0000E1"/>
        </w:rPr>
        <w:t xml:space="preserve">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2088515</wp:posOffset>
            </wp:positionH>
            <wp:positionV relativeFrom="paragraph">
              <wp:posOffset>-121920</wp:posOffset>
            </wp:positionV>
            <wp:extent cx="15430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4305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14605</wp:posOffset>
            </wp:positionV>
            <wp:extent cx="3514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94"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AMONG</w:t>
      </w:r>
    </w:p>
    <w:p>
      <w:pPr>
        <w:spacing w:after="0" w:line="20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FF0000"/>
          <w:strike w:val="1"/>
        </w:rPr>
        <w:t>DAVE &amp; BUSTER’S HOLDINGS, INC</w:t>
      </w:r>
      <w:r>
        <w:rPr>
          <w:rFonts w:ascii="Arial" w:cs="Arial" w:eastAsia="Arial" w:hAnsi="Arial"/>
          <w:sz w:val="18"/>
          <w:szCs w:val="18"/>
          <w:u w:val="single" w:color="auto"/>
          <w:color w:val="0000E1"/>
        </w:rPr>
        <w:t>D</w:t>
      </w:r>
      <w:r>
        <w:rPr>
          <w:rFonts w:ascii="Arial" w:cs="Arial" w:eastAsia="Arial" w:hAnsi="Arial"/>
          <w:sz w:val="14"/>
          <w:szCs w:val="14"/>
          <w:u w:val="single" w:color="auto"/>
          <w:color w:val="0000E1"/>
        </w:rPr>
        <w:t>AVE</w:t>
      </w:r>
      <w:r>
        <w:rPr>
          <w:rFonts w:ascii="Arial" w:cs="Arial" w:eastAsia="Arial" w:hAnsi="Arial"/>
          <w:sz w:val="18"/>
          <w:szCs w:val="18"/>
          <w:color w:val="FF0000"/>
        </w:rPr>
        <w:t xml:space="preserve"> </w:t>
      </w:r>
      <w:r>
        <w:rPr>
          <w:rFonts w:ascii="Arial" w:cs="Arial" w:eastAsia="Arial" w:hAnsi="Arial"/>
          <w:sz w:val="18"/>
          <w:szCs w:val="18"/>
          <w:u w:val="single" w:color="auto"/>
          <w:color w:val="0000E1"/>
        </w:rPr>
        <w:t>&amp; B</w:t>
      </w:r>
      <w:r>
        <w:rPr>
          <w:rFonts w:ascii="Arial" w:cs="Arial" w:eastAsia="Arial" w:hAnsi="Arial"/>
          <w:sz w:val="14"/>
          <w:szCs w:val="14"/>
          <w:u w:val="single" w:color="auto"/>
          <w:color w:val="0000E1"/>
        </w:rPr>
        <w:t>USTER</w:t>
      </w:r>
      <w:r>
        <w:rPr>
          <w:rFonts w:ascii="Arial" w:cs="Arial" w:eastAsia="Arial" w:hAnsi="Arial"/>
          <w:sz w:val="18"/>
          <w:szCs w:val="18"/>
          <w:u w:val="single" w:color="auto"/>
          <w:color w:val="0000E1"/>
        </w:rPr>
        <w:t>’</w:t>
      </w:r>
      <w:r>
        <w:rPr>
          <w:rFonts w:ascii="Arial" w:cs="Arial" w:eastAsia="Arial" w:hAnsi="Arial"/>
          <w:sz w:val="14"/>
          <w:szCs w:val="14"/>
          <w:u w:val="single" w:color="auto"/>
          <w:color w:val="0000E1"/>
        </w:rPr>
        <w:t>S</w:t>
      </w:r>
      <w:r>
        <w:rPr>
          <w:rFonts w:ascii="Arial" w:cs="Arial" w:eastAsia="Arial" w:hAnsi="Arial"/>
          <w:sz w:val="18"/>
          <w:szCs w:val="18"/>
          <w:color w:val="FF0000"/>
        </w:rPr>
        <w:t xml:space="preserve"> </w:t>
      </w:r>
      <w:r>
        <w:rPr>
          <w:rFonts w:ascii="Arial" w:cs="Arial" w:eastAsia="Arial" w:hAnsi="Arial"/>
          <w:sz w:val="18"/>
          <w:szCs w:val="18"/>
          <w:u w:val="single" w:color="auto"/>
          <w:color w:val="0000E1"/>
        </w:rPr>
        <w:t>H</w:t>
      </w:r>
      <w:r>
        <w:rPr>
          <w:rFonts w:ascii="Arial" w:cs="Arial" w:eastAsia="Arial" w:hAnsi="Arial"/>
          <w:sz w:val="14"/>
          <w:szCs w:val="14"/>
          <w:u w:val="single" w:color="auto"/>
          <w:color w:val="0000E1"/>
        </w:rPr>
        <w:t>OLDINGS</w:t>
      </w:r>
      <w:r>
        <w:rPr>
          <w:rFonts w:ascii="Arial" w:cs="Arial" w:eastAsia="Arial" w:hAnsi="Arial"/>
          <w:sz w:val="18"/>
          <w:szCs w:val="18"/>
          <w:u w:val="single" w:color="auto"/>
          <w:color w:val="0000E1"/>
        </w:rPr>
        <w:t>, I</w:t>
      </w:r>
      <w:r>
        <w:rPr>
          <w:rFonts w:ascii="Arial" w:cs="Arial" w:eastAsia="Arial" w:hAnsi="Arial"/>
          <w:sz w:val="14"/>
          <w:szCs w:val="14"/>
          <w:u w:val="single" w:color="auto"/>
          <w:color w:val="0000E1"/>
        </w:rPr>
        <w:t>NC</w:t>
      </w:r>
      <w:r>
        <w:rPr>
          <w:rFonts w:ascii="Arial" w:cs="Arial" w:eastAsia="Arial" w:hAnsi="Arial"/>
          <w:sz w:val="18"/>
          <w:szCs w:val="18"/>
          <w:color w:val="0000E1"/>
        </w:rPr>
        <w:t>.,</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 xml:space="preserve">AS </w:t>
      </w:r>
      <w:r>
        <w:rPr>
          <w:rFonts w:ascii="Arial" w:cs="Arial" w:eastAsia="Arial" w:hAnsi="Arial"/>
          <w:sz w:val="17"/>
          <w:szCs w:val="17"/>
          <w:color w:val="auto"/>
        </w:rPr>
        <w:t>H</w:t>
      </w:r>
      <w:r>
        <w:rPr>
          <w:rFonts w:ascii="Arial" w:cs="Arial" w:eastAsia="Arial" w:hAnsi="Arial"/>
          <w:sz w:val="15"/>
          <w:szCs w:val="15"/>
          <w:color w:val="auto"/>
        </w:rPr>
        <w:t xml:space="preserve">OLDINGS AND A </w:t>
      </w:r>
      <w:r>
        <w:rPr>
          <w:rFonts w:ascii="Arial" w:cs="Arial" w:eastAsia="Arial" w:hAnsi="Arial"/>
          <w:sz w:val="17"/>
          <w:szCs w:val="17"/>
          <w:color w:val="auto"/>
        </w:rPr>
        <w:t>G</w:t>
      </w:r>
      <w:r>
        <w:rPr>
          <w:rFonts w:ascii="Arial" w:cs="Arial" w:eastAsia="Arial" w:hAnsi="Arial"/>
          <w:sz w:val="15"/>
          <w:szCs w:val="15"/>
          <w:color w:val="auto"/>
        </w:rPr>
        <w:t>UARANTOR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-114935</wp:posOffset>
            </wp:positionV>
            <wp:extent cx="16541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0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FF0000"/>
          <w:strike w:val="1"/>
        </w:rPr>
        <w:t>DAVE</w:t>
      </w:r>
      <w:r>
        <w:rPr>
          <w:rFonts w:ascii="Arial" w:cs="Arial" w:eastAsia="Arial" w:hAnsi="Arial"/>
          <w:sz w:val="18"/>
          <w:szCs w:val="18"/>
          <w:u w:val="single" w:color="auto"/>
          <w:color w:val="0000E1"/>
        </w:rPr>
        <w:t>D</w:t>
      </w:r>
      <w:r>
        <w:rPr>
          <w:rFonts w:ascii="Arial" w:cs="Arial" w:eastAsia="Arial" w:hAnsi="Arial"/>
          <w:sz w:val="14"/>
          <w:szCs w:val="14"/>
          <w:u w:val="single" w:color="auto"/>
          <w:color w:val="0000E1"/>
        </w:rPr>
        <w:t>AVE</w:t>
      </w:r>
      <w:r>
        <w:rPr>
          <w:rFonts w:ascii="Arial" w:cs="Arial" w:eastAsia="Arial" w:hAnsi="Arial"/>
          <w:sz w:val="18"/>
          <w:szCs w:val="18"/>
          <w:color w:val="FF0000"/>
        </w:rPr>
        <w:t xml:space="preserve"> </w:t>
      </w:r>
      <w:r>
        <w:rPr>
          <w:rFonts w:ascii="Arial" w:cs="Arial" w:eastAsia="Arial" w:hAnsi="Arial"/>
          <w:sz w:val="18"/>
          <w:szCs w:val="18"/>
          <w:color w:val="000000"/>
        </w:rPr>
        <w:t>&amp;</w:t>
      </w:r>
      <w:r>
        <w:rPr>
          <w:rFonts w:ascii="Arial" w:cs="Arial" w:eastAsia="Arial" w:hAnsi="Arial"/>
          <w:sz w:val="18"/>
          <w:szCs w:val="18"/>
          <w:color w:val="FF0000"/>
        </w:rPr>
        <w:t xml:space="preserve"> </w:t>
      </w:r>
      <w:r>
        <w:rPr>
          <w:rFonts w:ascii="Arial" w:cs="Arial" w:eastAsia="Arial" w:hAnsi="Arial"/>
          <w:sz w:val="18"/>
          <w:szCs w:val="18"/>
          <w:color w:val="FF0000"/>
          <w:strike w:val="1"/>
        </w:rPr>
        <w:t>BUSTER’S</w:t>
      </w:r>
      <w:r>
        <w:rPr>
          <w:rFonts w:ascii="Arial" w:cs="Arial" w:eastAsia="Arial" w:hAnsi="Arial"/>
          <w:sz w:val="18"/>
          <w:szCs w:val="18"/>
          <w:u w:val="single" w:color="auto"/>
          <w:color w:val="0000E1"/>
        </w:rPr>
        <w:t>B</w:t>
      </w:r>
      <w:r>
        <w:rPr>
          <w:rFonts w:ascii="Arial" w:cs="Arial" w:eastAsia="Arial" w:hAnsi="Arial"/>
          <w:sz w:val="14"/>
          <w:szCs w:val="14"/>
          <w:u w:val="single" w:color="auto"/>
          <w:color w:val="0000E1"/>
        </w:rPr>
        <w:t>USTER</w:t>
      </w:r>
      <w:r>
        <w:rPr>
          <w:rFonts w:ascii="Arial" w:cs="Arial" w:eastAsia="Arial" w:hAnsi="Arial"/>
          <w:sz w:val="18"/>
          <w:szCs w:val="18"/>
          <w:u w:val="single" w:color="auto"/>
          <w:color w:val="0000E1"/>
        </w:rPr>
        <w:t>’</w:t>
      </w:r>
      <w:r>
        <w:rPr>
          <w:rFonts w:ascii="Arial" w:cs="Arial" w:eastAsia="Arial" w:hAnsi="Arial"/>
          <w:sz w:val="14"/>
          <w:szCs w:val="14"/>
          <w:u w:val="single" w:color="auto"/>
          <w:color w:val="0000E1"/>
        </w:rPr>
        <w:t>S</w:t>
      </w:r>
      <w:r>
        <w:rPr>
          <w:rFonts w:ascii="Arial" w:cs="Arial" w:eastAsia="Arial" w:hAnsi="Arial"/>
          <w:sz w:val="18"/>
          <w:szCs w:val="18"/>
          <w:u w:val="single" w:color="auto"/>
          <w:color w:val="0000E1"/>
        </w:rPr>
        <w:t>,</w:t>
      </w:r>
      <w:r>
        <w:rPr>
          <w:rFonts w:ascii="Arial" w:cs="Arial" w:eastAsia="Arial" w:hAnsi="Arial"/>
          <w:sz w:val="18"/>
          <w:szCs w:val="18"/>
          <w:color w:val="FF0000"/>
        </w:rPr>
        <w:t xml:space="preserve"> </w:t>
      </w:r>
      <w:r>
        <w:rPr>
          <w:rFonts w:ascii="Arial" w:cs="Arial" w:eastAsia="Arial" w:hAnsi="Arial"/>
          <w:sz w:val="18"/>
          <w:szCs w:val="18"/>
          <w:color w:val="FF0000"/>
          <w:strike w:val="1"/>
        </w:rPr>
        <w:t>INC</w:t>
      </w:r>
      <w:r>
        <w:rPr>
          <w:rFonts w:ascii="Arial" w:cs="Arial" w:eastAsia="Arial" w:hAnsi="Arial"/>
          <w:sz w:val="18"/>
          <w:szCs w:val="18"/>
          <w:u w:val="single" w:color="auto"/>
          <w:color w:val="0000E1"/>
        </w:rPr>
        <w:t>I</w:t>
      </w:r>
      <w:r>
        <w:rPr>
          <w:rFonts w:ascii="Arial" w:cs="Arial" w:eastAsia="Arial" w:hAnsi="Arial"/>
          <w:sz w:val="14"/>
          <w:szCs w:val="14"/>
          <w:u w:val="single" w:color="auto"/>
          <w:color w:val="0000E1"/>
        </w:rPr>
        <w:t>NC</w:t>
      </w:r>
      <w:r>
        <w:rPr>
          <w:rFonts w:ascii="Arial" w:cs="Arial" w:eastAsia="Arial" w:hAnsi="Arial"/>
          <w:sz w:val="18"/>
          <w:szCs w:val="18"/>
          <w:u w:val="single" w:color="auto"/>
          <w:color w:val="0000E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14605</wp:posOffset>
            </wp:positionV>
            <wp:extent cx="1974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3"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 xml:space="preserve">AS THE </w:t>
      </w:r>
      <w:r>
        <w:rPr>
          <w:rFonts w:ascii="Arial" w:cs="Arial" w:eastAsia="Arial" w:hAnsi="Arial"/>
          <w:sz w:val="17"/>
          <w:szCs w:val="17"/>
          <w:color w:val="auto"/>
        </w:rPr>
        <w:t>B</w:t>
      </w:r>
      <w:r>
        <w:rPr>
          <w:rFonts w:ascii="Arial" w:cs="Arial" w:eastAsia="Arial" w:hAnsi="Arial"/>
          <w:sz w:val="15"/>
          <w:szCs w:val="15"/>
          <w:color w:val="auto"/>
        </w:rPr>
        <w:t>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-114935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-114935</wp:posOffset>
            </wp:positionV>
            <wp:extent cx="9512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G</w:t>
      </w:r>
      <w:r>
        <w:rPr>
          <w:rFonts w:ascii="Arial" w:cs="Arial" w:eastAsia="Arial" w:hAnsi="Arial"/>
          <w:sz w:val="14"/>
          <w:szCs w:val="14"/>
          <w:color w:val="auto"/>
        </w:rPr>
        <w:t>UARANTORS FROM TIME TO TIME PARTIES HERETO</w:t>
      </w:r>
      <w:r>
        <w:rPr>
          <w:rFonts w:ascii="Arial" w:cs="Arial" w:eastAsia="Arial" w:hAnsi="Arial"/>
          <w:sz w:val="18"/>
          <w:szCs w:val="18"/>
          <w:color w:val="auto"/>
        </w:rPr>
        <w: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L</w:t>
      </w:r>
      <w:r>
        <w:rPr>
          <w:rFonts w:ascii="Arial" w:cs="Arial" w:eastAsia="Arial" w:hAnsi="Arial"/>
          <w:sz w:val="14"/>
          <w:szCs w:val="14"/>
          <w:color w:val="auto"/>
        </w:rPr>
        <w:t>ENDERS FROM TIME TO TIME PARTIES HERETO</w:t>
      </w:r>
      <w:r>
        <w:rPr>
          <w:rFonts w:ascii="Arial" w:cs="Arial" w:eastAsia="Arial" w:hAnsi="Arial"/>
          <w:sz w:val="18"/>
          <w:szCs w:val="18"/>
          <w:color w:val="auto"/>
        </w:rPr>
        <w: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ANK OF</w:t>
      </w:r>
      <w:r>
        <w:rPr>
          <w:rFonts w:ascii="Arial" w:cs="Arial" w:eastAsia="Arial" w:hAnsi="Arial"/>
          <w:sz w:val="18"/>
          <w:szCs w:val="18"/>
          <w:color w:val="auto"/>
        </w:rPr>
        <w:t xml:space="preserve"> A</w:t>
      </w:r>
      <w:r>
        <w:rPr>
          <w:rFonts w:ascii="Arial" w:cs="Arial" w:eastAsia="Arial" w:hAnsi="Arial"/>
          <w:sz w:val="14"/>
          <w:szCs w:val="14"/>
          <w:color w:val="auto"/>
        </w:rPr>
        <w:t>MERICA</w:t>
      </w:r>
      <w:r>
        <w:rPr>
          <w:rFonts w:ascii="Arial" w:cs="Arial" w:eastAsia="Arial" w:hAnsi="Arial"/>
          <w:sz w:val="18"/>
          <w:szCs w:val="18"/>
          <w:color w:val="auto"/>
        </w:rPr>
        <w:t>, N.A.,</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FF0000"/>
          <w:strike w:val="1"/>
        </w:rPr>
        <w:t>A</w:t>
      </w:r>
      <w:r>
        <w:rPr>
          <w:rFonts w:ascii="Arial" w:cs="Arial" w:eastAsia="Arial" w:hAnsi="Arial"/>
          <w:sz w:val="14"/>
          <w:szCs w:val="14"/>
          <w:color w:val="FF0000"/>
          <w:strike w:val="1"/>
        </w:rPr>
        <w:t>S</w:t>
      </w:r>
      <w:r>
        <w:rPr>
          <w:rFonts w:ascii="Arial" w:cs="Arial" w:eastAsia="Arial" w:hAnsi="Arial"/>
          <w:sz w:val="14"/>
          <w:szCs w:val="14"/>
          <w:u w:val="single" w:color="auto"/>
          <w:color w:val="0000E1"/>
        </w:rPr>
        <w:t>AS</w:t>
      </w:r>
      <w:r>
        <w:rPr>
          <w:rFonts w:ascii="Arial" w:cs="Arial" w:eastAsia="Arial" w:hAnsi="Arial"/>
          <w:sz w:val="18"/>
          <w:szCs w:val="18"/>
          <w:color w:val="FF0000"/>
        </w:rPr>
        <w:t xml:space="preserve"> </w:t>
      </w:r>
      <w:r>
        <w:rPr>
          <w:rFonts w:ascii="Arial" w:cs="Arial" w:eastAsia="Arial" w:hAnsi="Arial"/>
          <w:sz w:val="18"/>
          <w:szCs w:val="18"/>
          <w:color w:val="000000"/>
        </w:rPr>
        <w:t>A</w:t>
      </w:r>
      <w:r>
        <w:rPr>
          <w:rFonts w:ascii="Arial" w:cs="Arial" w:eastAsia="Arial" w:hAnsi="Arial"/>
          <w:sz w:val="14"/>
          <w:szCs w:val="14"/>
          <w:color w:val="000000"/>
        </w:rPr>
        <w:t>DMINISTRATIVE</w:t>
      </w:r>
      <w:r>
        <w:rPr>
          <w:rFonts w:ascii="Arial" w:cs="Arial" w:eastAsia="Arial" w:hAnsi="Arial"/>
          <w:sz w:val="18"/>
          <w:szCs w:val="18"/>
          <w:color w:val="FF0000"/>
        </w:rPr>
        <w:t xml:space="preserve"> </w:t>
      </w:r>
      <w:r>
        <w:rPr>
          <w:rFonts w:ascii="Arial" w:cs="Arial" w:eastAsia="Arial" w:hAnsi="Arial"/>
          <w:sz w:val="18"/>
          <w:szCs w:val="18"/>
          <w:color w:val="000000"/>
        </w:rPr>
        <w:t>A</w:t>
      </w:r>
      <w:r>
        <w:rPr>
          <w:rFonts w:ascii="Arial" w:cs="Arial" w:eastAsia="Arial" w:hAnsi="Arial"/>
          <w:sz w:val="14"/>
          <w:szCs w:val="14"/>
          <w:color w:val="000000"/>
        </w:rPr>
        <w:t>GENT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5715</wp:posOffset>
            </wp:positionV>
            <wp:extent cx="1111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9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FF0000"/>
          <w:strike w:val="1"/>
        </w:rPr>
        <w:t>A</w:t>
      </w:r>
      <w:r>
        <w:rPr>
          <w:rFonts w:ascii="Arial" w:cs="Arial" w:eastAsia="Arial" w:hAnsi="Arial"/>
          <w:sz w:val="14"/>
          <w:szCs w:val="14"/>
          <w:color w:val="FF0000"/>
          <w:strike w:val="1"/>
        </w:rPr>
        <w:t>S</w:t>
      </w:r>
      <w:r>
        <w:rPr>
          <w:rFonts w:ascii="Arial" w:cs="Arial" w:eastAsia="Arial" w:hAnsi="Arial"/>
          <w:sz w:val="14"/>
          <w:szCs w:val="14"/>
          <w:u w:val="single" w:color="auto"/>
          <w:color w:val="0000E1"/>
        </w:rPr>
        <w:t>AS</w:t>
      </w:r>
      <w:r>
        <w:rPr>
          <w:rFonts w:ascii="Arial" w:cs="Arial" w:eastAsia="Arial" w:hAnsi="Arial"/>
          <w:sz w:val="18"/>
          <w:szCs w:val="18"/>
          <w:color w:val="FF0000"/>
        </w:rPr>
        <w:t xml:space="preserve"> </w:t>
      </w:r>
      <w:r>
        <w:rPr>
          <w:rFonts w:ascii="Arial" w:cs="Arial" w:eastAsia="Arial" w:hAnsi="Arial"/>
          <w:sz w:val="18"/>
          <w:szCs w:val="18"/>
          <w:color w:val="000000"/>
        </w:rPr>
        <w:t>S</w:t>
      </w:r>
      <w:r>
        <w:rPr>
          <w:rFonts w:ascii="Arial" w:cs="Arial" w:eastAsia="Arial" w:hAnsi="Arial"/>
          <w:sz w:val="14"/>
          <w:szCs w:val="14"/>
          <w:color w:val="000000"/>
        </w:rPr>
        <w:t>YNDICATION</w:t>
      </w:r>
      <w:r>
        <w:rPr>
          <w:rFonts w:ascii="Arial" w:cs="Arial" w:eastAsia="Arial" w:hAnsi="Arial"/>
          <w:sz w:val="18"/>
          <w:szCs w:val="18"/>
          <w:color w:val="FF0000"/>
        </w:rPr>
        <w:t xml:space="preserve"> </w:t>
      </w:r>
      <w:r>
        <w:rPr>
          <w:rFonts w:ascii="Arial" w:cs="Arial" w:eastAsia="Arial" w:hAnsi="Arial"/>
          <w:sz w:val="18"/>
          <w:szCs w:val="18"/>
          <w:color w:val="000000"/>
        </w:rPr>
        <w:t>A</w:t>
      </w:r>
      <w:r>
        <w:rPr>
          <w:rFonts w:ascii="Arial" w:cs="Arial" w:eastAsia="Arial" w:hAnsi="Arial"/>
          <w:sz w:val="14"/>
          <w:szCs w:val="14"/>
          <w:color w:val="000000"/>
        </w:rPr>
        <w:t>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5715</wp:posOffset>
            </wp:positionV>
            <wp:extent cx="120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94" w:lineRule="exact"/>
        <w:rPr>
          <w:sz w:val="20"/>
          <w:szCs w:val="20"/>
          <w:color w:val="auto"/>
        </w:rPr>
      </w:pPr>
    </w:p>
    <w:p>
      <w:pPr>
        <w:jc w:val="center"/>
        <w:ind w:right="1020"/>
        <w:spacing w:after="0"/>
        <w:rPr>
          <w:sz w:val="20"/>
          <w:szCs w:val="20"/>
          <w:color w:val="auto"/>
        </w:rPr>
      </w:pPr>
      <w:r>
        <w:rPr>
          <w:rFonts w:ascii="Arial" w:cs="Arial" w:eastAsia="Arial" w:hAnsi="Arial"/>
          <w:sz w:val="15"/>
          <w:szCs w:val="15"/>
          <w:color w:val="auto"/>
        </w:rPr>
        <w:t>AND</w:t>
      </w:r>
    </w:p>
    <w:p>
      <w:pPr>
        <w:spacing w:after="0" w:line="202"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IFTH</w:t>
      </w:r>
      <w:r>
        <w:rPr>
          <w:rFonts w:ascii="Arial" w:cs="Arial" w:eastAsia="Arial" w:hAnsi="Arial"/>
          <w:sz w:val="18"/>
          <w:szCs w:val="18"/>
          <w:color w:val="auto"/>
        </w:rPr>
        <w:t xml:space="preserve"> T</w:t>
      </w:r>
      <w:r>
        <w:rPr>
          <w:rFonts w:ascii="Arial" w:cs="Arial" w:eastAsia="Arial" w:hAnsi="Arial"/>
          <w:sz w:val="14"/>
          <w:szCs w:val="14"/>
          <w:color w:val="auto"/>
        </w:rPr>
        <w:t>HIRD</w:t>
      </w:r>
      <w:r>
        <w:rPr>
          <w:rFonts w:ascii="Arial" w:cs="Arial" w:eastAsia="Arial" w:hAnsi="Arial"/>
          <w:sz w:val="18"/>
          <w:szCs w:val="18"/>
          <w:color w:val="auto"/>
        </w:rPr>
        <w:t xml:space="preserve"> B</w:t>
      </w:r>
      <w:r>
        <w:rPr>
          <w:rFonts w:ascii="Arial" w:cs="Arial" w:eastAsia="Arial" w:hAnsi="Arial"/>
          <w:sz w:val="14"/>
          <w:szCs w:val="14"/>
          <w:color w:val="auto"/>
        </w:rPr>
        <w:t>ANK</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JPM</w:t>
      </w:r>
      <w:r>
        <w:rPr>
          <w:rFonts w:ascii="Arial" w:cs="Arial" w:eastAsia="Arial" w:hAnsi="Arial"/>
          <w:sz w:val="14"/>
          <w:szCs w:val="14"/>
          <w:color w:val="auto"/>
        </w:rPr>
        <w:t>ORGAN</w:t>
      </w:r>
      <w:r>
        <w:rPr>
          <w:rFonts w:ascii="Arial" w:cs="Arial" w:eastAsia="Arial" w:hAnsi="Arial"/>
          <w:sz w:val="18"/>
          <w:szCs w:val="18"/>
          <w:color w:val="auto"/>
        </w:rPr>
        <w:t xml:space="preserve"> C</w:t>
      </w:r>
      <w:r>
        <w:rPr>
          <w:rFonts w:ascii="Arial" w:cs="Arial" w:eastAsia="Arial" w:hAnsi="Arial"/>
          <w:sz w:val="14"/>
          <w:szCs w:val="14"/>
          <w:color w:val="auto"/>
        </w:rPr>
        <w:t>HASE</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N.A.</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PNC B</w:t>
      </w:r>
      <w:r>
        <w:rPr>
          <w:rFonts w:ascii="Arial" w:cs="Arial" w:eastAsia="Arial" w:hAnsi="Arial"/>
          <w:sz w:val="14"/>
          <w:szCs w:val="14"/>
          <w:color w:val="auto"/>
        </w:rPr>
        <w:t>ANK</w:t>
      </w:r>
      <w:r>
        <w:rPr>
          <w:rFonts w:ascii="Arial" w:cs="Arial" w:eastAsia="Arial" w:hAnsi="Arial"/>
          <w:sz w:val="18"/>
          <w:szCs w:val="18"/>
          <w:color w:val="auto"/>
        </w:rPr>
        <w:t>,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BBVA C</w:t>
      </w:r>
      <w:r>
        <w:rPr>
          <w:rFonts w:ascii="Arial" w:cs="Arial" w:eastAsia="Arial" w:hAnsi="Arial"/>
          <w:sz w:val="14"/>
          <w:szCs w:val="14"/>
          <w:color w:val="auto"/>
        </w:rPr>
        <w:t>OMPASS</w:t>
      </w:r>
      <w:r>
        <w:rPr>
          <w:rFonts w:ascii="Arial" w:cs="Arial" w:eastAsia="Arial" w:hAnsi="Arial"/>
          <w:sz w:val="18"/>
          <w:szCs w:val="18"/>
          <w:color w:val="auto"/>
        </w:rPr>
        <w:t xml:space="preserve"> B</w:t>
      </w:r>
      <w:r>
        <w:rPr>
          <w:rFonts w:ascii="Arial" w:cs="Arial" w:eastAsia="Arial" w:hAnsi="Arial"/>
          <w:sz w:val="14"/>
          <w:szCs w:val="14"/>
          <w:color w:val="auto"/>
        </w:rPr>
        <w:t>ANK</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w:t>
      </w:r>
      <w:r>
        <w:rPr>
          <w:rFonts w:ascii="Arial" w:cs="Arial" w:eastAsia="Arial" w:hAnsi="Arial"/>
          <w:sz w:val="18"/>
          <w:szCs w:val="18"/>
          <w:color w:val="auto"/>
        </w:rPr>
        <w:t>T</w:t>
      </w:r>
      <w:r>
        <w:rPr>
          <w:rFonts w:ascii="Arial" w:cs="Arial" w:eastAsia="Arial" w:hAnsi="Arial"/>
          <w:sz w:val="14"/>
          <w:szCs w:val="14"/>
          <w:color w:val="auto"/>
        </w:rPr>
        <w:t>RUST</w:t>
      </w:r>
      <w:r>
        <w:rPr>
          <w:rFonts w:ascii="Arial" w:cs="Arial" w:eastAsia="Arial" w:hAnsi="Arial"/>
          <w:sz w:val="18"/>
          <w:szCs w:val="18"/>
          <w:color w:val="auto"/>
        </w:rPr>
        <w:t xml:space="preserve"> B</w:t>
      </w:r>
      <w:r>
        <w:rPr>
          <w:rFonts w:ascii="Arial" w:cs="Arial" w:eastAsia="Arial" w:hAnsi="Arial"/>
          <w:sz w:val="14"/>
          <w:szCs w:val="14"/>
          <w:color w:val="auto"/>
        </w:rPr>
        <w:t>ANK</w:t>
      </w:r>
    </w:p>
    <w:p>
      <w:pPr>
        <w:jc w:val="center"/>
        <w:ind w:right="1020"/>
        <w:spacing w:after="0"/>
        <w:rPr>
          <w:sz w:val="20"/>
          <w:szCs w:val="20"/>
          <w:color w:val="auto"/>
        </w:rPr>
      </w:pPr>
      <w:r>
        <w:rPr>
          <w:rFonts w:ascii="Arial" w:cs="Arial" w:eastAsia="Arial" w:hAnsi="Arial"/>
          <w:sz w:val="15"/>
          <w:szCs w:val="15"/>
          <w:color w:val="auto"/>
        </w:rPr>
        <w:t>AND</w:t>
      </w:r>
    </w:p>
    <w:p>
      <w:pPr>
        <w:jc w:val="center"/>
        <w:ind w:right="1020"/>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ANK</w:t>
      </w:r>
      <w:r>
        <w:rPr>
          <w:rFonts w:ascii="Arial" w:cs="Arial" w:eastAsia="Arial" w:hAnsi="Arial"/>
          <w:sz w:val="18"/>
          <w:szCs w:val="18"/>
          <w:color w:val="auto"/>
        </w:rPr>
        <w:t xml:space="preserve"> N</w:t>
      </w:r>
      <w:r>
        <w:rPr>
          <w:rFonts w:ascii="Arial" w:cs="Arial" w:eastAsia="Arial" w:hAnsi="Arial"/>
          <w:sz w:val="14"/>
          <w:szCs w:val="14"/>
          <w:color w:val="auto"/>
        </w:rPr>
        <w:t>ATIONAL</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u w:val="single" w:color="auto"/>
          <w:color w:val="0000E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13335</wp:posOffset>
            </wp:positionV>
            <wp:extent cx="260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8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AS CO-D</w:t>
      </w:r>
      <w:r>
        <w:rPr>
          <w:rFonts w:ascii="Arial" w:cs="Arial" w:eastAsia="Arial" w:hAnsi="Arial"/>
          <w:sz w:val="14"/>
          <w:szCs w:val="14"/>
          <w:color w:val="auto"/>
        </w:rPr>
        <w:t>OCUMENTATION</w:t>
      </w:r>
      <w:r>
        <w:rPr>
          <w:rFonts w:ascii="Arial" w:cs="Arial" w:eastAsia="Arial" w:hAnsi="Arial"/>
          <w:sz w:val="18"/>
          <w:szCs w:val="18"/>
          <w:color w:val="auto"/>
        </w:rPr>
        <w:t xml:space="preserve"> A</w:t>
      </w:r>
      <w:r>
        <w:rPr>
          <w:rFonts w:ascii="Arial" w:cs="Arial" w:eastAsia="Arial" w:hAnsi="Arial"/>
          <w:sz w:val="14"/>
          <w:szCs w:val="14"/>
          <w:color w:val="auto"/>
        </w:rPr>
        <w:t>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274" w:right="4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u w:val="single" w:color="auto"/>
          <w:color w:val="0000E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w:t>
      </w:r>
      <w:r>
        <w:rPr>
          <w:rFonts w:ascii="Arial" w:cs="Arial" w:eastAsia="Arial" w:hAnsi="Arial"/>
          <w:sz w:val="14"/>
          <w:szCs w:val="14"/>
          <w:u w:val="single" w:color="auto"/>
          <w:color w:val="0000E1"/>
        </w:rPr>
        <w:t>OF</w:t>
      </w:r>
      <w:r>
        <w:rPr>
          <w:rFonts w:ascii="Arial" w:cs="Arial" w:eastAsia="Arial" w:hAnsi="Arial"/>
          <w:sz w:val="18"/>
          <w:szCs w:val="18"/>
          <w:u w:val="single" w:color="auto"/>
          <w:color w:val="0000E1"/>
        </w:rPr>
        <w:t>A S</w:t>
      </w:r>
      <w:r>
        <w:rPr>
          <w:rFonts w:ascii="Arial" w:cs="Arial" w:eastAsia="Arial" w:hAnsi="Arial"/>
          <w:sz w:val="14"/>
          <w:szCs w:val="14"/>
          <w:u w:val="single" w:color="auto"/>
          <w:color w:val="0000E1"/>
        </w:rPr>
        <w:t>ECURITIES</w:t>
      </w:r>
      <w:r>
        <w:rPr>
          <w:rFonts w:ascii="Arial" w:cs="Arial" w:eastAsia="Arial" w:hAnsi="Arial"/>
          <w:sz w:val="18"/>
          <w:szCs w:val="18"/>
          <w:u w:val="single" w:color="auto"/>
          <w:color w:val="0000E1"/>
        </w:rPr>
        <w:t>, I</w:t>
      </w:r>
      <w:r>
        <w:rPr>
          <w:rFonts w:ascii="Arial" w:cs="Arial" w:eastAsia="Arial" w:hAnsi="Arial"/>
          <w:sz w:val="14"/>
          <w:szCs w:val="14"/>
          <w:u w:val="single" w:color="auto"/>
          <w:color w:val="0000E1"/>
        </w:rPr>
        <w:t>NC</w:t>
      </w:r>
      <w:r>
        <w:rPr>
          <w:rFonts w:ascii="Arial" w:cs="Arial" w:eastAsia="Arial" w:hAnsi="Arial"/>
          <w:sz w:val="18"/>
          <w:szCs w:val="18"/>
          <w:u w:val="single" w:color="auto"/>
          <w:color w:val="0000E1"/>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E1"/>
        </w:rPr>
        <w:t>W</w:t>
      </w:r>
      <w:r>
        <w:rPr>
          <w:rFonts w:ascii="Arial" w:cs="Arial" w:eastAsia="Arial" w:hAnsi="Arial"/>
          <w:sz w:val="14"/>
          <w:szCs w:val="14"/>
          <w:u w:val="single" w:color="auto"/>
          <w:color w:val="0000E1"/>
        </w:rPr>
        <w:t>ELLS</w:t>
      </w:r>
      <w:r>
        <w:rPr>
          <w:rFonts w:ascii="Arial" w:cs="Arial" w:eastAsia="Arial" w:hAnsi="Arial"/>
          <w:sz w:val="18"/>
          <w:szCs w:val="18"/>
          <w:u w:val="single" w:color="auto"/>
          <w:color w:val="0000E1"/>
        </w:rPr>
        <w:t xml:space="preserve"> F</w:t>
      </w:r>
      <w:r>
        <w:rPr>
          <w:rFonts w:ascii="Arial" w:cs="Arial" w:eastAsia="Arial" w:hAnsi="Arial"/>
          <w:sz w:val="14"/>
          <w:szCs w:val="14"/>
          <w:u w:val="single" w:color="auto"/>
          <w:color w:val="0000E1"/>
        </w:rPr>
        <w:t>ARGO</w:t>
      </w:r>
      <w:r>
        <w:rPr>
          <w:rFonts w:ascii="Arial" w:cs="Arial" w:eastAsia="Arial" w:hAnsi="Arial"/>
          <w:sz w:val="18"/>
          <w:szCs w:val="18"/>
          <w:u w:val="single" w:color="auto"/>
          <w:color w:val="0000E1"/>
        </w:rPr>
        <w:t xml:space="preserve"> S</w:t>
      </w:r>
      <w:r>
        <w:rPr>
          <w:rFonts w:ascii="Arial" w:cs="Arial" w:eastAsia="Arial" w:hAnsi="Arial"/>
          <w:sz w:val="14"/>
          <w:szCs w:val="14"/>
          <w:u w:val="single" w:color="auto"/>
          <w:color w:val="0000E1"/>
        </w:rPr>
        <w:t>ECURITIES</w:t>
      </w:r>
      <w:r>
        <w:rPr>
          <w:rFonts w:ascii="Arial" w:cs="Arial" w:eastAsia="Arial" w:hAnsi="Arial"/>
          <w:sz w:val="18"/>
          <w:szCs w:val="18"/>
          <w:u w:val="single" w:color="auto"/>
          <w:color w:val="0000E1"/>
        </w:rPr>
        <w: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-121920</wp:posOffset>
            </wp:positionV>
            <wp:extent cx="11487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FF0000"/>
          <w:strike w:val="1"/>
        </w:rPr>
        <w:t>M</w:t>
      </w:r>
      <w:r>
        <w:rPr>
          <w:rFonts w:ascii="Arial" w:cs="Arial" w:eastAsia="Arial" w:hAnsi="Arial"/>
          <w:sz w:val="14"/>
          <w:szCs w:val="14"/>
          <w:color w:val="FF0000"/>
          <w:strike w:val="1"/>
        </w:rPr>
        <w:t>ERRILL</w:t>
      </w:r>
      <w:r>
        <w:rPr>
          <w:rFonts w:ascii="Arial" w:cs="Arial" w:eastAsia="Arial" w:hAnsi="Arial"/>
          <w:sz w:val="18"/>
          <w:szCs w:val="18"/>
          <w:color w:val="FF0000"/>
        </w:rPr>
        <w:t xml:space="preserve"> L</w:t>
      </w:r>
      <w:r>
        <w:rPr>
          <w:rFonts w:ascii="Arial" w:cs="Arial" w:eastAsia="Arial" w:hAnsi="Arial"/>
          <w:sz w:val="14"/>
          <w:szCs w:val="14"/>
          <w:color w:val="FF0000"/>
          <w:strike w:val="1"/>
        </w:rPr>
        <w:t>YNCH</w:t>
      </w:r>
      <w:r>
        <w:rPr>
          <w:rFonts w:ascii="Arial" w:cs="Arial" w:eastAsia="Arial" w:hAnsi="Arial"/>
          <w:sz w:val="18"/>
          <w:szCs w:val="18"/>
          <w:color w:val="FF0000"/>
          <w:strike w:val="1"/>
        </w:rPr>
        <w:t>, P</w:t>
      </w:r>
      <w:r>
        <w:rPr>
          <w:rFonts w:ascii="Arial" w:cs="Arial" w:eastAsia="Arial" w:hAnsi="Arial"/>
          <w:sz w:val="14"/>
          <w:szCs w:val="14"/>
          <w:color w:val="FF0000"/>
          <w:strike w:val="1"/>
        </w:rPr>
        <w:t>IERCE</w:t>
      </w:r>
      <w:r>
        <w:rPr>
          <w:rFonts w:ascii="Arial" w:cs="Arial" w:eastAsia="Arial" w:hAnsi="Arial"/>
          <w:sz w:val="18"/>
          <w:szCs w:val="18"/>
          <w:color w:val="FF0000"/>
          <w:strike w:val="1"/>
        </w:rPr>
        <w:t>, F</w:t>
      </w:r>
      <w:r>
        <w:rPr>
          <w:rFonts w:ascii="Arial" w:cs="Arial" w:eastAsia="Arial" w:hAnsi="Arial"/>
          <w:sz w:val="14"/>
          <w:szCs w:val="14"/>
          <w:color w:val="FF0000"/>
          <w:strike w:val="1"/>
        </w:rPr>
        <w:t>ENNER</w:t>
      </w:r>
      <w:r>
        <w:rPr>
          <w:rFonts w:ascii="Arial" w:cs="Arial" w:eastAsia="Arial" w:hAnsi="Arial"/>
          <w:sz w:val="18"/>
          <w:szCs w:val="18"/>
          <w:color w:val="FF0000"/>
        </w:rPr>
        <w:t xml:space="preserve"> &amp; S</w:t>
      </w:r>
      <w:r>
        <w:rPr>
          <w:rFonts w:ascii="Arial" w:cs="Arial" w:eastAsia="Arial" w:hAnsi="Arial"/>
          <w:sz w:val="14"/>
          <w:szCs w:val="14"/>
          <w:color w:val="FF0000"/>
          <w:strike w:val="1"/>
        </w:rPr>
        <w:t>MITH</w:t>
      </w:r>
      <w:r>
        <w:rPr>
          <w:rFonts w:ascii="Arial" w:cs="Arial" w:eastAsia="Arial" w:hAnsi="Arial"/>
          <w:sz w:val="18"/>
          <w:szCs w:val="18"/>
          <w:color w:val="FF0000"/>
        </w:rPr>
        <w:t xml:space="preserve"> I</w:t>
      </w:r>
      <w:r>
        <w:rPr>
          <w:rFonts w:ascii="Arial" w:cs="Arial" w:eastAsia="Arial" w:hAnsi="Arial"/>
          <w:sz w:val="14"/>
          <w:szCs w:val="14"/>
          <w:color w:val="FF0000"/>
          <w:strike w:val="1"/>
        </w:rPr>
        <w:t>NCORPORATED</w:t>
      </w:r>
      <w:r>
        <w:rPr>
          <w:rFonts w:ascii="Arial" w:cs="Arial" w:eastAsia="Arial" w:hAnsi="Arial"/>
          <w:sz w:val="18"/>
          <w:szCs w:val="18"/>
          <w:color w:val="FF0000"/>
          <w:strike w:val="1"/>
        </w:rPr>
        <w:t>, W</w:t>
      </w:r>
      <w:r>
        <w:rPr>
          <w:rFonts w:ascii="Arial" w:cs="Arial" w:eastAsia="Arial" w:hAnsi="Arial"/>
          <w:sz w:val="14"/>
          <w:szCs w:val="14"/>
          <w:color w:val="FF0000"/>
          <w:strike w:val="1"/>
        </w:rPr>
        <w:t>ELLS</w:t>
      </w:r>
      <w:r>
        <w:rPr>
          <w:rFonts w:ascii="Arial" w:cs="Arial" w:eastAsia="Arial" w:hAnsi="Arial"/>
          <w:sz w:val="18"/>
          <w:szCs w:val="18"/>
          <w:color w:val="FF0000"/>
        </w:rPr>
        <w:t xml:space="preserve"> F</w:t>
      </w:r>
      <w:r>
        <w:rPr>
          <w:rFonts w:ascii="Arial" w:cs="Arial" w:eastAsia="Arial" w:hAnsi="Arial"/>
          <w:sz w:val="14"/>
          <w:szCs w:val="14"/>
          <w:color w:val="FF0000"/>
          <w:strike w:val="1"/>
        </w:rPr>
        <w:t>ARGO</w:t>
      </w:r>
      <w:r>
        <w:rPr>
          <w:rFonts w:ascii="Arial" w:cs="Arial" w:eastAsia="Arial" w:hAnsi="Arial"/>
          <w:sz w:val="18"/>
          <w:szCs w:val="18"/>
          <w:color w:val="FF0000"/>
        </w:rPr>
        <w:t xml:space="preserve"> S</w:t>
      </w:r>
      <w:r>
        <w:rPr>
          <w:rFonts w:ascii="Arial" w:cs="Arial" w:eastAsia="Arial" w:hAnsi="Arial"/>
          <w:sz w:val="14"/>
          <w:szCs w:val="14"/>
          <w:color w:val="FF0000"/>
          <w:strike w:val="1"/>
        </w:rPr>
        <w:t>ECURITIES</w:t>
      </w:r>
      <w:r>
        <w:rPr>
          <w:rFonts w:ascii="Arial" w:cs="Arial" w:eastAsia="Arial" w:hAnsi="Arial"/>
          <w:sz w:val="18"/>
          <w:szCs w:val="18"/>
          <w:color w:val="FF0000"/>
          <w:strike w:val="1"/>
        </w:rPr>
        <w:t>, LLC,</w:t>
      </w:r>
      <w:r>
        <w:rPr>
          <w:rFonts w:ascii="Arial" w:cs="Arial" w:eastAsia="Arial" w:hAnsi="Arial"/>
          <w:sz w:val="18"/>
          <w:szCs w:val="18"/>
          <w:color w:val="FF0000"/>
        </w:rPr>
        <w:t xml:space="preserve"> </w:t>
      </w:r>
      <w:r>
        <w:rPr>
          <w:rFonts w:ascii="Arial" w:cs="Arial" w:eastAsia="Arial" w:hAnsi="Arial"/>
          <w:sz w:val="18"/>
          <w:szCs w:val="18"/>
          <w:color w:val="000000"/>
        </w:rPr>
        <w:t>R</w:t>
      </w:r>
      <w:r>
        <w:rPr>
          <w:rFonts w:ascii="Arial" w:cs="Arial" w:eastAsia="Arial" w:hAnsi="Arial"/>
          <w:sz w:val="14"/>
          <w:szCs w:val="14"/>
          <w:color w:val="000000"/>
        </w:rPr>
        <w:t>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-121920</wp:posOffset>
            </wp:positionV>
            <wp:extent cx="15773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77340" cy="8890"/>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-62230</wp:posOffset>
            </wp:positionV>
            <wp:extent cx="984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8425"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-62230</wp:posOffset>
            </wp:positionV>
            <wp:extent cx="2095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9550" cy="825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-62230</wp:posOffset>
            </wp:positionV>
            <wp:extent cx="666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-62230</wp:posOffset>
            </wp:positionV>
            <wp:extent cx="920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207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-62230</wp:posOffset>
            </wp:positionV>
            <wp:extent cx="920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207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ANK</w:t>
      </w:r>
      <w:r>
        <w:rPr>
          <w:rFonts w:ascii="Arial" w:cs="Arial" w:eastAsia="Arial" w:hAnsi="Arial"/>
          <w:sz w:val="18"/>
          <w:szCs w:val="18"/>
          <w:color w:val="auto"/>
        </w:rPr>
        <w:t xml:space="preserve">, N.A. </w:t>
      </w:r>
      <w:r>
        <w:rPr>
          <w:rFonts w:ascii="Arial" w:cs="Arial" w:eastAsia="Arial" w:hAnsi="Arial"/>
          <w:sz w:val="14"/>
          <w:szCs w:val="14"/>
          <w:color w:val="FF0000"/>
          <w:strike w:val="1"/>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-62230</wp:posOffset>
            </wp:positionV>
            <wp:extent cx="285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u w:val="single" w:color="auto"/>
          <w:color w:val="0000E1"/>
        </w:rPr>
        <w:t>AND</w:t>
      </w: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APITAL</w:t>
      </w:r>
      <w:r>
        <w:rPr>
          <w:rFonts w:ascii="Arial" w:cs="Arial" w:eastAsia="Arial" w:hAnsi="Arial"/>
          <w:sz w:val="18"/>
          <w:szCs w:val="18"/>
          <w:color w:val="auto"/>
        </w:rPr>
        <w:t xml:space="preserve"> O</w:t>
      </w:r>
      <w:r>
        <w:rPr>
          <w:rFonts w:ascii="Arial" w:cs="Arial" w:eastAsia="Arial" w:hAnsi="Arial"/>
          <w:sz w:val="14"/>
          <w:szCs w:val="14"/>
          <w:color w:val="auto"/>
        </w:rPr>
        <w:t>NE</w:t>
      </w:r>
      <w:r>
        <w:rPr>
          <w:rFonts w:ascii="Arial" w:cs="Arial" w:eastAsia="Arial" w:hAnsi="Arial"/>
          <w:sz w:val="18"/>
          <w:szCs w:val="18"/>
          <w:color w:val="auto"/>
        </w:rPr>
        <w:t>, N.A.</w:t>
      </w:r>
      <w:r>
        <w:rPr>
          <w:rFonts w:ascii="Arial" w:cs="Arial" w:eastAsia="Arial" w:hAnsi="Arial"/>
          <w:sz w:val="18"/>
          <w:szCs w:val="18"/>
          <w:u w:val="single" w:color="auto"/>
          <w:color w:val="0000E1"/>
        </w:rPr>
        <w: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AS </w:t>
      </w:r>
      <w:r>
        <w:rPr>
          <w:rFonts w:ascii="Arial" w:cs="Arial" w:eastAsia="Arial" w:hAnsi="Arial"/>
          <w:sz w:val="17"/>
          <w:szCs w:val="17"/>
          <w:color w:val="auto"/>
        </w:rPr>
        <w:t>J</w:t>
      </w:r>
      <w:r>
        <w:rPr>
          <w:rFonts w:ascii="Arial" w:cs="Arial" w:eastAsia="Arial" w:hAnsi="Arial"/>
          <w:sz w:val="15"/>
          <w:szCs w:val="15"/>
          <w:color w:val="auto"/>
        </w:rPr>
        <w:t xml:space="preserve">OINT </w:t>
      </w:r>
      <w:r>
        <w:rPr>
          <w:rFonts w:ascii="Arial" w:cs="Arial" w:eastAsia="Arial" w:hAnsi="Arial"/>
          <w:sz w:val="17"/>
          <w:szCs w:val="17"/>
          <w:color w:val="auto"/>
        </w:rPr>
        <w:t>B</w:t>
      </w:r>
      <w:r>
        <w:rPr>
          <w:rFonts w:ascii="Arial" w:cs="Arial" w:eastAsia="Arial" w:hAnsi="Arial"/>
          <w:sz w:val="15"/>
          <w:szCs w:val="15"/>
          <w:color w:val="auto"/>
        </w:rPr>
        <w:t xml:space="preserve">OOKRUNNERS AND </w:t>
      </w:r>
      <w:r>
        <w:rPr>
          <w:rFonts w:ascii="Arial" w:cs="Arial" w:eastAsia="Arial" w:hAnsi="Arial"/>
          <w:sz w:val="17"/>
          <w:szCs w:val="17"/>
          <w:color w:val="auto"/>
        </w:rPr>
        <w:t>J</w:t>
      </w:r>
      <w:r>
        <w:rPr>
          <w:rFonts w:ascii="Arial" w:cs="Arial" w:eastAsia="Arial" w:hAnsi="Arial"/>
          <w:sz w:val="15"/>
          <w:szCs w:val="15"/>
          <w:color w:val="auto"/>
        </w:rPr>
        <w:t xml:space="preserve">OINT </w:t>
      </w:r>
      <w:r>
        <w:rPr>
          <w:rFonts w:ascii="Arial" w:cs="Arial" w:eastAsia="Arial" w:hAnsi="Arial"/>
          <w:sz w:val="17"/>
          <w:szCs w:val="17"/>
          <w:color w:val="auto"/>
        </w:rPr>
        <w:t>L</w:t>
      </w:r>
      <w:r>
        <w:rPr>
          <w:rFonts w:ascii="Arial" w:cs="Arial" w:eastAsia="Arial" w:hAnsi="Arial"/>
          <w:sz w:val="15"/>
          <w:szCs w:val="15"/>
          <w:color w:val="auto"/>
        </w:rPr>
        <w:t xml:space="preserve">EAD </w:t>
      </w:r>
      <w:r>
        <w:rPr>
          <w:rFonts w:ascii="Arial" w:cs="Arial" w:eastAsia="Arial" w:hAnsi="Arial"/>
          <w:sz w:val="17"/>
          <w:szCs w:val="17"/>
          <w:color w:val="auto"/>
        </w:rPr>
        <w:t>A</w:t>
      </w:r>
      <w:r>
        <w:rPr>
          <w:rFonts w:ascii="Arial" w:cs="Arial" w:eastAsia="Arial" w:hAnsi="Arial"/>
          <w:sz w:val="15"/>
          <w:szCs w:val="15"/>
          <w:color w:val="auto"/>
        </w:rPr>
        <w:t>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-114935</wp:posOffset>
            </wp:positionV>
            <wp:extent cx="342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274"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900" w:type="dxa"/>
            <w:vAlign w:val="bottom"/>
            <w:gridSpan w:val="2"/>
          </w:tcPr>
          <w:p>
            <w:pPr>
              <w:jc w:val="center"/>
              <w:ind w:right="42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SECTION 1.  The Credit Facilities</w:t>
            </w:r>
          </w:p>
        </w:tc>
        <w:tc>
          <w:tcPr>
            <w:tcW w:w="1680" w:type="dxa"/>
            <w:vAlign w:val="bottom"/>
            <w:tcBorders>
              <w:top w:val="single" w:sz="8" w:color="auto"/>
            </w:tcBorders>
            <w:vMerge w:val="restart"/>
          </w:tcPr>
          <w:p>
            <w:pPr>
              <w:spacing w:after="0"/>
              <w:rPr>
                <w:sz w:val="24"/>
                <w:szCs w:val="24"/>
                <w:color w:val="auto"/>
              </w:rPr>
            </w:pPr>
          </w:p>
        </w:tc>
        <w:tc>
          <w:tcPr>
            <w:tcW w:w="4220" w:type="dxa"/>
            <w:vAlign w:val="bottom"/>
            <w:vMerge w:val="restart"/>
          </w:tcPr>
          <w:p>
            <w:pPr>
              <w:spacing w:after="0"/>
              <w:rPr>
                <w:sz w:val="24"/>
                <w:szCs w:val="24"/>
                <w:color w:val="auto"/>
              </w:rPr>
            </w:pPr>
          </w:p>
        </w:tc>
        <w:tc>
          <w:tcPr>
            <w:tcW w:w="440" w:type="dxa"/>
            <w:vAlign w:val="bottom"/>
            <w:gridSpan w:val="4"/>
          </w:tcPr>
          <w:p>
            <w:pPr>
              <w:ind w:left="20"/>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c>
          <w:tcPr>
            <w:tcW w:w="0" w:type="dxa"/>
            <w:vAlign w:val="bottom"/>
          </w:tcPr>
          <w:p>
            <w:pPr>
              <w:spacing w:after="0"/>
              <w:rPr>
                <w:sz w:val="1"/>
                <w:szCs w:val="1"/>
                <w:color w:val="auto"/>
              </w:rPr>
            </w:pPr>
          </w:p>
        </w:tc>
      </w:tr>
      <w:tr>
        <w:trPr>
          <w:trHeight w:val="224"/>
        </w:trPr>
        <w:tc>
          <w:tcPr>
            <w:tcW w:w="4660" w:type="dxa"/>
            <w:vAlign w:val="bottom"/>
            <w:gridSpan w:val="2"/>
            <w:vMerge w:val="continue"/>
          </w:tcPr>
          <w:p>
            <w:pPr>
              <w:spacing w:after="0"/>
              <w:rPr>
                <w:sz w:val="19"/>
                <w:szCs w:val="19"/>
                <w:color w:val="auto"/>
              </w:rPr>
            </w:pPr>
          </w:p>
        </w:tc>
        <w:tc>
          <w:tcPr>
            <w:tcW w:w="1680" w:type="dxa"/>
            <w:vAlign w:val="bottom"/>
            <w:tcBorders>
              <w:top w:val="single" w:sz="8" w:color="auto"/>
            </w:tcBorders>
            <w:vMerge w:val="continue"/>
          </w:tcPr>
          <w:p>
            <w:pPr>
              <w:spacing w:after="0"/>
              <w:rPr>
                <w:sz w:val="19"/>
                <w:szCs w:val="19"/>
                <w:color w:val="auto"/>
              </w:rPr>
            </w:pPr>
          </w:p>
        </w:tc>
        <w:tc>
          <w:tcPr>
            <w:tcW w:w="4220" w:type="dxa"/>
            <w:vAlign w:val="bottom"/>
            <w:vMerge w:val="continue"/>
          </w:tcPr>
          <w:p>
            <w:pPr>
              <w:spacing w:after="0"/>
              <w:rPr>
                <w:sz w:val="19"/>
                <w:szCs w:val="19"/>
                <w:color w:val="auto"/>
              </w:rPr>
            </w:pPr>
          </w:p>
        </w:tc>
        <w:tc>
          <w:tcPr>
            <w:tcW w:w="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68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Term Loan Commitments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Revolving Credit Commitments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Letters of Credit</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Applicable Interest Rates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Minimum Borrowing Amounts; Maximum Eurodollar Loans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68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Manner of Borrowing Loans and Designating Applicable Interest Rates; Notice to the Administrative Agent</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3"/>
        </w:trPr>
        <w:tc>
          <w:tcPr>
            <w:tcW w:w="168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Interest Periods</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11</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12</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8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Maturity of Loans</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12</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13</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8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Prepayments</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13</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14</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8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Default Rate</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16</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17</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8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Evidence of Indebtedness</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17</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18</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68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Funding Indemnity</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83"/>
        </w:trPr>
        <w:tc>
          <w:tcPr>
            <w:tcW w:w="168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Commitment Terminations</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18</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19</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68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Substitution of Lenders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83"/>
        </w:trPr>
        <w:tc>
          <w:tcPr>
            <w:tcW w:w="168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Swing Loans</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19</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20</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80" w:type="dxa"/>
            <w:vAlign w:val="bottom"/>
          </w:tcPr>
          <w:p>
            <w:pPr>
              <w:ind w:left="360"/>
              <w:spacing w:after="0"/>
              <w:rPr>
                <w:sz w:val="20"/>
                <w:szCs w:val="20"/>
                <w:color w:val="auto"/>
              </w:rPr>
            </w:pPr>
            <w:r>
              <w:rPr>
                <w:rFonts w:ascii="Arial" w:cs="Arial" w:eastAsia="Arial" w:hAnsi="Arial"/>
                <w:sz w:val="18"/>
                <w:szCs w:val="18"/>
                <w:color w:val="auto"/>
              </w:rPr>
              <w:t>Section 1.16</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Incremental Facilities</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21</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22</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80" w:type="dxa"/>
            <w:vAlign w:val="bottom"/>
          </w:tcPr>
          <w:p>
            <w:pPr>
              <w:ind w:left="360"/>
              <w:spacing w:after="0"/>
              <w:rPr>
                <w:sz w:val="20"/>
                <w:szCs w:val="20"/>
                <w:color w:val="auto"/>
              </w:rPr>
            </w:pPr>
            <w:r>
              <w:rPr>
                <w:rFonts w:ascii="Arial" w:cs="Arial" w:eastAsia="Arial" w:hAnsi="Arial"/>
                <w:sz w:val="18"/>
                <w:szCs w:val="18"/>
                <w:color w:val="auto"/>
              </w:rPr>
              <w:t>Section 1.17</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Defaulting Lenders</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24</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25</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80" w:type="dxa"/>
            <w:vAlign w:val="bottom"/>
          </w:tcPr>
          <w:p>
            <w:pPr>
              <w:ind w:left="360"/>
              <w:spacing w:after="0"/>
              <w:rPr>
                <w:sz w:val="20"/>
                <w:szCs w:val="20"/>
                <w:color w:val="auto"/>
              </w:rPr>
            </w:pPr>
            <w:r>
              <w:rPr>
                <w:rFonts w:ascii="Arial" w:cs="Arial" w:eastAsia="Arial" w:hAnsi="Arial"/>
                <w:sz w:val="18"/>
                <w:szCs w:val="18"/>
                <w:color w:val="auto"/>
              </w:rPr>
              <w:t>Section 1.18</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Term Loan Maturity Extensions</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26</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27</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80" w:type="dxa"/>
            <w:vAlign w:val="bottom"/>
          </w:tcPr>
          <w:p>
            <w:pPr>
              <w:ind w:left="360"/>
              <w:spacing w:after="0"/>
              <w:rPr>
                <w:sz w:val="20"/>
                <w:szCs w:val="20"/>
                <w:color w:val="auto"/>
              </w:rPr>
            </w:pPr>
            <w:r>
              <w:rPr>
                <w:rFonts w:ascii="Arial" w:cs="Arial" w:eastAsia="Arial" w:hAnsi="Arial"/>
                <w:sz w:val="18"/>
                <w:szCs w:val="18"/>
                <w:color w:val="auto"/>
              </w:rPr>
              <w:t>Section 1.19</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Revolving Credit Termination Date Extensions</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28</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29</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80" w:type="dxa"/>
            <w:vAlign w:val="bottom"/>
          </w:tcPr>
          <w:p>
            <w:pPr>
              <w:ind w:left="360"/>
              <w:spacing w:after="0"/>
              <w:rPr>
                <w:sz w:val="20"/>
                <w:szCs w:val="20"/>
                <w:color w:val="auto"/>
              </w:rPr>
            </w:pPr>
            <w:r>
              <w:rPr>
                <w:rFonts w:ascii="Arial" w:cs="Arial" w:eastAsia="Arial" w:hAnsi="Arial"/>
                <w:sz w:val="18"/>
                <w:szCs w:val="18"/>
                <w:color w:val="auto"/>
              </w:rPr>
              <w:t>Section 1.20</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Refinancing/Replacement Facilities</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31</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32</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80" w:type="dxa"/>
            <w:vAlign w:val="bottom"/>
          </w:tcPr>
          <w:p>
            <w:pPr>
              <w:ind w:left="360"/>
              <w:spacing w:after="0"/>
              <w:rPr>
                <w:sz w:val="20"/>
                <w:szCs w:val="20"/>
                <w:color w:val="auto"/>
              </w:rPr>
            </w:pPr>
            <w:r>
              <w:rPr>
                <w:rFonts w:ascii="Arial" w:cs="Arial" w:eastAsia="Arial" w:hAnsi="Arial"/>
                <w:sz w:val="18"/>
                <w:szCs w:val="18"/>
                <w:color w:val="auto"/>
              </w:rPr>
              <w:t>Section 1.21</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Certain Permitted Term Loan Repurchases</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34</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35</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80" w:type="dxa"/>
            <w:vAlign w:val="bottom"/>
          </w:tcPr>
          <w:p>
            <w:pPr>
              <w:spacing w:after="0"/>
              <w:rPr>
                <w:sz w:val="20"/>
                <w:szCs w:val="20"/>
                <w:color w:val="auto"/>
              </w:rPr>
            </w:pPr>
            <w:r>
              <w:rPr>
                <w:rFonts w:ascii="Arial" w:cs="Arial" w:eastAsia="Arial" w:hAnsi="Arial"/>
                <w:sz w:val="18"/>
                <w:szCs w:val="18"/>
                <w:color w:val="auto"/>
              </w:rPr>
              <w:t>SECTION 2.  Fees</w:t>
            </w:r>
          </w:p>
        </w:tc>
        <w:tc>
          <w:tcPr>
            <w:tcW w:w="29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36</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37</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8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Fees</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36</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37</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560" w:type="dxa"/>
            <w:vAlign w:val="bottom"/>
            <w:gridSpan w:val="4"/>
          </w:tcPr>
          <w:p>
            <w:pPr>
              <w:spacing w:after="0"/>
              <w:rPr>
                <w:sz w:val="20"/>
                <w:szCs w:val="20"/>
                <w:color w:val="auto"/>
              </w:rPr>
            </w:pPr>
            <w:r>
              <w:rPr>
                <w:rFonts w:ascii="Arial" w:cs="Arial" w:eastAsia="Arial" w:hAnsi="Arial"/>
                <w:sz w:val="18"/>
                <w:szCs w:val="18"/>
                <w:color w:val="auto"/>
              </w:rPr>
              <w:t>SECTION 3.  Place and Application of Payments</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36</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37</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8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Place and Application of Payments</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36</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37</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560" w:type="dxa"/>
            <w:vAlign w:val="bottom"/>
            <w:gridSpan w:val="4"/>
          </w:tcPr>
          <w:p>
            <w:pPr>
              <w:spacing w:after="0"/>
              <w:rPr>
                <w:sz w:val="20"/>
                <w:szCs w:val="20"/>
                <w:color w:val="auto"/>
              </w:rPr>
            </w:pPr>
            <w:r>
              <w:rPr>
                <w:rFonts w:ascii="Arial" w:cs="Arial" w:eastAsia="Arial" w:hAnsi="Arial"/>
                <w:sz w:val="18"/>
                <w:szCs w:val="18"/>
                <w:color w:val="auto"/>
              </w:rPr>
              <w:t>SECTION 4.  Joint and Several Obligors, Guarantees and Collateral</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38</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39</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8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Guarantees</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38</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39</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8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Collateral</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38</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39</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8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Liens on Real Property</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40</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41</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8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8880" w:type="dxa"/>
            <w:vAlign w:val="bottom"/>
            <w:gridSpan w:val="3"/>
          </w:tcPr>
          <w:p>
            <w:pPr>
              <w:ind w:left="220"/>
              <w:spacing w:after="0"/>
              <w:rPr>
                <w:sz w:val="20"/>
                <w:szCs w:val="20"/>
                <w:color w:val="auto"/>
              </w:rPr>
            </w:pPr>
            <w:r>
              <w:rPr>
                <w:rFonts w:ascii="Arial" w:cs="Arial" w:eastAsia="Arial" w:hAnsi="Arial"/>
                <w:sz w:val="18"/>
                <w:szCs w:val="18"/>
                <w:i w:val="1"/>
                <w:iCs w:val="1"/>
                <w:color w:val="auto"/>
              </w:rPr>
              <w:t>Further Assurances</w:t>
            </w:r>
          </w:p>
        </w:tc>
        <w:tc>
          <w:tcPr>
            <w:tcW w:w="240" w:type="dxa"/>
            <w:vAlign w:val="bottom"/>
          </w:tcPr>
          <w:p>
            <w:pPr>
              <w:jc w:val="right"/>
              <w:spacing w:after="0"/>
              <w:rPr>
                <w:sz w:val="20"/>
                <w:szCs w:val="20"/>
                <w:color w:val="auto"/>
              </w:rPr>
            </w:pPr>
            <w:r>
              <w:rPr>
                <w:rFonts w:ascii="Arial" w:cs="Arial" w:eastAsia="Arial" w:hAnsi="Arial"/>
                <w:sz w:val="18"/>
                <w:szCs w:val="18"/>
                <w:color w:val="FF0000"/>
                <w:strike w:val="1"/>
              </w:rPr>
              <w:t>40</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E1"/>
                <w:w w:val="79"/>
              </w:rPr>
              <w:t>41</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900" w:type="dxa"/>
            <w:vAlign w:val="bottom"/>
            <w:gridSpan w:val="2"/>
            <w:vMerge w:val="restart"/>
          </w:tcPr>
          <w:p>
            <w:pPr>
              <w:jc w:val="center"/>
              <w:ind w:right="4220"/>
              <w:spacing w:after="0"/>
              <w:rPr>
                <w:sz w:val="20"/>
                <w:szCs w:val="20"/>
                <w:color w:val="auto"/>
              </w:rPr>
            </w:pPr>
            <w:r>
              <w:rPr>
                <w:rFonts w:ascii="Arial" w:cs="Arial" w:eastAsia="Arial" w:hAnsi="Arial"/>
                <w:sz w:val="18"/>
                <w:szCs w:val="18"/>
                <w:color w:val="auto"/>
                <w:w w:val="98"/>
              </w:rPr>
              <w:t>i</w:t>
            </w:r>
          </w:p>
        </w:tc>
        <w:tc>
          <w:tcPr>
            <w:tcW w:w="2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9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80"/>
          </w:cols>
          <w:pgMar w:left="440" w:top="257" w:right="47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6" w:name="page57"/>
    <w:bookmarkEnd w:id="56"/>
    <w:tbl>
      <w:tblPr>
        <w:tblLayout w:type="fixed"/>
        <w:tblInd w:w="0" w:type="dxa"/>
        <w:tblCellMar>
          <w:top w:w="0" w:type="dxa"/>
          <w:left w:w="0" w:type="dxa"/>
          <w:bottom w:w="0" w:type="dxa"/>
          <w:right w:w="0" w:type="dxa"/>
        </w:tblCellMar>
      </w:tblPr>
      <w:tr>
        <w:trPr>
          <w:trHeight w:val="207"/>
        </w:trPr>
        <w:tc>
          <w:tcPr>
            <w:tcW w:w="10660" w:type="dxa"/>
            <w:vAlign w:val="bottom"/>
            <w:gridSpan w:val="9"/>
          </w:tcPr>
          <w:p>
            <w:pPr>
              <w:spacing w:after="0"/>
              <w:rPr>
                <w:sz w:val="20"/>
                <w:szCs w:val="20"/>
                <w:color w:val="auto"/>
              </w:rPr>
            </w:pPr>
            <w:r>
              <w:rPr>
                <w:rFonts w:ascii="Arial" w:cs="Arial" w:eastAsia="Arial" w:hAnsi="Arial"/>
                <w:sz w:val="18"/>
                <w:szCs w:val="18"/>
                <w:color w:val="auto"/>
              </w:rPr>
              <w:t>SECTION 5.  Definitions, Interpretations; Accounting Terms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40</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41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7"/>
              </w:rPr>
              <w:t>Section 5.1</w:t>
            </w:r>
          </w:p>
        </w:tc>
        <w:tc>
          <w:tcPr>
            <w:tcW w:w="9400" w:type="dxa"/>
            <w:vAlign w:val="bottom"/>
            <w:gridSpan w:val="5"/>
          </w:tcPr>
          <w:p>
            <w:pPr>
              <w:ind w:left="640"/>
              <w:spacing w:after="0"/>
              <w:rPr>
                <w:sz w:val="20"/>
                <w:szCs w:val="20"/>
                <w:color w:val="auto"/>
              </w:rPr>
            </w:pPr>
            <w:r>
              <w:rPr>
                <w:rFonts w:ascii="Arial" w:cs="Arial" w:eastAsia="Arial" w:hAnsi="Arial"/>
                <w:sz w:val="18"/>
                <w:szCs w:val="18"/>
                <w:color w:val="auto"/>
              </w:rPr>
              <w:t>Definitions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40</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41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7"/>
              </w:rPr>
              <w:t>Section 5.2</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Interpretation</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78</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83</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7"/>
              </w:rPr>
              <w:t>Section 5.3</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Accounting Principles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80</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84</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7"/>
              </w:rPr>
              <w:t>Section 5.4</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Determination of Compliance with Certain Covenants; Amounts</w:t>
            </w:r>
            <w:r>
              <w:rPr>
                <w:rFonts w:ascii="Arial" w:cs="Arial" w:eastAsia="Arial" w:hAnsi="Arial"/>
                <w:sz w:val="18"/>
                <w:szCs w:val="18"/>
                <w:i w:val="1"/>
                <w:iCs w:val="1"/>
                <w:color w:val="FF0000"/>
                <w:strike w:val="1"/>
              </w:rPr>
              <w: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80</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85</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7"/>
              </w:rPr>
              <w:t>Section 5.5</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Letter of Credit Amounts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80</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85</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0000E1"/>
                <w:w w:val="97"/>
              </w:rPr>
              <w:t>Section 5.6</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0000E1"/>
              </w:rPr>
              <w:t>Interest Rates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E1"/>
              </w:rPr>
              <w:t>85</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Borders>
              <w:top w:val="single" w:sz="8" w:color="0000E1"/>
              <w:bottom w:val="single" w:sz="8" w:color="0000E1"/>
            </w:tcBorders>
          </w:tcPr>
          <w:p>
            <w:pPr>
              <w:spacing w:after="0"/>
              <w:rPr>
                <w:sz w:val="2"/>
                <w:szCs w:val="2"/>
                <w:color w:val="auto"/>
              </w:rPr>
            </w:pPr>
          </w:p>
        </w:tc>
        <w:tc>
          <w:tcPr>
            <w:tcW w:w="20" w:type="dxa"/>
            <w:vAlign w:val="bottom"/>
            <w:tcBorders>
              <w:bottom w:val="single" w:sz="8" w:color="0000E1"/>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960" w:type="dxa"/>
            <w:vAlign w:val="bottom"/>
            <w:tcBorders>
              <w:top w:val="single" w:sz="8" w:color="0000E1"/>
              <w:bottom w:val="single" w:sz="8" w:color="0000E1"/>
            </w:tcBorders>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660" w:type="dxa"/>
            <w:vAlign w:val="bottom"/>
            <w:gridSpan w:val="9"/>
          </w:tcPr>
          <w:p>
            <w:pPr>
              <w:spacing w:after="0"/>
              <w:rPr>
                <w:sz w:val="20"/>
                <w:szCs w:val="20"/>
                <w:color w:val="auto"/>
              </w:rPr>
            </w:pPr>
            <w:r>
              <w:rPr>
                <w:rFonts w:ascii="Arial" w:cs="Arial" w:eastAsia="Arial" w:hAnsi="Arial"/>
                <w:sz w:val="18"/>
                <w:szCs w:val="18"/>
                <w:color w:val="auto"/>
              </w:rPr>
              <w:t>SECTION 6.  Representations and Warranties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81</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86</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7"/>
              </w:rPr>
              <w:t>Section 6.1</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Organization and Qualification</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81</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86</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7"/>
              </w:rPr>
              <w:t>Section 6.2</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Subsidiaries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81</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86</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7"/>
              </w:rPr>
              <w:t>Section 6.3</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Authority and Validity of Obligations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81</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86</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7"/>
              </w:rPr>
              <w:t>Section 6.4</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Margin Stock; Federal Reserve Regulations; Use of Proceeds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82</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87</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7"/>
              </w:rPr>
              <w:t>Section 6.5</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Financial Reports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82</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87</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7"/>
              </w:rPr>
              <w:t>Section 6.6</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No Material Adverse Effect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82</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87</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7"/>
              </w:rPr>
              <w:t>Section 6.7</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Full Disclosure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82</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87</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7"/>
              </w:rPr>
              <w:t>Section 6.8</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Intellectual Property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83</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88</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7"/>
              </w:rPr>
              <w:t>Section 6.9</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Governmental Authority and Licensing</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83</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88</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87"/>
              </w:rPr>
              <w:t>Section 6.10</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Good Title; Ownership of Property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83</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88</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87"/>
              </w:rPr>
              <w:t>Section 6.11</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Litigation and Other Controversies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83</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88</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87"/>
              </w:rPr>
              <w:t>Section 6.12</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Taxes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83</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88</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87"/>
              </w:rPr>
              <w:t>Section 6.13</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Approvals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84</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87"/>
              </w:rPr>
              <w:t>Section 6.14</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Collateral Documents; Creation, Perfection and Validity of Liens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84</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87"/>
              </w:rPr>
              <w:t>Section 6.15</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Investment Company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84</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87"/>
              </w:rPr>
              <w:t>Section 6.16</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ERISA; Labor Matters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84</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89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87"/>
              </w:rPr>
              <w:t>Section 6.17</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Compliance with Laws; Environmental Matters; OFAC</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85</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90</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87"/>
              </w:rPr>
              <w:t>Section 6.18</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Other Agreements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86</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90</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87"/>
              </w:rPr>
              <w:t>Section 6.19</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Solvency</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86</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91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87"/>
              </w:rPr>
              <w:t>Section 6.20</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No Default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86</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91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87"/>
              </w:rPr>
              <w:t>Section 6.21</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PATRIOT Act; FCPA</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86</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91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87"/>
              </w:rPr>
              <w:t>Section 6.22</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Insurance Matters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86</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91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87"/>
              </w:rPr>
              <w:t>Section 6.23</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EEA Financial Institutions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86</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91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0000E1"/>
                <w:w w:val="87"/>
              </w:rPr>
              <w:t>Section 6.24</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0000E1"/>
              </w:rPr>
              <w:t>Beneficial Ownership Certification</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E1"/>
              </w:rPr>
              <w:t>91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Borders>
              <w:top w:val="single" w:sz="8" w:color="0000E1"/>
              <w:bottom w:val="single" w:sz="8" w:color="0000E1"/>
            </w:tcBorders>
          </w:tcPr>
          <w:p>
            <w:pPr>
              <w:spacing w:after="0"/>
              <w:rPr>
                <w:sz w:val="2"/>
                <w:szCs w:val="2"/>
                <w:color w:val="auto"/>
              </w:rPr>
            </w:pPr>
          </w:p>
        </w:tc>
        <w:tc>
          <w:tcPr>
            <w:tcW w:w="20" w:type="dxa"/>
            <w:vAlign w:val="bottom"/>
            <w:tcBorders>
              <w:top w:val="single" w:sz="8" w:color="0000E1"/>
              <w:bottom w:val="single" w:sz="8" w:color="0000E1"/>
            </w:tcBorders>
          </w:tcPr>
          <w:p>
            <w:pPr>
              <w:spacing w:after="0"/>
              <w:rPr>
                <w:sz w:val="2"/>
                <w:szCs w:val="2"/>
                <w:color w:val="auto"/>
              </w:rPr>
            </w:pPr>
          </w:p>
        </w:tc>
        <w:tc>
          <w:tcPr>
            <w:tcW w:w="80" w:type="dxa"/>
            <w:vAlign w:val="bottom"/>
            <w:tcBorders>
              <w:top w:val="single" w:sz="8" w:color="0000E1"/>
              <w:bottom w:val="single" w:sz="8" w:color="0000E1"/>
            </w:tcBorders>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960" w:type="dxa"/>
            <w:vAlign w:val="bottom"/>
            <w:tcBorders>
              <w:top w:val="single" w:sz="8" w:color="0000E1"/>
              <w:bottom w:val="single" w:sz="8" w:color="0000E1"/>
            </w:tcBorders>
          </w:tcPr>
          <w:p>
            <w:pPr>
              <w:spacing w:after="0"/>
              <w:rPr>
                <w:sz w:val="2"/>
                <w:szCs w:val="2"/>
                <w:color w:val="auto"/>
              </w:rPr>
            </w:pPr>
          </w:p>
        </w:tc>
        <w:tc>
          <w:tcPr>
            <w:tcW w:w="1540" w:type="dxa"/>
            <w:vAlign w:val="bottom"/>
            <w:tcBorders>
              <w:top w:val="single" w:sz="8" w:color="0000E1"/>
              <w:bottom w:val="single" w:sz="8" w:color="0000E1"/>
            </w:tcBorders>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660" w:type="dxa"/>
            <w:vAlign w:val="bottom"/>
            <w:gridSpan w:val="9"/>
          </w:tcPr>
          <w:p>
            <w:pPr>
              <w:spacing w:after="0"/>
              <w:rPr>
                <w:sz w:val="20"/>
                <w:szCs w:val="20"/>
                <w:color w:val="auto"/>
              </w:rPr>
            </w:pPr>
            <w:r>
              <w:rPr>
                <w:rFonts w:ascii="Arial" w:cs="Arial" w:eastAsia="Arial" w:hAnsi="Arial"/>
                <w:sz w:val="18"/>
                <w:szCs w:val="18"/>
                <w:color w:val="auto"/>
              </w:rPr>
              <w:t>SECTION 7.  Conditions Precedent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86</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91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7"/>
              </w:rPr>
              <w:t>Section 7.1</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All Credit Events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86</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91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7"/>
              </w:rPr>
              <w:t>Section 7.2</w:t>
            </w:r>
          </w:p>
        </w:tc>
        <w:tc>
          <w:tcPr>
            <w:tcW w:w="9400" w:type="dxa"/>
            <w:vAlign w:val="bottom"/>
            <w:gridSpan w:val="5"/>
          </w:tcPr>
          <w:p>
            <w:pPr>
              <w:ind w:left="640"/>
              <w:spacing w:after="0"/>
              <w:rPr>
                <w:sz w:val="20"/>
                <w:szCs w:val="20"/>
                <w:color w:val="auto"/>
              </w:rPr>
            </w:pPr>
            <w:r>
              <w:rPr>
                <w:rFonts w:ascii="Arial" w:cs="Arial" w:eastAsia="Arial" w:hAnsi="Arial"/>
                <w:sz w:val="18"/>
                <w:szCs w:val="18"/>
                <w:i w:val="1"/>
                <w:iCs w:val="1"/>
                <w:color w:val="auto"/>
              </w:rPr>
              <w:t>Conditions to Effectiveness of Amendment and Restatement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87</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92</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40" w:type="dxa"/>
            <w:vAlign w:val="bottom"/>
            <w:vMerge w:val="restart"/>
          </w:tcPr>
          <w:p>
            <w:pPr>
              <w:ind w:left="1040"/>
              <w:spacing w:after="0"/>
              <w:rPr>
                <w:sz w:val="20"/>
                <w:szCs w:val="20"/>
                <w:color w:val="auto"/>
              </w:rPr>
            </w:pPr>
            <w:r>
              <w:rPr>
                <w:rFonts w:ascii="Arial" w:cs="Arial" w:eastAsia="Arial" w:hAnsi="Arial"/>
                <w:sz w:val="18"/>
                <w:szCs w:val="18"/>
                <w:color w:val="auto"/>
              </w:rPr>
              <w:t>ii</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7" w:name="page58"/>
    <w:bookmarkEnd w:id="57"/>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20"/>
                <w:szCs w:val="20"/>
                <w:color w:val="auto"/>
              </w:rPr>
            </w:pPr>
            <w:r>
              <w:rPr>
                <w:rFonts w:ascii="Arial" w:cs="Arial" w:eastAsia="Arial" w:hAnsi="Arial"/>
                <w:sz w:val="18"/>
                <w:szCs w:val="18"/>
                <w:color w:val="auto"/>
                <w:w w:val="94"/>
              </w:rPr>
              <w:t>SECTION 8.  Covenants</w:t>
            </w:r>
          </w:p>
        </w:tc>
        <w:tc>
          <w:tcPr>
            <w:tcW w:w="860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89</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94</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Maintenance of Business</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89</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94</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Maintenance of Properties</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89</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94</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Taxes and Assessments</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89</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94</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Insurance</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89</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94</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Financial Reports</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90</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95</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Inspection; Lender Conference Calls</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94</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99</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8.7</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Borrowings and Guarantees</w:t>
            </w:r>
          </w:p>
        </w:tc>
        <w:tc>
          <w:tcPr>
            <w:tcW w:w="360" w:type="dxa"/>
            <w:vAlign w:val="bottom"/>
            <w:gridSpan w:val="3"/>
          </w:tcPr>
          <w:p>
            <w:pPr>
              <w:jc w:val="right"/>
              <w:spacing w:after="0"/>
              <w:rPr>
                <w:sz w:val="20"/>
                <w:szCs w:val="20"/>
                <w:color w:val="auto"/>
              </w:rPr>
            </w:pPr>
            <w:r>
              <w:rPr>
                <w:rFonts w:ascii="Arial" w:cs="Arial" w:eastAsia="Arial" w:hAnsi="Arial"/>
                <w:sz w:val="18"/>
                <w:szCs w:val="18"/>
                <w:color w:val="FF0000"/>
                <w:strike w:val="1"/>
              </w:rPr>
              <w:t>94</w:t>
            </w:r>
          </w:p>
        </w:tc>
        <w:tc>
          <w:tcPr>
            <w:tcW w:w="180" w:type="dxa"/>
            <w:vAlign w:val="bottom"/>
            <w:tcBorders>
              <w:bottom w:val="single" w:sz="8" w:color="0000E1"/>
            </w:tcBorders>
            <w:gridSpan w:val="2"/>
          </w:tcPr>
          <w:p>
            <w:pPr>
              <w:jc w:val="right"/>
              <w:spacing w:after="0"/>
              <w:rPr>
                <w:sz w:val="20"/>
                <w:szCs w:val="20"/>
                <w:color w:val="auto"/>
              </w:rPr>
            </w:pPr>
            <w:r>
              <w:rPr>
                <w:rFonts w:ascii="Arial" w:cs="Arial" w:eastAsia="Arial" w:hAnsi="Arial"/>
                <w:sz w:val="18"/>
                <w:szCs w:val="18"/>
                <w:color w:val="0000E1"/>
                <w:w w:val="79"/>
              </w:rPr>
              <w:t>99</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8.8</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Liens</w:t>
            </w:r>
          </w:p>
        </w:tc>
        <w:tc>
          <w:tcPr>
            <w:tcW w:w="260" w:type="dxa"/>
            <w:vAlign w:val="bottom"/>
          </w:tcPr>
          <w:p>
            <w:pPr>
              <w:ind w:left="80"/>
              <w:spacing w:after="0"/>
              <w:rPr>
                <w:sz w:val="20"/>
                <w:szCs w:val="20"/>
                <w:color w:val="auto"/>
              </w:rPr>
            </w:pPr>
            <w:r>
              <w:rPr>
                <w:rFonts w:ascii="Arial" w:cs="Arial" w:eastAsia="Arial" w:hAnsi="Arial"/>
                <w:sz w:val="18"/>
                <w:szCs w:val="18"/>
                <w:color w:val="FF0000"/>
                <w:strike w:val="1"/>
                <w:w w:val="79"/>
              </w:rPr>
              <w:t>98</w:t>
            </w:r>
          </w:p>
        </w:tc>
        <w:tc>
          <w:tcPr>
            <w:tcW w:w="280" w:type="dxa"/>
            <w:vAlign w:val="bottom"/>
            <w:tcBorders>
              <w:bottom w:val="single" w:sz="8" w:color="0000E1"/>
            </w:tcBorders>
            <w:gridSpan w:val="4"/>
          </w:tcPr>
          <w:p>
            <w:pPr>
              <w:jc w:val="right"/>
              <w:spacing w:after="0"/>
              <w:rPr>
                <w:sz w:val="20"/>
                <w:szCs w:val="20"/>
                <w:color w:val="auto"/>
              </w:rPr>
            </w:pPr>
            <w:r>
              <w:rPr>
                <w:rFonts w:ascii="Arial" w:cs="Arial" w:eastAsia="Arial" w:hAnsi="Arial"/>
                <w:sz w:val="18"/>
                <w:szCs w:val="18"/>
                <w:color w:val="0000E1"/>
                <w:w w:val="86"/>
              </w:rPr>
              <w:t>103</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8.9</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Investments, Acquisitions, Loans and Advances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1</w:t>
            </w:r>
          </w:p>
        </w:tc>
        <w:tc>
          <w:tcPr>
            <w:tcW w:w="10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6</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8.10</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Mergers, Consolidations and Sales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4</w:t>
            </w:r>
          </w:p>
        </w:tc>
        <w:tc>
          <w:tcPr>
            <w:tcW w:w="10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9</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8.11</w:t>
            </w:r>
          </w:p>
        </w:tc>
        <w:tc>
          <w:tcPr>
            <w:tcW w:w="8600" w:type="dxa"/>
            <w:vAlign w:val="bottom"/>
          </w:tcPr>
          <w:p>
            <w:pPr>
              <w:ind w:left="20"/>
              <w:spacing w:after="0"/>
              <w:rPr>
                <w:sz w:val="20"/>
                <w:szCs w:val="20"/>
                <w:color w:val="auto"/>
              </w:rPr>
            </w:pPr>
            <w:r>
              <w:rPr>
                <w:rFonts w:ascii="Arial" w:cs="Arial" w:eastAsia="Arial" w:hAnsi="Arial"/>
                <w:sz w:val="18"/>
                <w:szCs w:val="18"/>
                <w:u w:val="single" w:color="auto"/>
                <w:color w:val="0000E1"/>
              </w:rPr>
              <w:t>[</w:t>
            </w:r>
            <w:r>
              <w:rPr>
                <w:rFonts w:ascii="Arial" w:cs="Arial" w:eastAsia="Arial" w:hAnsi="Arial"/>
                <w:sz w:val="18"/>
                <w:szCs w:val="18"/>
                <w:i w:val="1"/>
                <w:iCs w:val="1"/>
                <w:color w:val="000000"/>
              </w:rPr>
              <w:t>Reserved</w:t>
            </w:r>
            <w:r>
              <w:rPr>
                <w:rFonts w:ascii="Arial" w:cs="Arial" w:eastAsia="Arial" w:hAnsi="Arial"/>
                <w:sz w:val="18"/>
                <w:szCs w:val="18"/>
                <w:u w:val="single" w:color="auto"/>
                <w:color w:val="0000E1"/>
              </w:rPr>
              <w:t>]</w:t>
            </w:r>
          </w:p>
        </w:tc>
        <w:tc>
          <w:tcPr>
            <w:tcW w:w="280" w:type="dxa"/>
            <w:vAlign w:val="bottom"/>
            <w:gridSpan w:val="2"/>
          </w:tcPr>
          <w:p>
            <w:pPr>
              <w:spacing w:after="0"/>
              <w:rPr>
                <w:sz w:val="20"/>
                <w:szCs w:val="20"/>
                <w:color w:val="auto"/>
              </w:rPr>
            </w:pPr>
            <w:r>
              <w:rPr>
                <w:rFonts w:ascii="Arial" w:cs="Arial" w:eastAsia="Arial" w:hAnsi="Arial"/>
                <w:sz w:val="18"/>
                <w:szCs w:val="18"/>
                <w:color w:val="FF0000"/>
                <w:strike w:val="1"/>
                <w:w w:val="86"/>
              </w:rPr>
              <w:t>106</w:t>
            </w:r>
          </w:p>
        </w:tc>
        <w:tc>
          <w:tcPr>
            <w:tcW w:w="26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79"/>
              </w:rPr>
              <w:t>111</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8.12</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Dividends and Certain Other Restricted Payments</w:t>
            </w:r>
          </w:p>
        </w:tc>
        <w:tc>
          <w:tcPr>
            <w:tcW w:w="280" w:type="dxa"/>
            <w:vAlign w:val="bottom"/>
            <w:gridSpan w:val="2"/>
          </w:tcPr>
          <w:p>
            <w:pPr>
              <w:spacing w:after="0"/>
              <w:rPr>
                <w:sz w:val="20"/>
                <w:szCs w:val="20"/>
                <w:color w:val="auto"/>
              </w:rPr>
            </w:pPr>
            <w:r>
              <w:rPr>
                <w:rFonts w:ascii="Arial" w:cs="Arial" w:eastAsia="Arial" w:hAnsi="Arial"/>
                <w:sz w:val="18"/>
                <w:szCs w:val="18"/>
                <w:color w:val="FF0000"/>
                <w:strike w:val="1"/>
                <w:w w:val="86"/>
              </w:rPr>
              <w:t>106</w:t>
            </w:r>
          </w:p>
        </w:tc>
        <w:tc>
          <w:tcPr>
            <w:tcW w:w="26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79"/>
              </w:rPr>
              <w:t>111</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8.13</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ERISA</w:t>
            </w:r>
          </w:p>
        </w:tc>
        <w:tc>
          <w:tcPr>
            <w:tcW w:w="260" w:type="dxa"/>
            <w:vAlign w:val="bottom"/>
          </w:tcPr>
          <w:p>
            <w:pPr>
              <w:spacing w:after="0"/>
              <w:rPr>
                <w:sz w:val="20"/>
                <w:szCs w:val="20"/>
                <w:color w:val="auto"/>
              </w:rPr>
            </w:pPr>
            <w:r>
              <w:rPr>
                <w:rFonts w:ascii="Arial" w:cs="Arial" w:eastAsia="Arial" w:hAnsi="Arial"/>
                <w:sz w:val="18"/>
                <w:szCs w:val="18"/>
                <w:color w:val="FF0000"/>
                <w:strike w:val="1"/>
                <w:w w:val="79"/>
              </w:rPr>
              <w:t>108</w:t>
            </w:r>
          </w:p>
        </w:tc>
        <w:tc>
          <w:tcPr>
            <w:tcW w:w="280" w:type="dxa"/>
            <w:vAlign w:val="bottom"/>
            <w:tcBorders>
              <w:bottom w:val="single" w:sz="8" w:color="0000E1"/>
            </w:tcBorders>
            <w:gridSpan w:val="4"/>
          </w:tcPr>
          <w:p>
            <w:pPr>
              <w:jc w:val="right"/>
              <w:spacing w:after="0"/>
              <w:rPr>
                <w:sz w:val="20"/>
                <w:szCs w:val="20"/>
                <w:color w:val="auto"/>
              </w:rPr>
            </w:pPr>
            <w:r>
              <w:rPr>
                <w:rFonts w:ascii="Arial" w:cs="Arial" w:eastAsia="Arial" w:hAnsi="Arial"/>
                <w:sz w:val="18"/>
                <w:szCs w:val="18"/>
                <w:color w:val="0000E1"/>
                <w:w w:val="86"/>
              </w:rPr>
              <w:t>114</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8.14</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Compliance with Laws</w:t>
            </w:r>
          </w:p>
        </w:tc>
        <w:tc>
          <w:tcPr>
            <w:tcW w:w="260" w:type="dxa"/>
            <w:vAlign w:val="bottom"/>
          </w:tcPr>
          <w:p>
            <w:pPr>
              <w:spacing w:after="0"/>
              <w:rPr>
                <w:sz w:val="20"/>
                <w:szCs w:val="20"/>
                <w:color w:val="auto"/>
              </w:rPr>
            </w:pPr>
            <w:r>
              <w:rPr>
                <w:rFonts w:ascii="Arial" w:cs="Arial" w:eastAsia="Arial" w:hAnsi="Arial"/>
                <w:sz w:val="18"/>
                <w:szCs w:val="18"/>
                <w:color w:val="FF0000"/>
                <w:strike w:val="1"/>
                <w:w w:val="79"/>
              </w:rPr>
              <w:t>109</w:t>
            </w:r>
          </w:p>
        </w:tc>
        <w:tc>
          <w:tcPr>
            <w:tcW w:w="280" w:type="dxa"/>
            <w:vAlign w:val="bottom"/>
            <w:tcBorders>
              <w:bottom w:val="single" w:sz="8" w:color="0000E1"/>
            </w:tcBorders>
            <w:gridSpan w:val="4"/>
          </w:tcPr>
          <w:p>
            <w:pPr>
              <w:jc w:val="right"/>
              <w:spacing w:after="0"/>
              <w:rPr>
                <w:sz w:val="20"/>
                <w:szCs w:val="20"/>
                <w:color w:val="auto"/>
              </w:rPr>
            </w:pPr>
            <w:r>
              <w:rPr>
                <w:rFonts w:ascii="Arial" w:cs="Arial" w:eastAsia="Arial" w:hAnsi="Arial"/>
                <w:sz w:val="18"/>
                <w:szCs w:val="18"/>
                <w:color w:val="0000E1"/>
                <w:w w:val="86"/>
              </w:rPr>
              <w:t>114</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8.15</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Burdensome Contracts With Affiliates</w:t>
            </w:r>
          </w:p>
        </w:tc>
        <w:tc>
          <w:tcPr>
            <w:tcW w:w="260" w:type="dxa"/>
            <w:vAlign w:val="bottom"/>
          </w:tcPr>
          <w:p>
            <w:pPr>
              <w:spacing w:after="0"/>
              <w:rPr>
                <w:sz w:val="20"/>
                <w:szCs w:val="20"/>
                <w:color w:val="auto"/>
              </w:rPr>
            </w:pPr>
            <w:r>
              <w:rPr>
                <w:rFonts w:ascii="Arial" w:cs="Arial" w:eastAsia="Arial" w:hAnsi="Arial"/>
                <w:sz w:val="18"/>
                <w:szCs w:val="18"/>
                <w:color w:val="FF0000"/>
                <w:strike w:val="1"/>
                <w:w w:val="79"/>
              </w:rPr>
              <w:t>109</w:t>
            </w:r>
          </w:p>
        </w:tc>
        <w:tc>
          <w:tcPr>
            <w:tcW w:w="280" w:type="dxa"/>
            <w:vAlign w:val="bottom"/>
            <w:tcBorders>
              <w:bottom w:val="single" w:sz="8" w:color="0000E1"/>
            </w:tcBorders>
            <w:gridSpan w:val="4"/>
          </w:tcPr>
          <w:p>
            <w:pPr>
              <w:jc w:val="right"/>
              <w:spacing w:after="0"/>
              <w:rPr>
                <w:sz w:val="20"/>
                <w:szCs w:val="20"/>
                <w:color w:val="auto"/>
              </w:rPr>
            </w:pPr>
            <w:r>
              <w:rPr>
                <w:rFonts w:ascii="Arial" w:cs="Arial" w:eastAsia="Arial" w:hAnsi="Arial"/>
                <w:sz w:val="18"/>
                <w:szCs w:val="18"/>
                <w:color w:val="0000E1"/>
                <w:w w:val="86"/>
              </w:rPr>
              <w:t>115</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8.16</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No Changes in Fiscal Year</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1</w:t>
            </w:r>
          </w:p>
        </w:tc>
        <w:tc>
          <w:tcPr>
            <w:tcW w:w="10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6</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8.17</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Formation of Subsidiaries; Further Assurances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1</w:t>
            </w:r>
          </w:p>
        </w:tc>
        <w:tc>
          <w:tcPr>
            <w:tcW w:w="10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7</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8.18</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Change in the Nature of Business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7</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8.19</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Use of Proceeds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7</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8.20</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No Restrictions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2</w:t>
            </w:r>
          </w:p>
        </w:tc>
        <w:tc>
          <w:tcPr>
            <w:tcW w:w="10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8</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8.21</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Payments of Other Indebtedness; Modifications of Organizational Documents and Other Documents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3</w:t>
            </w:r>
          </w:p>
        </w:tc>
        <w:tc>
          <w:tcPr>
            <w:tcW w:w="10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9</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8.22</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Financial Covenants</w:t>
            </w:r>
          </w:p>
        </w:tc>
        <w:tc>
          <w:tcPr>
            <w:tcW w:w="260" w:type="dxa"/>
            <w:vAlign w:val="bottom"/>
          </w:tcPr>
          <w:p>
            <w:pPr>
              <w:spacing w:after="0"/>
              <w:rPr>
                <w:sz w:val="20"/>
                <w:szCs w:val="20"/>
                <w:color w:val="auto"/>
              </w:rPr>
            </w:pPr>
            <w:r>
              <w:rPr>
                <w:rFonts w:ascii="Arial" w:cs="Arial" w:eastAsia="Arial" w:hAnsi="Arial"/>
                <w:sz w:val="18"/>
                <w:szCs w:val="18"/>
                <w:color w:val="FF0000"/>
                <w:strike w:val="1"/>
                <w:w w:val="79"/>
              </w:rPr>
              <w:t>114</w:t>
            </w:r>
          </w:p>
        </w:tc>
        <w:tc>
          <w:tcPr>
            <w:tcW w:w="280" w:type="dxa"/>
            <w:vAlign w:val="bottom"/>
            <w:tcBorders>
              <w:bottom w:val="single" w:sz="8" w:color="0000E1"/>
            </w:tcBorders>
            <w:gridSpan w:val="4"/>
          </w:tcPr>
          <w:p>
            <w:pPr>
              <w:jc w:val="right"/>
              <w:spacing w:after="0"/>
              <w:rPr>
                <w:sz w:val="20"/>
                <w:szCs w:val="20"/>
                <w:color w:val="auto"/>
              </w:rPr>
            </w:pPr>
            <w:r>
              <w:rPr>
                <w:rFonts w:ascii="Arial" w:cs="Arial" w:eastAsia="Arial" w:hAnsi="Arial"/>
                <w:sz w:val="18"/>
                <w:szCs w:val="18"/>
                <w:color w:val="0000E1"/>
                <w:w w:val="86"/>
              </w:rPr>
              <w:t>120</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8.23</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Holdings</w:t>
            </w:r>
          </w:p>
        </w:tc>
        <w:tc>
          <w:tcPr>
            <w:tcW w:w="260" w:type="dxa"/>
            <w:vAlign w:val="bottom"/>
          </w:tcPr>
          <w:p>
            <w:pPr>
              <w:spacing w:after="0"/>
              <w:rPr>
                <w:sz w:val="20"/>
                <w:szCs w:val="20"/>
                <w:color w:val="auto"/>
              </w:rPr>
            </w:pPr>
            <w:r>
              <w:rPr>
                <w:rFonts w:ascii="Arial" w:cs="Arial" w:eastAsia="Arial" w:hAnsi="Arial"/>
                <w:sz w:val="18"/>
                <w:szCs w:val="18"/>
                <w:color w:val="FF0000"/>
                <w:strike w:val="1"/>
                <w:w w:val="79"/>
              </w:rPr>
              <w:t>114</w:t>
            </w:r>
          </w:p>
        </w:tc>
        <w:tc>
          <w:tcPr>
            <w:tcW w:w="280" w:type="dxa"/>
            <w:vAlign w:val="bottom"/>
            <w:tcBorders>
              <w:bottom w:val="single" w:sz="8" w:color="0000E1"/>
            </w:tcBorders>
            <w:gridSpan w:val="4"/>
          </w:tcPr>
          <w:p>
            <w:pPr>
              <w:jc w:val="right"/>
              <w:spacing w:after="0"/>
              <w:rPr>
                <w:sz w:val="20"/>
                <w:szCs w:val="20"/>
                <w:color w:val="auto"/>
              </w:rPr>
            </w:pPr>
            <w:r>
              <w:rPr>
                <w:rFonts w:ascii="Arial" w:cs="Arial" w:eastAsia="Arial" w:hAnsi="Arial"/>
                <w:sz w:val="18"/>
                <w:szCs w:val="18"/>
                <w:color w:val="0000E1"/>
                <w:w w:val="86"/>
              </w:rPr>
              <w:t>120</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8.24</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Anti-Corruption Laws</w:t>
            </w:r>
          </w:p>
        </w:tc>
        <w:tc>
          <w:tcPr>
            <w:tcW w:w="260" w:type="dxa"/>
            <w:vAlign w:val="bottom"/>
          </w:tcPr>
          <w:p>
            <w:pPr>
              <w:spacing w:after="0"/>
              <w:rPr>
                <w:sz w:val="20"/>
                <w:szCs w:val="20"/>
                <w:color w:val="auto"/>
              </w:rPr>
            </w:pPr>
            <w:r>
              <w:rPr>
                <w:rFonts w:ascii="Arial" w:cs="Arial" w:eastAsia="Arial" w:hAnsi="Arial"/>
                <w:sz w:val="18"/>
                <w:szCs w:val="18"/>
                <w:color w:val="FF0000"/>
                <w:strike w:val="1"/>
                <w:w w:val="79"/>
              </w:rPr>
              <w:t>115</w:t>
            </w:r>
          </w:p>
        </w:tc>
        <w:tc>
          <w:tcPr>
            <w:tcW w:w="280" w:type="dxa"/>
            <w:vAlign w:val="bottom"/>
            <w:tcBorders>
              <w:bottom w:val="single" w:sz="8" w:color="0000E1"/>
            </w:tcBorders>
            <w:gridSpan w:val="4"/>
          </w:tcPr>
          <w:p>
            <w:pPr>
              <w:jc w:val="right"/>
              <w:spacing w:after="0"/>
              <w:rPr>
                <w:sz w:val="20"/>
                <w:szCs w:val="20"/>
                <w:color w:val="auto"/>
              </w:rPr>
            </w:pPr>
            <w:r>
              <w:rPr>
                <w:rFonts w:ascii="Arial" w:cs="Arial" w:eastAsia="Arial" w:hAnsi="Arial"/>
                <w:sz w:val="18"/>
                <w:szCs w:val="18"/>
                <w:color w:val="0000E1"/>
                <w:w w:val="86"/>
              </w:rPr>
              <w:t>121</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80" w:type="dxa"/>
            <w:vAlign w:val="bottom"/>
            <w:gridSpan w:val="2"/>
          </w:tcPr>
          <w:p>
            <w:pPr>
              <w:spacing w:after="0"/>
              <w:rPr>
                <w:sz w:val="20"/>
                <w:szCs w:val="20"/>
                <w:color w:val="auto"/>
              </w:rPr>
            </w:pPr>
            <w:r>
              <w:rPr>
                <w:rFonts w:ascii="Arial" w:cs="Arial" w:eastAsia="Arial" w:hAnsi="Arial"/>
                <w:sz w:val="18"/>
                <w:szCs w:val="18"/>
                <w:color w:val="auto"/>
              </w:rPr>
              <w:t>SECTION 9.  Events of Default and Remedies</w:t>
            </w:r>
          </w:p>
        </w:tc>
        <w:tc>
          <w:tcPr>
            <w:tcW w:w="260" w:type="dxa"/>
            <w:vAlign w:val="bottom"/>
          </w:tcPr>
          <w:p>
            <w:pPr>
              <w:spacing w:after="0"/>
              <w:rPr>
                <w:sz w:val="20"/>
                <w:szCs w:val="20"/>
                <w:color w:val="auto"/>
              </w:rPr>
            </w:pPr>
            <w:r>
              <w:rPr>
                <w:rFonts w:ascii="Arial" w:cs="Arial" w:eastAsia="Arial" w:hAnsi="Arial"/>
                <w:sz w:val="18"/>
                <w:szCs w:val="18"/>
                <w:color w:val="FF0000"/>
                <w:strike w:val="1"/>
                <w:w w:val="79"/>
              </w:rPr>
              <w:t>115</w:t>
            </w:r>
          </w:p>
        </w:tc>
        <w:tc>
          <w:tcPr>
            <w:tcW w:w="280" w:type="dxa"/>
            <w:vAlign w:val="bottom"/>
            <w:tcBorders>
              <w:bottom w:val="single" w:sz="8" w:color="0000E1"/>
            </w:tcBorders>
            <w:gridSpan w:val="4"/>
          </w:tcPr>
          <w:p>
            <w:pPr>
              <w:jc w:val="right"/>
              <w:spacing w:after="0"/>
              <w:rPr>
                <w:sz w:val="20"/>
                <w:szCs w:val="20"/>
                <w:color w:val="auto"/>
              </w:rPr>
            </w:pPr>
            <w:r>
              <w:rPr>
                <w:rFonts w:ascii="Arial" w:cs="Arial" w:eastAsia="Arial" w:hAnsi="Arial"/>
                <w:sz w:val="18"/>
                <w:szCs w:val="18"/>
                <w:color w:val="0000E1"/>
                <w:w w:val="86"/>
              </w:rPr>
              <w:t>121</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Events of Default</w:t>
            </w:r>
          </w:p>
        </w:tc>
        <w:tc>
          <w:tcPr>
            <w:tcW w:w="260" w:type="dxa"/>
            <w:vAlign w:val="bottom"/>
          </w:tcPr>
          <w:p>
            <w:pPr>
              <w:spacing w:after="0"/>
              <w:rPr>
                <w:sz w:val="20"/>
                <w:szCs w:val="20"/>
                <w:color w:val="auto"/>
              </w:rPr>
            </w:pPr>
            <w:r>
              <w:rPr>
                <w:rFonts w:ascii="Arial" w:cs="Arial" w:eastAsia="Arial" w:hAnsi="Arial"/>
                <w:sz w:val="18"/>
                <w:szCs w:val="18"/>
                <w:color w:val="FF0000"/>
                <w:strike w:val="1"/>
                <w:w w:val="79"/>
              </w:rPr>
              <w:t>115</w:t>
            </w:r>
          </w:p>
        </w:tc>
        <w:tc>
          <w:tcPr>
            <w:tcW w:w="280" w:type="dxa"/>
            <w:vAlign w:val="bottom"/>
            <w:tcBorders>
              <w:bottom w:val="single" w:sz="8" w:color="0000E1"/>
            </w:tcBorders>
            <w:gridSpan w:val="4"/>
          </w:tcPr>
          <w:p>
            <w:pPr>
              <w:jc w:val="right"/>
              <w:spacing w:after="0"/>
              <w:rPr>
                <w:sz w:val="20"/>
                <w:szCs w:val="20"/>
                <w:color w:val="auto"/>
              </w:rPr>
            </w:pPr>
            <w:r>
              <w:rPr>
                <w:rFonts w:ascii="Arial" w:cs="Arial" w:eastAsia="Arial" w:hAnsi="Arial"/>
                <w:sz w:val="18"/>
                <w:szCs w:val="18"/>
                <w:color w:val="0000E1"/>
                <w:w w:val="86"/>
              </w:rPr>
              <w:t>121</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Non-Bankruptcy Defaults</w:t>
            </w:r>
          </w:p>
        </w:tc>
        <w:tc>
          <w:tcPr>
            <w:tcW w:w="260" w:type="dxa"/>
            <w:vAlign w:val="bottom"/>
          </w:tcPr>
          <w:p>
            <w:pPr>
              <w:spacing w:after="0"/>
              <w:rPr>
                <w:sz w:val="20"/>
                <w:szCs w:val="20"/>
                <w:color w:val="auto"/>
              </w:rPr>
            </w:pPr>
            <w:r>
              <w:rPr>
                <w:rFonts w:ascii="Arial" w:cs="Arial" w:eastAsia="Arial" w:hAnsi="Arial"/>
                <w:sz w:val="18"/>
                <w:szCs w:val="18"/>
                <w:color w:val="FF0000"/>
                <w:strike w:val="1"/>
                <w:w w:val="79"/>
              </w:rPr>
              <w:t>117</w:t>
            </w:r>
          </w:p>
        </w:tc>
        <w:tc>
          <w:tcPr>
            <w:tcW w:w="280" w:type="dxa"/>
            <w:vAlign w:val="bottom"/>
            <w:tcBorders>
              <w:bottom w:val="single" w:sz="8" w:color="0000E1"/>
            </w:tcBorders>
            <w:gridSpan w:val="4"/>
          </w:tcPr>
          <w:p>
            <w:pPr>
              <w:jc w:val="right"/>
              <w:spacing w:after="0"/>
              <w:rPr>
                <w:sz w:val="20"/>
                <w:szCs w:val="20"/>
                <w:color w:val="auto"/>
              </w:rPr>
            </w:pPr>
            <w:r>
              <w:rPr>
                <w:rFonts w:ascii="Arial" w:cs="Arial" w:eastAsia="Arial" w:hAnsi="Arial"/>
                <w:sz w:val="18"/>
                <w:szCs w:val="18"/>
                <w:color w:val="0000E1"/>
                <w:w w:val="86"/>
              </w:rPr>
              <w:t>123</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Bankruptcy Defaults</w:t>
            </w:r>
          </w:p>
        </w:tc>
        <w:tc>
          <w:tcPr>
            <w:tcW w:w="260" w:type="dxa"/>
            <w:vAlign w:val="bottom"/>
          </w:tcPr>
          <w:p>
            <w:pPr>
              <w:spacing w:after="0"/>
              <w:rPr>
                <w:sz w:val="20"/>
                <w:szCs w:val="20"/>
                <w:color w:val="auto"/>
              </w:rPr>
            </w:pPr>
            <w:r>
              <w:rPr>
                <w:rFonts w:ascii="Arial" w:cs="Arial" w:eastAsia="Arial" w:hAnsi="Arial"/>
                <w:sz w:val="18"/>
                <w:szCs w:val="18"/>
                <w:color w:val="FF0000"/>
                <w:strike w:val="1"/>
                <w:w w:val="79"/>
              </w:rPr>
              <w:t>117</w:t>
            </w:r>
          </w:p>
        </w:tc>
        <w:tc>
          <w:tcPr>
            <w:tcW w:w="280" w:type="dxa"/>
            <w:vAlign w:val="bottom"/>
            <w:tcBorders>
              <w:bottom w:val="single" w:sz="8" w:color="0000E1"/>
            </w:tcBorders>
            <w:gridSpan w:val="4"/>
          </w:tcPr>
          <w:p>
            <w:pPr>
              <w:jc w:val="right"/>
              <w:spacing w:after="0"/>
              <w:rPr>
                <w:sz w:val="20"/>
                <w:szCs w:val="20"/>
                <w:color w:val="auto"/>
              </w:rPr>
            </w:pPr>
            <w:r>
              <w:rPr>
                <w:rFonts w:ascii="Arial" w:cs="Arial" w:eastAsia="Arial" w:hAnsi="Arial"/>
                <w:sz w:val="18"/>
                <w:szCs w:val="18"/>
                <w:color w:val="0000E1"/>
                <w:w w:val="86"/>
              </w:rPr>
              <w:t>123</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Collateral for Undrawn Letters of Credit</w:t>
            </w:r>
          </w:p>
        </w:tc>
        <w:tc>
          <w:tcPr>
            <w:tcW w:w="260" w:type="dxa"/>
            <w:vAlign w:val="bottom"/>
          </w:tcPr>
          <w:p>
            <w:pPr>
              <w:spacing w:after="0"/>
              <w:rPr>
                <w:sz w:val="20"/>
                <w:szCs w:val="20"/>
                <w:color w:val="auto"/>
              </w:rPr>
            </w:pPr>
            <w:r>
              <w:rPr>
                <w:rFonts w:ascii="Arial" w:cs="Arial" w:eastAsia="Arial" w:hAnsi="Arial"/>
                <w:sz w:val="18"/>
                <w:szCs w:val="18"/>
                <w:color w:val="FF0000"/>
                <w:strike w:val="1"/>
                <w:w w:val="79"/>
              </w:rPr>
              <w:t>118</w:t>
            </w:r>
          </w:p>
        </w:tc>
        <w:tc>
          <w:tcPr>
            <w:tcW w:w="280" w:type="dxa"/>
            <w:vAlign w:val="bottom"/>
            <w:tcBorders>
              <w:bottom w:val="single" w:sz="8" w:color="0000E1"/>
            </w:tcBorders>
            <w:gridSpan w:val="4"/>
          </w:tcPr>
          <w:p>
            <w:pPr>
              <w:jc w:val="right"/>
              <w:spacing w:after="0"/>
              <w:rPr>
                <w:sz w:val="20"/>
                <w:szCs w:val="20"/>
                <w:color w:val="auto"/>
              </w:rPr>
            </w:pPr>
            <w:r>
              <w:rPr>
                <w:rFonts w:ascii="Arial" w:cs="Arial" w:eastAsia="Arial" w:hAnsi="Arial"/>
                <w:sz w:val="18"/>
                <w:szCs w:val="18"/>
                <w:color w:val="0000E1"/>
                <w:w w:val="86"/>
              </w:rPr>
              <w:t>123</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Notice of Default</w:t>
            </w:r>
          </w:p>
        </w:tc>
        <w:tc>
          <w:tcPr>
            <w:tcW w:w="260" w:type="dxa"/>
            <w:vAlign w:val="bottom"/>
          </w:tcPr>
          <w:p>
            <w:pPr>
              <w:spacing w:after="0"/>
              <w:rPr>
                <w:sz w:val="20"/>
                <w:szCs w:val="20"/>
                <w:color w:val="auto"/>
              </w:rPr>
            </w:pPr>
            <w:r>
              <w:rPr>
                <w:rFonts w:ascii="Arial" w:cs="Arial" w:eastAsia="Arial" w:hAnsi="Arial"/>
                <w:sz w:val="18"/>
                <w:szCs w:val="18"/>
                <w:color w:val="FF0000"/>
                <w:strike w:val="1"/>
                <w:w w:val="79"/>
              </w:rPr>
              <w:t>118</w:t>
            </w:r>
          </w:p>
        </w:tc>
        <w:tc>
          <w:tcPr>
            <w:tcW w:w="280" w:type="dxa"/>
            <w:vAlign w:val="bottom"/>
            <w:tcBorders>
              <w:bottom w:val="single" w:sz="8" w:color="0000E1"/>
            </w:tcBorders>
            <w:gridSpan w:val="4"/>
          </w:tcPr>
          <w:p>
            <w:pPr>
              <w:jc w:val="right"/>
              <w:spacing w:after="0"/>
              <w:rPr>
                <w:sz w:val="20"/>
                <w:szCs w:val="20"/>
                <w:color w:val="auto"/>
              </w:rPr>
            </w:pPr>
            <w:r>
              <w:rPr>
                <w:rFonts w:ascii="Arial" w:cs="Arial" w:eastAsia="Arial" w:hAnsi="Arial"/>
                <w:sz w:val="18"/>
                <w:szCs w:val="18"/>
                <w:color w:val="0000E1"/>
                <w:w w:val="86"/>
              </w:rPr>
              <w:t>124</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80" w:type="dxa"/>
            <w:vAlign w:val="bottom"/>
            <w:gridSpan w:val="2"/>
          </w:tcPr>
          <w:p>
            <w:pPr>
              <w:spacing w:after="0"/>
              <w:rPr>
                <w:sz w:val="20"/>
                <w:szCs w:val="20"/>
                <w:color w:val="auto"/>
              </w:rPr>
            </w:pPr>
            <w:r>
              <w:rPr>
                <w:rFonts w:ascii="Arial" w:cs="Arial" w:eastAsia="Arial" w:hAnsi="Arial"/>
                <w:sz w:val="18"/>
                <w:szCs w:val="18"/>
                <w:color w:val="auto"/>
              </w:rPr>
              <w:t>SECTION 10.  Change in Circumstances</w:t>
            </w:r>
          </w:p>
        </w:tc>
        <w:tc>
          <w:tcPr>
            <w:tcW w:w="260" w:type="dxa"/>
            <w:vAlign w:val="bottom"/>
          </w:tcPr>
          <w:p>
            <w:pPr>
              <w:spacing w:after="0"/>
              <w:rPr>
                <w:sz w:val="20"/>
                <w:szCs w:val="20"/>
                <w:color w:val="auto"/>
              </w:rPr>
            </w:pPr>
            <w:r>
              <w:rPr>
                <w:rFonts w:ascii="Arial" w:cs="Arial" w:eastAsia="Arial" w:hAnsi="Arial"/>
                <w:sz w:val="18"/>
                <w:szCs w:val="18"/>
                <w:color w:val="FF0000"/>
                <w:strike w:val="1"/>
                <w:w w:val="79"/>
              </w:rPr>
              <w:t>118</w:t>
            </w:r>
          </w:p>
        </w:tc>
        <w:tc>
          <w:tcPr>
            <w:tcW w:w="280" w:type="dxa"/>
            <w:vAlign w:val="bottom"/>
            <w:tcBorders>
              <w:bottom w:val="single" w:sz="8" w:color="0000E1"/>
            </w:tcBorders>
            <w:gridSpan w:val="4"/>
          </w:tcPr>
          <w:p>
            <w:pPr>
              <w:jc w:val="right"/>
              <w:spacing w:after="0"/>
              <w:rPr>
                <w:sz w:val="20"/>
                <w:szCs w:val="20"/>
                <w:color w:val="auto"/>
              </w:rPr>
            </w:pPr>
            <w:r>
              <w:rPr>
                <w:rFonts w:ascii="Arial" w:cs="Arial" w:eastAsia="Arial" w:hAnsi="Arial"/>
                <w:sz w:val="18"/>
                <w:szCs w:val="18"/>
                <w:color w:val="0000E1"/>
                <w:w w:val="86"/>
              </w:rPr>
              <w:t>124</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8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Change in Law</w:t>
            </w:r>
          </w:p>
        </w:tc>
        <w:tc>
          <w:tcPr>
            <w:tcW w:w="260" w:type="dxa"/>
            <w:vAlign w:val="bottom"/>
          </w:tcPr>
          <w:p>
            <w:pPr>
              <w:spacing w:after="0"/>
              <w:rPr>
                <w:sz w:val="20"/>
                <w:szCs w:val="20"/>
                <w:color w:val="auto"/>
              </w:rPr>
            </w:pPr>
            <w:r>
              <w:rPr>
                <w:rFonts w:ascii="Arial" w:cs="Arial" w:eastAsia="Arial" w:hAnsi="Arial"/>
                <w:sz w:val="18"/>
                <w:szCs w:val="18"/>
                <w:color w:val="FF0000"/>
                <w:strike w:val="1"/>
                <w:w w:val="79"/>
              </w:rPr>
              <w:t>118</w:t>
            </w:r>
          </w:p>
        </w:tc>
        <w:tc>
          <w:tcPr>
            <w:tcW w:w="280" w:type="dxa"/>
            <w:vAlign w:val="bottom"/>
            <w:tcBorders>
              <w:bottom w:val="single" w:sz="8" w:color="0000E1"/>
            </w:tcBorders>
            <w:gridSpan w:val="4"/>
          </w:tcPr>
          <w:p>
            <w:pPr>
              <w:jc w:val="right"/>
              <w:spacing w:after="0"/>
              <w:rPr>
                <w:sz w:val="20"/>
                <w:szCs w:val="20"/>
                <w:color w:val="auto"/>
              </w:rPr>
            </w:pPr>
            <w:r>
              <w:rPr>
                <w:rFonts w:ascii="Arial" w:cs="Arial" w:eastAsia="Arial" w:hAnsi="Arial"/>
                <w:sz w:val="18"/>
                <w:szCs w:val="18"/>
                <w:color w:val="0000E1"/>
                <w:w w:val="86"/>
              </w:rPr>
              <w:t>124</w:t>
            </w:r>
          </w:p>
        </w:tc>
        <w:tc>
          <w:tcPr>
            <w:tcW w:w="0" w:type="dxa"/>
            <w:vAlign w:val="bottom"/>
          </w:tcPr>
          <w:p>
            <w:pPr>
              <w:spacing w:after="0"/>
              <w:rPr>
                <w:sz w:val="1"/>
                <w:szCs w:val="1"/>
                <w:color w:val="auto"/>
              </w:rPr>
            </w:pPr>
          </w:p>
        </w:tc>
      </w:tr>
      <w:tr>
        <w:trPr>
          <w:trHeight w:val="34"/>
        </w:trPr>
        <w:tc>
          <w:tcPr>
            <w:tcW w:w="1880" w:type="dxa"/>
            <w:vAlign w:val="bottom"/>
          </w:tcPr>
          <w:p>
            <w:pPr>
              <w:spacing w:after="0"/>
              <w:rPr>
                <w:sz w:val="2"/>
                <w:szCs w:val="2"/>
                <w:color w:val="auto"/>
              </w:rPr>
            </w:pPr>
          </w:p>
        </w:tc>
        <w:tc>
          <w:tcPr>
            <w:tcW w:w="8600" w:type="dxa"/>
            <w:vAlign w:val="bottom"/>
            <w:vMerge w:val="restart"/>
          </w:tcPr>
          <w:p>
            <w:pPr>
              <w:ind w:left="3540"/>
              <w:spacing w:after="0"/>
              <w:rPr>
                <w:sz w:val="20"/>
                <w:szCs w:val="20"/>
                <w:color w:val="auto"/>
              </w:rPr>
            </w:pPr>
            <w:r>
              <w:rPr>
                <w:rFonts w:ascii="Arial" w:cs="Arial" w:eastAsia="Arial" w:hAnsi="Arial"/>
                <w:sz w:val="18"/>
                <w:szCs w:val="18"/>
                <w:color w:val="auto"/>
              </w:rPr>
              <w:t>iii</w:t>
            </w:r>
          </w:p>
        </w:tc>
        <w:tc>
          <w:tcPr>
            <w:tcW w:w="260" w:type="dxa"/>
            <w:vAlign w:val="bottom"/>
          </w:tcPr>
          <w:p>
            <w:pPr>
              <w:spacing w:after="0"/>
              <w:rPr>
                <w:sz w:val="2"/>
                <w:szCs w:val="2"/>
                <w:color w:val="auto"/>
              </w:rPr>
            </w:pPr>
          </w:p>
        </w:tc>
        <w:tc>
          <w:tcPr>
            <w:tcW w:w="2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880" w:type="dxa"/>
            <w:vAlign w:val="bottom"/>
          </w:tcPr>
          <w:p>
            <w:pPr>
              <w:spacing w:after="0"/>
              <w:rPr>
                <w:sz w:val="24"/>
                <w:szCs w:val="24"/>
                <w:color w:val="auto"/>
              </w:rPr>
            </w:pPr>
          </w:p>
        </w:tc>
        <w:tc>
          <w:tcPr>
            <w:tcW w:w="8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-4533900</wp:posOffset>
            </wp:positionV>
            <wp:extent cx="34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-4533900</wp:posOffset>
            </wp:positionV>
            <wp:extent cx="342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020"/>
          </w:cols>
          <w:pgMar w:left="440" w:top="257" w:right="4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10.2</w:t>
            </w:r>
          </w:p>
        </w:tc>
        <w:tc>
          <w:tcPr>
            <w:tcW w:w="2700" w:type="dxa"/>
            <w:vAlign w:val="bottom"/>
            <w:gridSpan w:val="6"/>
          </w:tcPr>
          <w:p>
            <w:pPr>
              <w:ind w:left="560"/>
              <w:spacing w:after="0"/>
              <w:rPr>
                <w:sz w:val="20"/>
                <w:szCs w:val="20"/>
                <w:color w:val="auto"/>
              </w:rPr>
            </w:pPr>
            <w:r>
              <w:rPr>
                <w:rFonts w:ascii="Arial" w:cs="Arial" w:eastAsia="Arial" w:hAnsi="Arial"/>
                <w:sz w:val="18"/>
                <w:szCs w:val="18"/>
                <w:i w:val="1"/>
                <w:iCs w:val="1"/>
                <w:color w:val="FF0000"/>
                <w:strike w:val="1"/>
                <w:w w:val="95"/>
              </w:rPr>
              <w:t>Unavailability of Deposits or</w:t>
            </w:r>
          </w:p>
        </w:tc>
        <w:tc>
          <w:tcPr>
            <w:tcW w:w="84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w w:val="96"/>
              </w:rPr>
              <w:t>Inability to</w:t>
            </w:r>
          </w:p>
        </w:tc>
        <w:tc>
          <w:tcPr>
            <w:tcW w:w="2900" w:type="dxa"/>
            <w:vAlign w:val="bottom"/>
          </w:tcPr>
          <w:p>
            <w:pPr>
              <w:jc w:val="right"/>
              <w:spacing w:after="0"/>
              <w:rPr>
                <w:sz w:val="20"/>
                <w:szCs w:val="20"/>
                <w:color w:val="auto"/>
              </w:rPr>
            </w:pPr>
            <w:r>
              <w:rPr>
                <w:rFonts w:ascii="Arial" w:cs="Arial" w:eastAsia="Arial" w:hAnsi="Arial"/>
                <w:sz w:val="18"/>
                <w:szCs w:val="18"/>
                <w:i w:val="1"/>
                <w:iCs w:val="1"/>
                <w:color w:val="FF0000"/>
                <w:strike w:val="1"/>
                <w:w w:val="92"/>
              </w:rPr>
              <w:t>Ascertain, or Inadequacy of, Eurodollar</w:t>
            </w:r>
          </w:p>
        </w:tc>
        <w:tc>
          <w:tcPr>
            <w:tcW w:w="1200" w:type="dxa"/>
            <w:vAlign w:val="bottom"/>
            <w:gridSpan w:val="4"/>
          </w:tcPr>
          <w:p>
            <w:pPr>
              <w:spacing w:after="0"/>
              <w:rPr>
                <w:sz w:val="20"/>
                <w:szCs w:val="20"/>
                <w:color w:val="auto"/>
              </w:rPr>
            </w:pPr>
            <w:r>
              <w:rPr>
                <w:rFonts w:ascii="Arial" w:cs="Arial" w:eastAsia="Arial" w:hAnsi="Arial"/>
                <w:sz w:val="18"/>
                <w:szCs w:val="18"/>
                <w:i w:val="1"/>
                <w:iCs w:val="1"/>
                <w:color w:val="0000E1"/>
                <w:w w:val="87"/>
              </w:rPr>
              <w:t xml:space="preserve">Determine </w:t>
            </w:r>
            <w:r>
              <w:rPr>
                <w:rFonts w:ascii="Arial" w:cs="Arial" w:eastAsia="Arial" w:hAnsi="Arial"/>
                <w:sz w:val="18"/>
                <w:szCs w:val="18"/>
                <w:i w:val="1"/>
                <w:iCs w:val="1"/>
                <w:color w:val="000000"/>
                <w:w w:val="87"/>
              </w:rPr>
              <w:t>Rate</w:t>
            </w:r>
            <w:r>
              <w:rPr>
                <w:rFonts w:ascii="Arial" w:cs="Arial" w:eastAsia="Arial" w:hAnsi="Arial"/>
                <w:sz w:val="18"/>
                <w:szCs w:val="18"/>
                <w:i w:val="1"/>
                <w:iCs w:val="1"/>
                <w:color w:val="0000E1"/>
                <w:w w:val="87"/>
              </w:rPr>
              <w:t>s</w:t>
            </w:r>
          </w:p>
        </w:tc>
        <w:tc>
          <w:tcPr>
            <w:tcW w:w="1500" w:type="dxa"/>
            <w:vAlign w:val="bottom"/>
          </w:tcPr>
          <w:p>
            <w:pPr>
              <w:jc w:val="right"/>
              <w:ind w:right="1110"/>
              <w:spacing w:after="0"/>
              <w:rPr>
                <w:sz w:val="20"/>
                <w:szCs w:val="20"/>
                <w:color w:val="auto"/>
              </w:rPr>
            </w:pPr>
            <w:r>
              <w:rPr>
                <w:rFonts w:ascii="Arial" w:cs="Arial" w:eastAsia="Arial" w:hAnsi="Arial"/>
                <w:sz w:val="18"/>
                <w:szCs w:val="18"/>
                <w:color w:val="FF0000"/>
                <w:w w:val="93"/>
              </w:rPr>
              <w:t>119</w:t>
            </w:r>
          </w:p>
        </w:tc>
        <w:tc>
          <w:tcPr>
            <w:tcW w:w="540" w:type="dxa"/>
            <w:vAlign w:val="bottom"/>
            <w:gridSpan w:val="4"/>
          </w:tcPr>
          <w:p>
            <w:pPr>
              <w:jc w:val="right"/>
              <w:spacing w:after="0"/>
              <w:rPr>
                <w:sz w:val="20"/>
                <w:szCs w:val="20"/>
                <w:color w:val="auto"/>
              </w:rPr>
            </w:pPr>
            <w:r>
              <w:rPr>
                <w:rFonts w:ascii="Arial" w:cs="Arial" w:eastAsia="Arial" w:hAnsi="Arial"/>
                <w:sz w:val="18"/>
                <w:szCs w:val="18"/>
                <w:color w:val="0000E1"/>
              </w:rPr>
              <w:t>125</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Borders>
              <w:top w:val="single" w:sz="8" w:color="0000E1"/>
              <w:bottom w:val="single" w:sz="8" w:color="0000E1"/>
            </w:tcBorders>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0000E1"/>
              <w:bottom w:val="single" w:sz="8" w:color="0000E1"/>
            </w:tcBorders>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top w:val="single" w:sz="8" w:color="0000E1"/>
              <w:bottom w:val="single" w:sz="8" w:color="0000E1"/>
            </w:tcBorders>
          </w:tcPr>
          <w:p>
            <w:pPr>
              <w:spacing w:after="0"/>
              <w:rPr>
                <w:sz w:val="2"/>
                <w:szCs w:val="2"/>
                <w:color w:val="auto"/>
              </w:rPr>
            </w:pPr>
          </w:p>
        </w:tc>
        <w:tc>
          <w:tcPr>
            <w:tcW w:w="80" w:type="dxa"/>
            <w:vAlign w:val="bottom"/>
            <w:tcBorders>
              <w:top w:val="single" w:sz="8" w:color="0000E1"/>
              <w:bottom w:val="single" w:sz="8" w:color="0000E1"/>
            </w:tcBorders>
          </w:tcPr>
          <w:p>
            <w:pPr>
              <w:spacing w:after="0"/>
              <w:rPr>
                <w:sz w:val="2"/>
                <w:szCs w:val="2"/>
                <w:color w:val="auto"/>
              </w:rPr>
            </w:pPr>
          </w:p>
        </w:tc>
        <w:tc>
          <w:tcPr>
            <w:tcW w:w="100" w:type="dxa"/>
            <w:vAlign w:val="bottom"/>
            <w:tcBorders>
              <w:top w:val="single" w:sz="8" w:color="0000E1"/>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10.3</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Increased Cost and Reduced Return</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119</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127</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10.4</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Lending Offices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1</w:t>
            </w:r>
          </w:p>
        </w:tc>
        <w:tc>
          <w:tcPr>
            <w:tcW w:w="10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8</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10.5</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Discretion of Lender as to Manner of Funding</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1</w:t>
            </w:r>
          </w:p>
        </w:tc>
        <w:tc>
          <w:tcPr>
            <w:tcW w:w="10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10.6</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Mitigation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1</w:t>
            </w:r>
          </w:p>
        </w:tc>
        <w:tc>
          <w:tcPr>
            <w:tcW w:w="10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480" w:type="dxa"/>
            <w:vAlign w:val="bottom"/>
            <w:gridSpan w:val="19"/>
          </w:tcPr>
          <w:p>
            <w:pPr>
              <w:spacing w:after="0"/>
              <w:rPr>
                <w:sz w:val="20"/>
                <w:szCs w:val="20"/>
                <w:color w:val="auto"/>
              </w:rPr>
            </w:pPr>
            <w:r>
              <w:rPr>
                <w:rFonts w:ascii="Arial" w:cs="Arial" w:eastAsia="Arial" w:hAnsi="Arial"/>
                <w:sz w:val="18"/>
                <w:szCs w:val="18"/>
                <w:color w:val="auto"/>
              </w:rPr>
              <w:t>SECTION 11.  The Administrative Agent and the Collateral Agent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1</w:t>
            </w:r>
          </w:p>
        </w:tc>
        <w:tc>
          <w:tcPr>
            <w:tcW w:w="10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11.1</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Appointment and Authorization of Administrative Agent and Collateral Agent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1</w:t>
            </w:r>
          </w:p>
        </w:tc>
        <w:tc>
          <w:tcPr>
            <w:tcW w:w="10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11.2</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Administrative Agent in its Individual Capacity</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123</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131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11.3</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Exculpatory Provisions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123</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131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11.4</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Reliance by Agent</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124</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132</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11.5</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Delegation of Duties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124</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132</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11.6</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Successor Agent</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125</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132</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11.7</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Non-Reliance on Agent</w:t>
            </w:r>
            <w:r>
              <w:rPr>
                <w:rFonts w:ascii="Arial" w:cs="Arial" w:eastAsia="Arial" w:hAnsi="Arial"/>
                <w:sz w:val="18"/>
                <w:szCs w:val="18"/>
                <w:i w:val="1"/>
                <w:iCs w:val="1"/>
                <w:color w:val="0000E1"/>
              </w:rPr>
              <w:t>, the Arrangers</w:t>
            </w:r>
            <w:r>
              <w:rPr>
                <w:rFonts w:ascii="Arial" w:cs="Arial" w:eastAsia="Arial" w:hAnsi="Arial"/>
                <w:sz w:val="18"/>
                <w:szCs w:val="18"/>
                <w:i w:val="1"/>
                <w:iCs w:val="1"/>
                <w:color w:val="auto"/>
              </w:rPr>
              <w:t xml:space="preserve"> and Other Lenders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126</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1"/>
                <w:w w:val="86"/>
              </w:rPr>
              <w:t>134</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top w:val="single" w:sz="8" w:color="0000E1"/>
              <w:bottom w:val="single" w:sz="8" w:color="0000E1"/>
            </w:tcBorders>
          </w:tcPr>
          <w:p>
            <w:pPr>
              <w:spacing w:after="0"/>
              <w:rPr>
                <w:sz w:val="2"/>
                <w:szCs w:val="2"/>
                <w:color w:val="auto"/>
              </w:rPr>
            </w:pPr>
          </w:p>
        </w:tc>
        <w:tc>
          <w:tcPr>
            <w:tcW w:w="440" w:type="dxa"/>
            <w:vAlign w:val="bottom"/>
            <w:tcBorders>
              <w:top w:val="single" w:sz="8" w:color="0000E1"/>
              <w:bottom w:val="single" w:sz="8" w:color="0000E1"/>
            </w:tcBorders>
          </w:tcPr>
          <w:p>
            <w:pPr>
              <w:spacing w:after="0"/>
              <w:rPr>
                <w:sz w:val="2"/>
                <w:szCs w:val="2"/>
                <w:color w:val="auto"/>
              </w:rPr>
            </w:pPr>
          </w:p>
        </w:tc>
        <w:tc>
          <w:tcPr>
            <w:tcW w:w="620" w:type="dxa"/>
            <w:vAlign w:val="bottom"/>
            <w:tcBorders>
              <w:top w:val="single" w:sz="8" w:color="0000E1"/>
              <w:bottom w:val="single" w:sz="8" w:color="0000E1"/>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top w:val="single" w:sz="8" w:color="0000E1"/>
              <w:bottom w:val="single" w:sz="8" w:color="0000E1"/>
            </w:tcBorders>
          </w:tcPr>
          <w:p>
            <w:pPr>
              <w:spacing w:after="0"/>
              <w:rPr>
                <w:sz w:val="2"/>
                <w:szCs w:val="2"/>
                <w:color w:val="auto"/>
              </w:rPr>
            </w:pPr>
          </w:p>
        </w:tc>
        <w:tc>
          <w:tcPr>
            <w:tcW w:w="80" w:type="dxa"/>
            <w:vAlign w:val="bottom"/>
            <w:tcBorders>
              <w:top w:val="single" w:sz="8" w:color="0000E1"/>
              <w:bottom w:val="single" w:sz="8" w:color="0000E1"/>
            </w:tcBorders>
          </w:tcPr>
          <w:p>
            <w:pPr>
              <w:spacing w:after="0"/>
              <w:rPr>
                <w:sz w:val="2"/>
                <w:szCs w:val="2"/>
                <w:color w:val="auto"/>
              </w:rPr>
            </w:pPr>
          </w:p>
        </w:tc>
        <w:tc>
          <w:tcPr>
            <w:tcW w:w="100" w:type="dxa"/>
            <w:vAlign w:val="bottom"/>
            <w:tcBorders>
              <w:top w:val="single" w:sz="8" w:color="0000E1"/>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11.8</w:t>
            </w:r>
          </w:p>
        </w:tc>
        <w:tc>
          <w:tcPr>
            <w:tcW w:w="1500" w:type="dxa"/>
            <w:vAlign w:val="bottom"/>
            <w:gridSpan w:val="2"/>
          </w:tcPr>
          <w:p>
            <w:pPr>
              <w:ind w:left="560"/>
              <w:spacing w:after="0"/>
              <w:rPr>
                <w:sz w:val="20"/>
                <w:szCs w:val="20"/>
                <w:color w:val="auto"/>
              </w:rPr>
            </w:pPr>
            <w:r>
              <w:rPr>
                <w:rFonts w:ascii="Arial" w:cs="Arial" w:eastAsia="Arial" w:hAnsi="Arial"/>
                <w:sz w:val="18"/>
                <w:szCs w:val="18"/>
                <w:i w:val="1"/>
                <w:iCs w:val="1"/>
                <w:color w:val="auto"/>
                <w:w w:val="84"/>
              </w:rPr>
              <w:t>Name Agents</w:t>
            </w:r>
          </w:p>
        </w:tc>
        <w:tc>
          <w:tcPr>
            <w:tcW w:w="320" w:type="dxa"/>
            <w:vAlign w:val="bottom"/>
          </w:tcPr>
          <w:p>
            <w:pPr>
              <w:jc w:val="right"/>
              <w:spacing w:after="0"/>
              <w:rPr>
                <w:sz w:val="20"/>
                <w:szCs w:val="20"/>
                <w:color w:val="auto"/>
              </w:rPr>
            </w:pPr>
            <w:r>
              <w:rPr>
                <w:rFonts w:ascii="Arial" w:cs="Arial" w:eastAsia="Arial" w:hAnsi="Arial"/>
                <w:sz w:val="18"/>
                <w:szCs w:val="18"/>
                <w:color w:val="FF0000"/>
                <w:w w:val="99"/>
              </w:rPr>
              <w:t>126</w:t>
            </w:r>
          </w:p>
        </w:tc>
        <w:tc>
          <w:tcPr>
            <w:tcW w:w="7320" w:type="dxa"/>
            <w:vAlign w:val="bottom"/>
            <w:gridSpan w:val="13"/>
          </w:tcPr>
          <w:p>
            <w:pPr>
              <w:jc w:val="right"/>
              <w:ind w:right="5550"/>
              <w:spacing w:after="0"/>
              <w:rPr>
                <w:sz w:val="20"/>
                <w:szCs w:val="20"/>
                <w:color w:val="auto"/>
              </w:rPr>
            </w:pPr>
            <w:r>
              <w:rPr>
                <w:rFonts w:ascii="Arial" w:cs="Arial" w:eastAsia="Arial" w:hAnsi="Arial"/>
                <w:sz w:val="18"/>
                <w:szCs w:val="18"/>
                <w:i w:val="1"/>
                <w:iCs w:val="1"/>
                <w:color w:val="0000E1"/>
                <w:w w:val="92"/>
              </w:rPr>
              <w:t>; No Other Duties, Etc.</w:t>
            </w:r>
          </w:p>
        </w:tc>
        <w:tc>
          <w:tcPr>
            <w:tcW w:w="540" w:type="dxa"/>
            <w:vAlign w:val="bottom"/>
            <w:gridSpan w:val="4"/>
          </w:tcPr>
          <w:p>
            <w:pPr>
              <w:jc w:val="right"/>
              <w:spacing w:after="0"/>
              <w:rPr>
                <w:sz w:val="20"/>
                <w:szCs w:val="20"/>
                <w:color w:val="auto"/>
              </w:rPr>
            </w:pPr>
            <w:r>
              <w:rPr>
                <w:rFonts w:ascii="Arial" w:cs="Arial" w:eastAsia="Arial" w:hAnsi="Arial"/>
                <w:sz w:val="18"/>
                <w:szCs w:val="18"/>
                <w:color w:val="0000E1"/>
              </w:rPr>
              <w:t>135</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Borders>
              <w:top w:val="single" w:sz="8" w:color="0000E1"/>
              <w:bottom w:val="single" w:sz="8" w:color="0000E1"/>
            </w:tcBorders>
          </w:tcPr>
          <w:p>
            <w:pPr>
              <w:spacing w:after="0"/>
              <w:rPr>
                <w:sz w:val="2"/>
                <w:szCs w:val="2"/>
                <w:color w:val="auto"/>
              </w:rPr>
            </w:pPr>
          </w:p>
        </w:tc>
        <w:tc>
          <w:tcPr>
            <w:tcW w:w="20" w:type="dxa"/>
            <w:vAlign w:val="bottom"/>
            <w:tcBorders>
              <w:top w:val="single" w:sz="8" w:color="0000E1"/>
              <w:bottom w:val="single" w:sz="8" w:color="0000E1"/>
            </w:tcBorders>
          </w:tcPr>
          <w:p>
            <w:pPr>
              <w:spacing w:after="0"/>
              <w:rPr>
                <w:sz w:val="2"/>
                <w:szCs w:val="2"/>
                <w:color w:val="auto"/>
              </w:rPr>
            </w:pPr>
          </w:p>
        </w:tc>
        <w:tc>
          <w:tcPr>
            <w:tcW w:w="440" w:type="dxa"/>
            <w:vAlign w:val="bottom"/>
            <w:tcBorders>
              <w:top w:val="single" w:sz="8" w:color="0000E1"/>
              <w:bottom w:val="single" w:sz="8" w:color="0000E1"/>
            </w:tcBorders>
          </w:tcPr>
          <w:p>
            <w:pPr>
              <w:spacing w:after="0"/>
              <w:rPr>
                <w:sz w:val="2"/>
                <w:szCs w:val="2"/>
                <w:color w:val="auto"/>
              </w:rPr>
            </w:pPr>
          </w:p>
        </w:tc>
        <w:tc>
          <w:tcPr>
            <w:tcW w:w="620" w:type="dxa"/>
            <w:vAlign w:val="bottom"/>
            <w:tcBorders>
              <w:top w:val="single" w:sz="8" w:color="0000E1"/>
              <w:bottom w:val="single" w:sz="8" w:color="0000E1"/>
            </w:tcBorders>
          </w:tcPr>
          <w:p>
            <w:pPr>
              <w:spacing w:after="0"/>
              <w:rPr>
                <w:sz w:val="2"/>
                <w:szCs w:val="2"/>
                <w:color w:val="auto"/>
              </w:rPr>
            </w:pPr>
          </w:p>
        </w:tc>
        <w:tc>
          <w:tcPr>
            <w:tcW w:w="160" w:type="dxa"/>
            <w:vAlign w:val="bottom"/>
            <w:tcBorders>
              <w:top w:val="single" w:sz="8" w:color="0000E1"/>
              <w:bottom w:val="single" w:sz="8" w:color="0000E1"/>
            </w:tcBorders>
          </w:tcPr>
          <w:p>
            <w:pPr>
              <w:spacing w:after="0"/>
              <w:rPr>
                <w:sz w:val="2"/>
                <w:szCs w:val="2"/>
                <w:color w:val="auto"/>
              </w:rPr>
            </w:pPr>
          </w:p>
        </w:tc>
        <w:tc>
          <w:tcPr>
            <w:tcW w:w="20" w:type="dxa"/>
            <w:vAlign w:val="bottom"/>
            <w:tcBorders>
              <w:top w:val="single" w:sz="8" w:color="0000E1"/>
            </w:tcBorders>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top w:val="single" w:sz="8" w:color="0000E1"/>
              <w:bottom w:val="single" w:sz="8" w:color="0000E1"/>
            </w:tcBorders>
          </w:tcPr>
          <w:p>
            <w:pPr>
              <w:spacing w:after="0"/>
              <w:rPr>
                <w:sz w:val="2"/>
                <w:szCs w:val="2"/>
                <w:color w:val="auto"/>
              </w:rPr>
            </w:pPr>
          </w:p>
        </w:tc>
        <w:tc>
          <w:tcPr>
            <w:tcW w:w="80" w:type="dxa"/>
            <w:vAlign w:val="bottom"/>
            <w:tcBorders>
              <w:top w:val="single" w:sz="8" w:color="0000E1"/>
              <w:bottom w:val="single" w:sz="8" w:color="0000E1"/>
            </w:tcBorders>
          </w:tcPr>
          <w:p>
            <w:pPr>
              <w:spacing w:after="0"/>
              <w:rPr>
                <w:sz w:val="2"/>
                <w:szCs w:val="2"/>
                <w:color w:val="auto"/>
              </w:rPr>
            </w:pPr>
          </w:p>
        </w:tc>
        <w:tc>
          <w:tcPr>
            <w:tcW w:w="100" w:type="dxa"/>
            <w:vAlign w:val="bottom"/>
            <w:tcBorders>
              <w:top w:val="single" w:sz="8" w:color="0000E1"/>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11.9</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Withholding Taxes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126</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135</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87"/>
              </w:rPr>
              <w:t>Section 11.10</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Lender’s Representations, Warranties and Acknowledgements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127</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135</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87"/>
              </w:rPr>
              <w:t>Section 11.11</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Collateral Documents and Guaranty</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127</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136</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87"/>
              </w:rPr>
              <w:t>Section 11.12</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Administrative Agent May File Bankruptcy Disclosure and Proofs of Claim</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129</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137</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0000E1"/>
                <w:w w:val="87"/>
              </w:rPr>
              <w:t>Section 11.13</w:t>
            </w:r>
          </w:p>
        </w:tc>
        <w:tc>
          <w:tcPr>
            <w:tcW w:w="9140" w:type="dxa"/>
            <w:vAlign w:val="bottom"/>
            <w:gridSpan w:val="16"/>
          </w:tcPr>
          <w:p>
            <w:pPr>
              <w:ind w:left="560"/>
              <w:spacing w:after="0"/>
              <w:rPr>
                <w:sz w:val="20"/>
                <w:szCs w:val="20"/>
                <w:color w:val="auto"/>
              </w:rPr>
            </w:pPr>
            <w:r>
              <w:rPr>
                <w:rFonts w:ascii="Arial" w:cs="Arial" w:eastAsia="Arial" w:hAnsi="Arial"/>
                <w:sz w:val="18"/>
                <w:szCs w:val="18"/>
                <w:color w:val="0000E1"/>
              </w:rPr>
              <w:t>Certain ERISA Matters</w:t>
            </w:r>
          </w:p>
        </w:tc>
        <w:tc>
          <w:tcPr>
            <w:tcW w:w="540" w:type="dxa"/>
            <w:vAlign w:val="bottom"/>
            <w:gridSpan w:val="4"/>
          </w:tcPr>
          <w:p>
            <w:pPr>
              <w:jc w:val="right"/>
              <w:spacing w:after="0"/>
              <w:rPr>
                <w:sz w:val="20"/>
                <w:szCs w:val="20"/>
                <w:color w:val="auto"/>
              </w:rPr>
            </w:pPr>
            <w:r>
              <w:rPr>
                <w:rFonts w:ascii="Arial" w:cs="Arial" w:eastAsia="Arial" w:hAnsi="Arial"/>
                <w:sz w:val="18"/>
                <w:szCs w:val="18"/>
                <w:color w:val="0000E1"/>
              </w:rPr>
              <w:t>138</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Borders>
              <w:top w:val="single" w:sz="8" w:color="0000E1"/>
              <w:bottom w:val="single" w:sz="8" w:color="0000E1"/>
            </w:tcBorders>
          </w:tcPr>
          <w:p>
            <w:pPr>
              <w:spacing w:after="0"/>
              <w:rPr>
                <w:sz w:val="2"/>
                <w:szCs w:val="2"/>
                <w:color w:val="auto"/>
              </w:rPr>
            </w:pPr>
          </w:p>
        </w:tc>
        <w:tc>
          <w:tcPr>
            <w:tcW w:w="220" w:type="dxa"/>
            <w:vAlign w:val="bottom"/>
            <w:tcBorders>
              <w:top w:val="single" w:sz="8" w:color="0000E1"/>
              <w:bottom w:val="single" w:sz="8" w:color="0000E1"/>
            </w:tcBorders>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Borders>
              <w:top w:val="single" w:sz="8" w:color="0000E1"/>
              <w:bottom w:val="single" w:sz="8" w:color="0000E1"/>
            </w:tcBorders>
          </w:tcPr>
          <w:p>
            <w:pPr>
              <w:spacing w:after="0"/>
              <w:rPr>
                <w:sz w:val="2"/>
                <w:szCs w:val="2"/>
                <w:color w:val="auto"/>
              </w:rPr>
            </w:pPr>
          </w:p>
        </w:tc>
        <w:tc>
          <w:tcPr>
            <w:tcW w:w="320" w:type="dxa"/>
            <w:vAlign w:val="bottom"/>
            <w:tcBorders>
              <w:top w:val="single" w:sz="8" w:color="0000E1"/>
              <w:bottom w:val="single" w:sz="8" w:color="0000E1"/>
            </w:tcBorders>
          </w:tcPr>
          <w:p>
            <w:pPr>
              <w:spacing w:after="0"/>
              <w:rPr>
                <w:sz w:val="2"/>
                <w:szCs w:val="2"/>
                <w:color w:val="auto"/>
              </w:rPr>
            </w:pPr>
          </w:p>
        </w:tc>
        <w:tc>
          <w:tcPr>
            <w:tcW w:w="420" w:type="dxa"/>
            <w:vAlign w:val="bottom"/>
            <w:tcBorders>
              <w:top w:val="single" w:sz="8" w:color="0000E1"/>
              <w:bottom w:val="single" w:sz="8" w:color="0000E1"/>
            </w:tcBorders>
          </w:tcPr>
          <w:p>
            <w:pPr>
              <w:spacing w:after="0"/>
              <w:rPr>
                <w:sz w:val="2"/>
                <w:szCs w:val="2"/>
                <w:color w:val="auto"/>
              </w:rPr>
            </w:pPr>
          </w:p>
        </w:tc>
        <w:tc>
          <w:tcPr>
            <w:tcW w:w="20" w:type="dxa"/>
            <w:vAlign w:val="bottom"/>
            <w:tcBorders>
              <w:top w:val="single" w:sz="8" w:color="0000E1"/>
              <w:bottom w:val="single" w:sz="8" w:color="0000E1"/>
            </w:tcBorders>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top w:val="single" w:sz="8" w:color="0000E1"/>
              <w:bottom w:val="single" w:sz="8" w:color="0000E1"/>
            </w:tcBorders>
          </w:tcPr>
          <w:p>
            <w:pPr>
              <w:spacing w:after="0"/>
              <w:rPr>
                <w:sz w:val="2"/>
                <w:szCs w:val="2"/>
                <w:color w:val="auto"/>
              </w:rPr>
            </w:pPr>
          </w:p>
        </w:tc>
        <w:tc>
          <w:tcPr>
            <w:tcW w:w="80" w:type="dxa"/>
            <w:vAlign w:val="bottom"/>
            <w:tcBorders>
              <w:top w:val="single" w:sz="8" w:color="0000E1"/>
              <w:bottom w:val="single" w:sz="8" w:color="0000E1"/>
            </w:tcBorders>
          </w:tcPr>
          <w:p>
            <w:pPr>
              <w:spacing w:after="0"/>
              <w:rPr>
                <w:sz w:val="2"/>
                <w:szCs w:val="2"/>
                <w:color w:val="auto"/>
              </w:rPr>
            </w:pPr>
          </w:p>
        </w:tc>
        <w:tc>
          <w:tcPr>
            <w:tcW w:w="100" w:type="dxa"/>
            <w:vAlign w:val="bottom"/>
            <w:tcBorders>
              <w:top w:val="single" w:sz="8" w:color="0000E1"/>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20" w:type="dxa"/>
            <w:vAlign w:val="bottom"/>
            <w:gridSpan w:val="2"/>
          </w:tcPr>
          <w:p>
            <w:pPr>
              <w:spacing w:after="0"/>
              <w:rPr>
                <w:sz w:val="20"/>
                <w:szCs w:val="20"/>
                <w:color w:val="auto"/>
              </w:rPr>
            </w:pPr>
            <w:r>
              <w:rPr>
                <w:rFonts w:ascii="Arial" w:cs="Arial" w:eastAsia="Arial" w:hAnsi="Arial"/>
                <w:sz w:val="18"/>
                <w:szCs w:val="18"/>
                <w:color w:val="auto"/>
                <w:w w:val="99"/>
              </w:rPr>
              <w:t>SECTION 12.</w:t>
            </w:r>
          </w:p>
        </w:tc>
        <w:tc>
          <w:tcPr>
            <w:tcW w:w="9360" w:type="dxa"/>
            <w:vAlign w:val="bottom"/>
            <w:gridSpan w:val="17"/>
          </w:tcPr>
          <w:p>
            <w:pPr>
              <w:ind w:left="80"/>
              <w:spacing w:after="0"/>
              <w:rPr>
                <w:sz w:val="20"/>
                <w:szCs w:val="20"/>
                <w:color w:val="auto"/>
              </w:rPr>
            </w:pPr>
            <w:r>
              <w:rPr>
                <w:rFonts w:ascii="Arial" w:cs="Arial" w:eastAsia="Arial" w:hAnsi="Arial"/>
                <w:sz w:val="18"/>
                <w:szCs w:val="18"/>
                <w:color w:val="auto"/>
              </w:rPr>
              <w:t>The Guarantees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0</w:t>
            </w:r>
          </w:p>
        </w:tc>
        <w:tc>
          <w:tcPr>
            <w:tcW w:w="10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12.1</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The Guarantees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jc w:val="right"/>
              <w:spacing w:after="0"/>
              <w:rPr>
                <w:sz w:val="20"/>
                <w:szCs w:val="20"/>
                <w:color w:val="auto"/>
              </w:rPr>
            </w:pPr>
            <w:r>
              <w:rPr>
                <w:rFonts w:ascii="Arial" w:cs="Arial" w:eastAsia="Arial" w:hAnsi="Arial"/>
                <w:sz w:val="15"/>
                <w:szCs w:val="15"/>
                <w:color w:val="FF0000"/>
                <w:strike w:val="1"/>
                <w:w w:val="71"/>
              </w:rPr>
              <w:t>0</w:t>
            </w:r>
          </w:p>
        </w:tc>
        <w:tc>
          <w:tcPr>
            <w:tcW w:w="10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79"/>
              </w:rPr>
              <w:t>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12.2</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Guarantee Unconditional</w:t>
            </w:r>
          </w:p>
        </w:tc>
        <w:tc>
          <w:tcPr>
            <w:tcW w:w="540" w:type="dxa"/>
            <w:vAlign w:val="bottom"/>
            <w:gridSpan w:val="4"/>
          </w:tcPr>
          <w:p>
            <w:pPr>
              <w:jc w:val="right"/>
              <w:spacing w:after="0"/>
              <w:rPr>
                <w:sz w:val="20"/>
                <w:szCs w:val="20"/>
                <w:color w:val="auto"/>
              </w:rPr>
            </w:pPr>
            <w:r>
              <w:rPr>
                <w:rFonts w:ascii="Arial" w:cs="Arial" w:eastAsia="Arial" w:hAnsi="Arial"/>
                <w:sz w:val="18"/>
                <w:szCs w:val="18"/>
                <w:color w:val="0000E1"/>
              </w:rPr>
              <w:t>140</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top w:val="single" w:sz="8" w:color="0000E1"/>
              <w:bottom w:val="single" w:sz="8" w:color="0000E1"/>
            </w:tcBorders>
          </w:tcPr>
          <w:p>
            <w:pPr>
              <w:spacing w:after="0"/>
              <w:rPr>
                <w:sz w:val="2"/>
                <w:szCs w:val="2"/>
                <w:color w:val="auto"/>
              </w:rPr>
            </w:pPr>
          </w:p>
        </w:tc>
        <w:tc>
          <w:tcPr>
            <w:tcW w:w="80" w:type="dxa"/>
            <w:vAlign w:val="bottom"/>
            <w:tcBorders>
              <w:top w:val="single" w:sz="8" w:color="0000E1"/>
              <w:bottom w:val="single" w:sz="8" w:color="0000E1"/>
            </w:tcBorders>
          </w:tcPr>
          <w:p>
            <w:pPr>
              <w:spacing w:after="0"/>
              <w:rPr>
                <w:sz w:val="2"/>
                <w:szCs w:val="2"/>
                <w:color w:val="auto"/>
              </w:rPr>
            </w:pPr>
          </w:p>
        </w:tc>
        <w:tc>
          <w:tcPr>
            <w:tcW w:w="100" w:type="dxa"/>
            <w:vAlign w:val="bottom"/>
            <w:tcBorders>
              <w:top w:val="single" w:sz="8" w:color="0000E1"/>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12.3</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Discharge Only upon Payment in Full; Reinstatement in Certain Circumstances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131</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141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12.4</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Subrogation</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132</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141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12.5</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Waivers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132</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141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12.6</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Limit on Recovery</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132</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141</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12.7</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Stay of Acceleration</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133</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142</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12.8</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Benefit to Guarantors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133</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142</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12.9</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Guarantor Covenants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133</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142</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20" w:type="dxa"/>
            <w:vAlign w:val="bottom"/>
            <w:gridSpan w:val="2"/>
          </w:tcPr>
          <w:p>
            <w:pPr>
              <w:spacing w:after="0"/>
              <w:rPr>
                <w:sz w:val="20"/>
                <w:szCs w:val="20"/>
                <w:color w:val="auto"/>
              </w:rPr>
            </w:pPr>
            <w:r>
              <w:rPr>
                <w:rFonts w:ascii="Arial" w:cs="Arial" w:eastAsia="Arial" w:hAnsi="Arial"/>
                <w:sz w:val="18"/>
                <w:szCs w:val="18"/>
                <w:color w:val="auto"/>
                <w:w w:val="99"/>
              </w:rPr>
              <w:t>SECTION 13.</w:t>
            </w:r>
          </w:p>
        </w:tc>
        <w:tc>
          <w:tcPr>
            <w:tcW w:w="9360" w:type="dxa"/>
            <w:vAlign w:val="bottom"/>
            <w:gridSpan w:val="17"/>
          </w:tcPr>
          <w:p>
            <w:pPr>
              <w:ind w:left="80"/>
              <w:spacing w:after="0"/>
              <w:rPr>
                <w:sz w:val="20"/>
                <w:szCs w:val="20"/>
                <w:color w:val="auto"/>
              </w:rPr>
            </w:pPr>
            <w:r>
              <w:rPr>
                <w:rFonts w:ascii="Arial" w:cs="Arial" w:eastAsia="Arial" w:hAnsi="Arial"/>
                <w:sz w:val="18"/>
                <w:szCs w:val="18"/>
                <w:color w:val="auto"/>
              </w:rPr>
              <w:t>Miscellaneous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133</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142</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13.1</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Taxes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133</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142</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Section 13.2</w:t>
            </w:r>
          </w:p>
        </w:tc>
        <w:tc>
          <w:tcPr>
            <w:tcW w:w="9140" w:type="dxa"/>
            <w:vAlign w:val="bottom"/>
            <w:gridSpan w:val="16"/>
          </w:tcPr>
          <w:p>
            <w:pPr>
              <w:ind w:left="560"/>
              <w:spacing w:after="0"/>
              <w:rPr>
                <w:sz w:val="20"/>
                <w:szCs w:val="20"/>
                <w:color w:val="auto"/>
              </w:rPr>
            </w:pPr>
            <w:r>
              <w:rPr>
                <w:rFonts w:ascii="Arial" w:cs="Arial" w:eastAsia="Arial" w:hAnsi="Arial"/>
                <w:sz w:val="18"/>
                <w:szCs w:val="18"/>
                <w:i w:val="1"/>
                <w:iCs w:val="1"/>
                <w:color w:val="auto"/>
              </w:rPr>
              <w:t>No Waiver, Cumulative Remedies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135</w:t>
            </w:r>
          </w:p>
        </w:tc>
        <w:tc>
          <w:tcPr>
            <w:tcW w:w="280" w:type="dxa"/>
            <w:vAlign w:val="bottom"/>
            <w:tcBorders>
              <w:bottom w:val="single" w:sz="8" w:color="0000E1"/>
            </w:tcBorders>
            <w:gridSpan w:val="3"/>
          </w:tcPr>
          <w:p>
            <w:pPr>
              <w:jc w:val="right"/>
              <w:spacing w:after="0"/>
              <w:rPr>
                <w:sz w:val="20"/>
                <w:szCs w:val="20"/>
                <w:color w:val="auto"/>
              </w:rPr>
            </w:pPr>
            <w:r>
              <w:rPr>
                <w:rFonts w:ascii="Arial" w:cs="Arial" w:eastAsia="Arial" w:hAnsi="Arial"/>
                <w:sz w:val="18"/>
                <w:szCs w:val="18"/>
                <w:color w:val="0000E1"/>
                <w:w w:val="86"/>
              </w:rPr>
              <w:t>145</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0" w:type="dxa"/>
            <w:vAlign w:val="bottom"/>
            <w:gridSpan w:val="6"/>
            <w:vMerge w:val="restart"/>
          </w:tcPr>
          <w:p>
            <w:pPr>
              <w:jc w:val="right"/>
              <w:ind w:right="4810"/>
              <w:spacing w:after="0"/>
              <w:rPr>
                <w:sz w:val="20"/>
                <w:szCs w:val="20"/>
                <w:color w:val="auto"/>
              </w:rPr>
            </w:pPr>
            <w:r>
              <w:rPr>
                <w:rFonts w:ascii="Arial" w:cs="Arial" w:eastAsia="Arial" w:hAnsi="Arial"/>
                <w:sz w:val="18"/>
                <w:szCs w:val="18"/>
                <w:color w:val="auto"/>
              </w:rPr>
              <w:t>iv</w:t>
            </w:r>
          </w:p>
        </w:tc>
        <w:tc>
          <w:tcPr>
            <w:tcW w:w="260" w:type="dxa"/>
            <w:vAlign w:val="bottom"/>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80" w:type="dxa"/>
            <w:vAlign w:val="bottom"/>
            <w:tcBorders>
              <w:bottom w:val="single" w:sz="8" w:color="0000E1"/>
            </w:tcBorders>
          </w:tcPr>
          <w:p>
            <w:pPr>
              <w:spacing w:after="0"/>
              <w:rPr>
                <w:sz w:val="2"/>
                <w:szCs w:val="2"/>
                <w:color w:val="auto"/>
              </w:rPr>
            </w:pPr>
          </w:p>
        </w:tc>
        <w:tc>
          <w:tcPr>
            <w:tcW w:w="100" w:type="dxa"/>
            <w:vAlign w:val="bottom"/>
            <w:tcBorders>
              <w:bottom w:val="single" w:sz="8" w:color="0000E1"/>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0" w:type="dxa"/>
            <w:vAlign w:val="bottom"/>
            <w:gridSpan w:val="6"/>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5701665</wp:posOffset>
            </wp:positionH>
            <wp:positionV relativeFrom="paragraph">
              <wp:posOffset>-6668770</wp:posOffset>
            </wp:positionV>
            <wp:extent cx="195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5580" cy="8255"/>
                    </a:xfrm>
                    <a:prstGeom prst="rect">
                      <a:avLst/>
                    </a:prstGeom>
                    <a:noFill/>
                  </pic:spPr>
                </pic:pic>
              </a:graphicData>
            </a:graphic>
          </wp:anchor>
        </w:drawing>
        <w:drawing>
          <wp:anchor simplePos="0" relativeHeight="251657728" behindDoc="1" locked="0" layoutInCell="0" allowOverlap="1">
            <wp:simplePos x="0" y="0"/>
            <wp:positionH relativeFrom="column">
              <wp:posOffset>1809115</wp:posOffset>
            </wp:positionH>
            <wp:positionV relativeFrom="paragraph">
              <wp:posOffset>-3994150</wp:posOffset>
            </wp:positionV>
            <wp:extent cx="2000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ectPr>
          <w:pgSz w:w="11900" w:h="16838" w:orient="portrait"/>
          <w:cols w:equalWidth="0" w:num="1">
            <w:col w:w="11020"/>
          </w:cols>
          <w:pgMar w:left="440" w:top="257" w:right="4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w w:val="95"/>
              </w:rPr>
              <w:t>Section 13.3</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Non-Business Days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136</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145</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95"/>
              </w:rPr>
              <w:t>Section 13.4</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Documentary Taxes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136</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145</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95"/>
              </w:rPr>
              <w:t>Section 13.5</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Survival of Representations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136</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146</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95"/>
              </w:rPr>
              <w:t>Section 13.6</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Survival of Indemnities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136</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146</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95"/>
              </w:rPr>
              <w:t>Section 13.7</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Sharing of Set-Off</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137</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146</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95"/>
              </w:rPr>
              <w:t>Section 13.8</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Notices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137</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147</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95"/>
              </w:rPr>
              <w:t>Section 13.9</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Counterparts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139</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148</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13.10</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Successors and Assigns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139</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148</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13.11</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Participants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139</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149</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13.12</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Assignments by Lenders</w:t>
            </w:r>
          </w:p>
        </w:tc>
        <w:tc>
          <w:tcPr>
            <w:tcW w:w="540" w:type="dxa"/>
            <w:vAlign w:val="bottom"/>
            <w:gridSpan w:val="2"/>
          </w:tcPr>
          <w:p>
            <w:pPr>
              <w:jc w:val="right"/>
              <w:spacing w:after="0"/>
              <w:rPr>
                <w:sz w:val="20"/>
                <w:szCs w:val="20"/>
                <w:color w:val="auto"/>
              </w:rPr>
            </w:pPr>
            <w:r>
              <w:rPr>
                <w:rFonts w:ascii="Arial" w:cs="Arial" w:eastAsia="Arial" w:hAnsi="Arial"/>
                <w:sz w:val="18"/>
                <w:szCs w:val="18"/>
                <w:color w:val="0000E1"/>
              </w:rPr>
              <w:t>150</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top w:val="single" w:sz="8" w:color="0000E1"/>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13.13</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Amendments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144</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153</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13.14</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Headings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146</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155</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13.15</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Costs and Expenses; Indemnification</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146</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155</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13.16</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Set-off</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148</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157</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13.17</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Entire Agreement</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148</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157</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13.18</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Governing Law</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148</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157</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13.19</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Severability of Provisions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148</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158</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13.20</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Excess Interest</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149</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158</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13.21</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Construction</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149</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159</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13.22</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Lender’s and L/C Issuer’s Obligations Several</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149</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159</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13.23</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Submission to Jurisdiction; Waiver of Jury Trial</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149</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159</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13.24</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USA PATRIOT Act</w:t>
            </w:r>
          </w:p>
        </w:tc>
        <w:tc>
          <w:tcPr>
            <w:tcW w:w="540" w:type="dxa"/>
            <w:vAlign w:val="bottom"/>
            <w:gridSpan w:val="2"/>
          </w:tcPr>
          <w:p>
            <w:pPr>
              <w:jc w:val="right"/>
              <w:spacing w:after="0"/>
              <w:rPr>
                <w:sz w:val="20"/>
                <w:szCs w:val="20"/>
                <w:color w:val="auto"/>
              </w:rPr>
            </w:pPr>
            <w:r>
              <w:rPr>
                <w:rFonts w:ascii="Arial" w:cs="Arial" w:eastAsia="Arial" w:hAnsi="Arial"/>
                <w:sz w:val="18"/>
                <w:szCs w:val="18"/>
                <w:color w:val="0000E1"/>
              </w:rPr>
              <w:t>160</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top w:val="single" w:sz="8" w:color="0000E1"/>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13.25</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Confidentiality</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151</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160</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13.26</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No Advisory or Fiduciary Responsibility</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152</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161</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13.27</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Electronic Execution of Assignments and Certain Other Documents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152</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161</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13.28</w:t>
            </w:r>
          </w:p>
        </w:tc>
        <w:tc>
          <w:tcPr>
            <w:tcW w:w="3780" w:type="dxa"/>
            <w:vAlign w:val="bottom"/>
            <w:gridSpan w:val="2"/>
          </w:tcPr>
          <w:p>
            <w:pPr>
              <w:ind w:left="560"/>
              <w:spacing w:after="0"/>
              <w:rPr>
                <w:sz w:val="20"/>
                <w:szCs w:val="20"/>
                <w:color w:val="auto"/>
              </w:rPr>
            </w:pPr>
            <w:r>
              <w:rPr>
                <w:rFonts w:ascii="Arial" w:cs="Arial" w:eastAsia="Arial" w:hAnsi="Arial"/>
                <w:sz w:val="18"/>
                <w:szCs w:val="18"/>
                <w:i w:val="1"/>
                <w:iCs w:val="1"/>
                <w:color w:val="auto"/>
                <w:w w:val="91"/>
              </w:rPr>
              <w:t>Acknowledgement and Consent to Bail-In of</w:t>
            </w:r>
          </w:p>
        </w:tc>
        <w:tc>
          <w:tcPr>
            <w:tcW w:w="340" w:type="dxa"/>
            <w:vAlign w:val="bottom"/>
            <w:gridSpan w:val="2"/>
          </w:tcPr>
          <w:p>
            <w:pPr>
              <w:spacing w:after="0"/>
              <w:rPr>
                <w:sz w:val="20"/>
                <w:szCs w:val="20"/>
                <w:color w:val="auto"/>
              </w:rPr>
            </w:pPr>
            <w:r>
              <w:rPr>
                <w:rFonts w:ascii="Arial" w:cs="Arial" w:eastAsia="Arial" w:hAnsi="Arial"/>
                <w:sz w:val="18"/>
                <w:szCs w:val="18"/>
                <w:i w:val="1"/>
                <w:iCs w:val="1"/>
                <w:color w:val="FF0000"/>
                <w:strike w:val="1"/>
                <w:w w:val="88"/>
              </w:rPr>
              <w:t>EEA</w:t>
            </w:r>
          </w:p>
        </w:tc>
        <w:tc>
          <w:tcPr>
            <w:tcW w:w="5020" w:type="dxa"/>
            <w:vAlign w:val="bottom"/>
            <w:gridSpan w:val="3"/>
          </w:tcPr>
          <w:p>
            <w:pPr>
              <w:spacing w:after="0"/>
              <w:rPr>
                <w:sz w:val="20"/>
                <w:szCs w:val="20"/>
                <w:color w:val="auto"/>
              </w:rPr>
            </w:pPr>
            <w:r>
              <w:rPr>
                <w:rFonts w:ascii="Arial" w:cs="Arial" w:eastAsia="Arial" w:hAnsi="Arial"/>
                <w:sz w:val="18"/>
                <w:szCs w:val="18"/>
                <w:i w:val="1"/>
                <w:iCs w:val="1"/>
                <w:color w:val="0000E1"/>
              </w:rPr>
              <w:t xml:space="preserve">Affected </w:t>
            </w:r>
            <w:r>
              <w:rPr>
                <w:rFonts w:ascii="Arial" w:cs="Arial" w:eastAsia="Arial" w:hAnsi="Arial"/>
                <w:sz w:val="18"/>
                <w:szCs w:val="18"/>
                <w:i w:val="1"/>
                <w:iCs w:val="1"/>
                <w:color w:val="000000"/>
              </w:rPr>
              <w:t>Financial Institutions</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152</w:t>
            </w:r>
          </w:p>
        </w:tc>
        <w:tc>
          <w:tcPr>
            <w:tcW w:w="280" w:type="dxa"/>
            <w:vAlign w:val="bottom"/>
          </w:tcPr>
          <w:p>
            <w:pPr>
              <w:jc w:val="right"/>
              <w:spacing w:after="0"/>
              <w:rPr>
                <w:sz w:val="20"/>
                <w:szCs w:val="20"/>
                <w:color w:val="auto"/>
              </w:rPr>
            </w:pPr>
            <w:r>
              <w:rPr>
                <w:rFonts w:ascii="Arial" w:cs="Arial" w:eastAsia="Arial" w:hAnsi="Arial"/>
                <w:sz w:val="18"/>
                <w:szCs w:val="18"/>
                <w:color w:val="0000E1"/>
                <w:w w:val="86"/>
              </w:rPr>
              <w:t>162</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0000E1"/>
            </w:tcBorders>
          </w:tcPr>
          <w:p>
            <w:pPr>
              <w:spacing w:after="0"/>
              <w:rPr>
                <w:sz w:val="2"/>
                <w:szCs w:val="2"/>
                <w:color w:val="auto"/>
              </w:rPr>
            </w:pPr>
          </w:p>
        </w:tc>
        <w:tc>
          <w:tcPr>
            <w:tcW w:w="120" w:type="dxa"/>
            <w:vAlign w:val="bottom"/>
            <w:tcBorders>
              <w:top w:val="single" w:sz="8" w:color="0000E1"/>
              <w:bottom w:val="single" w:sz="8" w:color="0000E1"/>
            </w:tcBorders>
          </w:tcPr>
          <w:p>
            <w:pPr>
              <w:spacing w:after="0"/>
              <w:rPr>
                <w:sz w:val="2"/>
                <w:szCs w:val="2"/>
                <w:color w:val="auto"/>
              </w:rPr>
            </w:pPr>
          </w:p>
        </w:tc>
        <w:tc>
          <w:tcPr>
            <w:tcW w:w="460" w:type="dxa"/>
            <w:vAlign w:val="bottom"/>
            <w:tcBorders>
              <w:top w:val="single" w:sz="8" w:color="0000E1"/>
              <w:bottom w:val="single" w:sz="8" w:color="0000E1"/>
            </w:tcBorders>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top w:val="single" w:sz="8" w:color="0000E1"/>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13.29</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Effect on Amendment and Restatement</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153</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162</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w w:val="87"/>
              </w:rPr>
              <w:t>Section 13.30</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auto"/>
              </w:rPr>
              <w:t>Judgment Currency</w:t>
            </w:r>
          </w:p>
        </w:tc>
        <w:tc>
          <w:tcPr>
            <w:tcW w:w="260" w:type="dxa"/>
            <w:vAlign w:val="bottom"/>
          </w:tcPr>
          <w:p>
            <w:pPr>
              <w:jc w:val="right"/>
              <w:spacing w:after="0"/>
              <w:rPr>
                <w:sz w:val="20"/>
                <w:szCs w:val="20"/>
                <w:color w:val="auto"/>
              </w:rPr>
            </w:pPr>
            <w:r>
              <w:rPr>
                <w:rFonts w:ascii="Arial" w:cs="Arial" w:eastAsia="Arial" w:hAnsi="Arial"/>
                <w:sz w:val="18"/>
                <w:szCs w:val="18"/>
                <w:color w:val="FF0000"/>
                <w:strike w:val="1"/>
                <w:w w:val="79"/>
              </w:rPr>
              <w:t>154</w:t>
            </w:r>
          </w:p>
        </w:tc>
        <w:tc>
          <w:tcPr>
            <w:tcW w:w="280" w:type="dxa"/>
            <w:vAlign w:val="bottom"/>
            <w:tcBorders>
              <w:bottom w:val="single" w:sz="8" w:color="0000E1"/>
            </w:tcBorders>
          </w:tcPr>
          <w:p>
            <w:pPr>
              <w:jc w:val="right"/>
              <w:spacing w:after="0"/>
              <w:rPr>
                <w:sz w:val="20"/>
                <w:szCs w:val="20"/>
                <w:color w:val="auto"/>
              </w:rPr>
            </w:pPr>
            <w:r>
              <w:rPr>
                <w:rFonts w:ascii="Arial" w:cs="Arial" w:eastAsia="Arial" w:hAnsi="Arial"/>
                <w:sz w:val="18"/>
                <w:szCs w:val="18"/>
                <w:color w:val="0000E1"/>
                <w:w w:val="86"/>
              </w:rPr>
              <w:t>163</w:t>
            </w:r>
          </w:p>
        </w:tc>
      </w:tr>
      <w:tr>
        <w:trPr>
          <w:trHeight w:val="34"/>
        </w:trPr>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0000E1"/>
            </w:tcBorders>
          </w:tcPr>
          <w:p>
            <w:pPr>
              <w:spacing w:after="0"/>
              <w:rPr>
                <w:sz w:val="2"/>
                <w:szCs w:val="2"/>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0000E1"/>
                <w:w w:val="87"/>
              </w:rPr>
              <w:t>Section 13.31</w:t>
            </w:r>
          </w:p>
        </w:tc>
        <w:tc>
          <w:tcPr>
            <w:tcW w:w="9140" w:type="dxa"/>
            <w:vAlign w:val="bottom"/>
            <w:gridSpan w:val="7"/>
          </w:tcPr>
          <w:p>
            <w:pPr>
              <w:ind w:left="560"/>
              <w:spacing w:after="0"/>
              <w:rPr>
                <w:sz w:val="20"/>
                <w:szCs w:val="20"/>
                <w:color w:val="auto"/>
              </w:rPr>
            </w:pPr>
            <w:r>
              <w:rPr>
                <w:rFonts w:ascii="Arial" w:cs="Arial" w:eastAsia="Arial" w:hAnsi="Arial"/>
                <w:sz w:val="18"/>
                <w:szCs w:val="18"/>
                <w:i w:val="1"/>
                <w:iCs w:val="1"/>
                <w:color w:val="0000E1"/>
              </w:rPr>
              <w:t>Acknowledgement Regarding Any Supported QFCs</w:t>
            </w:r>
          </w:p>
        </w:tc>
        <w:tc>
          <w:tcPr>
            <w:tcW w:w="540" w:type="dxa"/>
            <w:vAlign w:val="bottom"/>
            <w:gridSpan w:val="2"/>
          </w:tcPr>
          <w:p>
            <w:pPr>
              <w:jc w:val="right"/>
              <w:spacing w:after="0"/>
              <w:rPr>
                <w:sz w:val="20"/>
                <w:szCs w:val="20"/>
                <w:color w:val="auto"/>
              </w:rPr>
            </w:pPr>
            <w:r>
              <w:rPr>
                <w:rFonts w:ascii="Arial" w:cs="Arial" w:eastAsia="Arial" w:hAnsi="Arial"/>
                <w:sz w:val="18"/>
                <w:szCs w:val="18"/>
                <w:color w:val="0000E1"/>
              </w:rPr>
              <w:t>164</w:t>
            </w:r>
          </w:p>
        </w:tc>
      </w:tr>
      <w:tr>
        <w:trPr>
          <w:trHeight w:val="34"/>
        </w:trPr>
        <w:tc>
          <w:tcPr>
            <w:tcW w:w="980" w:type="dxa"/>
            <w:vAlign w:val="bottom"/>
            <w:tcBorders>
              <w:top w:val="single" w:sz="8" w:color="0000E1"/>
              <w:bottom w:val="single" w:sz="8" w:color="0000E1"/>
            </w:tcBorders>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Borders>
              <w:top w:val="single" w:sz="8" w:color="0000E1"/>
              <w:bottom w:val="single" w:sz="8" w:color="0000E1"/>
            </w:tcBorders>
          </w:tcPr>
          <w:p>
            <w:pPr>
              <w:spacing w:after="0"/>
              <w:rPr>
                <w:sz w:val="2"/>
                <w:szCs w:val="2"/>
                <w:color w:val="auto"/>
              </w:rPr>
            </w:pPr>
          </w:p>
        </w:tc>
        <w:tc>
          <w:tcPr>
            <w:tcW w:w="320" w:type="dxa"/>
            <w:vAlign w:val="bottom"/>
            <w:tcBorders>
              <w:top w:val="single" w:sz="8" w:color="0000E1"/>
              <w:bottom w:val="single" w:sz="8" w:color="0000E1"/>
            </w:tcBorders>
          </w:tcPr>
          <w:p>
            <w:pPr>
              <w:spacing w:after="0"/>
              <w:rPr>
                <w:sz w:val="2"/>
                <w:szCs w:val="2"/>
                <w:color w:val="auto"/>
              </w:rPr>
            </w:pPr>
          </w:p>
        </w:tc>
        <w:tc>
          <w:tcPr>
            <w:tcW w:w="20" w:type="dxa"/>
            <w:vAlign w:val="bottom"/>
            <w:tcBorders>
              <w:top w:val="single" w:sz="8" w:color="0000E1"/>
              <w:bottom w:val="single" w:sz="8" w:color="0000E1"/>
            </w:tcBorders>
          </w:tcPr>
          <w:p>
            <w:pPr>
              <w:spacing w:after="0"/>
              <w:rPr>
                <w:sz w:val="2"/>
                <w:szCs w:val="2"/>
                <w:color w:val="auto"/>
              </w:rPr>
            </w:pPr>
          </w:p>
        </w:tc>
        <w:tc>
          <w:tcPr>
            <w:tcW w:w="120" w:type="dxa"/>
            <w:vAlign w:val="bottom"/>
            <w:tcBorders>
              <w:top w:val="single" w:sz="8" w:color="0000E1"/>
              <w:bottom w:val="single" w:sz="8" w:color="0000E1"/>
            </w:tcBorders>
          </w:tcPr>
          <w:p>
            <w:pPr>
              <w:spacing w:after="0"/>
              <w:rPr>
                <w:sz w:val="2"/>
                <w:szCs w:val="2"/>
                <w:color w:val="auto"/>
              </w:rPr>
            </w:pPr>
          </w:p>
        </w:tc>
        <w:tc>
          <w:tcPr>
            <w:tcW w:w="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top w:val="single" w:sz="8" w:color="0000E1"/>
              <w:bottom w:val="single" w:sz="8" w:color="0000E1"/>
            </w:tcBorders>
          </w:tcPr>
          <w:p>
            <w:pPr>
              <w:spacing w:after="0"/>
              <w:rPr>
                <w:sz w:val="2"/>
                <w:szCs w:val="2"/>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8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660"/>
          </w:cols>
          <w:pgMar w:left="800" w:top="257" w:right="4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A</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Notice of Payment Request</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B</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Notice of Borrowing</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C</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Notice of Continuation/Conversion</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D-1</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Term Note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D-2</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Revolving Note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D-3</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Swing Note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E</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Compliance Certificate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F</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Additional Guarantor Supplement</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G</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Assignment and Assumption</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H</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w w:val="91"/>
              </w:rPr>
              <w:t>Commitment Amount Increase Notice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I</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FF0000"/>
                <w:strike w:val="1"/>
                <w:w w:val="99"/>
              </w:rPr>
              <w:t>Form of</w:t>
            </w:r>
          </w:p>
        </w:tc>
        <w:tc>
          <w:tcPr>
            <w:tcW w:w="2120" w:type="dxa"/>
            <w:vAlign w:val="bottom"/>
          </w:tcPr>
          <w:p>
            <w:pPr>
              <w:spacing w:after="0"/>
              <w:rPr>
                <w:sz w:val="20"/>
                <w:szCs w:val="20"/>
                <w:color w:val="auto"/>
              </w:rPr>
            </w:pPr>
            <w:r>
              <w:rPr>
                <w:rFonts w:ascii="Arial" w:cs="Arial" w:eastAsia="Arial" w:hAnsi="Arial"/>
                <w:sz w:val="18"/>
                <w:szCs w:val="18"/>
                <w:color w:val="auto"/>
              </w:rPr>
              <w:t>Auction Procedures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J</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FF0000"/>
                <w:strike w:val="1"/>
                <w:w w:val="99"/>
              </w:rPr>
              <w:t>Form of</w:t>
            </w:r>
          </w:p>
        </w:tc>
        <w:tc>
          <w:tcPr>
            <w:tcW w:w="2120" w:type="dxa"/>
            <w:vAlign w:val="bottom"/>
          </w:tcPr>
          <w:p>
            <w:pPr>
              <w:spacing w:after="0"/>
              <w:rPr>
                <w:sz w:val="20"/>
                <w:szCs w:val="20"/>
                <w:color w:val="auto"/>
              </w:rPr>
            </w:pPr>
            <w:r>
              <w:rPr>
                <w:rFonts w:ascii="Arial" w:cs="Arial" w:eastAsia="Arial" w:hAnsi="Arial"/>
                <w:sz w:val="18"/>
                <w:szCs w:val="18"/>
                <w:color w:val="auto"/>
              </w:rPr>
              <w:t>Prepayment Notice</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Exhibit K</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FF0000"/>
                <w:strike w:val="1"/>
                <w:w w:val="99"/>
              </w:rPr>
              <w:t>Form of</w:t>
            </w:r>
          </w:p>
        </w:tc>
        <w:tc>
          <w:tcPr>
            <w:tcW w:w="2120" w:type="dxa"/>
            <w:vAlign w:val="bottom"/>
          </w:tcPr>
          <w:p>
            <w:pPr>
              <w:spacing w:after="0"/>
              <w:rPr>
                <w:sz w:val="20"/>
                <w:szCs w:val="20"/>
                <w:color w:val="auto"/>
              </w:rPr>
            </w:pPr>
            <w:r>
              <w:rPr>
                <w:rFonts w:ascii="Arial" w:cs="Arial" w:eastAsia="Arial" w:hAnsi="Arial"/>
                <w:sz w:val="18"/>
                <w:szCs w:val="18"/>
                <w:color w:val="auto"/>
              </w:rPr>
              <w:t>Swing Loan Notice</w:t>
            </w: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Schedule 1</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Commitments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5.1(a)</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Immaterial Subsidiaries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5.1(c)</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Unrestricted Subsidiaries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6.2</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Subsidiaries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6.8</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Intellectual Property</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6.14(a)</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w w:val="92"/>
              </w:rPr>
              <w:t>Filing Offices (Financing Statements)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7.2(l)</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Opinions of Counsel</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8.7</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Permitted Surviving Indebtedness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8.8</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Existing Liens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8.9</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Certain Investments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8.15</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Transactions with Affiliates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13.8</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Certain Addresses for Notices</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Schedule 13.29</w:t>
            </w:r>
          </w:p>
        </w:tc>
        <w:tc>
          <w:tcPr>
            <w:tcW w:w="1140" w:type="dxa"/>
            <w:vAlign w:val="bottom"/>
          </w:tcPr>
          <w:p>
            <w:pPr>
              <w:ind w:left="4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spacing w:after="0"/>
              <w:rPr>
                <w:sz w:val="20"/>
                <w:szCs w:val="20"/>
                <w:color w:val="auto"/>
              </w:rPr>
            </w:pPr>
            <w:r>
              <w:rPr>
                <w:rFonts w:ascii="Arial" w:cs="Arial" w:eastAsia="Arial" w:hAnsi="Arial"/>
                <w:sz w:val="18"/>
                <w:szCs w:val="18"/>
                <w:color w:val="auto"/>
              </w:rPr>
              <w:t>Existing Letters of Credit</w:t>
            </w:r>
          </w:p>
        </w:tc>
      </w:tr>
    </w:tbl>
    <w:p>
      <w:pPr>
        <w:spacing w:after="0"/>
        <w:rPr>
          <w:sz w:val="20"/>
          <w:szCs w:val="20"/>
          <w:color w:val="auto"/>
        </w:rPr>
        <w:sectPr>
          <w:pgSz w:w="11900" w:h="16838" w:orient="portrait"/>
          <w:cols w:equalWidth="0" w:num="1">
            <w:col w:w="10019"/>
          </w:cols>
          <w:pgMar w:left="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61" w:name="page62"/>
    <w:bookmarkEnd w:id="61"/>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rFonts w:ascii="Arial" w:cs="Arial" w:eastAsia="Arial" w:hAnsi="Arial"/>
          <w:sz w:val="14"/>
          <w:szCs w:val="14"/>
          <w:color w:val="auto"/>
        </w:rPr>
        <w:t>REDIT</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2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This Amended and Restated Credit Agreement is entered into as of August 17, 2017, by and among Dave &amp; Buster’s Holdings, Inc., a Delaware corporation (“</w:t>
      </w:r>
      <w:r>
        <w:rPr>
          <w:rFonts w:ascii="Arial" w:cs="Arial" w:eastAsia="Arial" w:hAnsi="Arial"/>
          <w:sz w:val="18"/>
          <w:szCs w:val="18"/>
          <w:i w:val="1"/>
          <w:iCs w:val="1"/>
          <w:color w:val="auto"/>
        </w:rPr>
        <w:t>Holdings</w:t>
      </w:r>
      <w:r>
        <w:rPr>
          <w:rFonts w:ascii="Arial" w:cs="Arial" w:eastAsia="Arial" w:hAnsi="Arial"/>
          <w:sz w:val="18"/>
          <w:szCs w:val="18"/>
          <w:color w:val="auto"/>
        </w:rPr>
        <w:t>”), Dave &amp; Buster’s, Inc., a Missouri corporation, as the borrower (the “</w:t>
      </w:r>
      <w:r>
        <w:rPr>
          <w:rFonts w:ascii="Arial" w:cs="Arial" w:eastAsia="Arial" w:hAnsi="Arial"/>
          <w:sz w:val="18"/>
          <w:szCs w:val="18"/>
          <w:i w:val="1"/>
          <w:iCs w:val="1"/>
          <w:color w:val="auto"/>
        </w:rPr>
        <w:t>Borrower</w:t>
      </w:r>
      <w:r>
        <w:rPr>
          <w:rFonts w:ascii="Arial" w:cs="Arial" w:eastAsia="Arial" w:hAnsi="Arial"/>
          <w:sz w:val="18"/>
          <w:szCs w:val="18"/>
          <w:color w:val="auto"/>
        </w:rPr>
        <w:t>”), the direct and indirect Subsidiaries of the Borrower from time to time party to this Agreement, as Guarantors, the several financial institutions from time to time party to this Agreement, as Lenders, Swing Line Lender and/or L/C Issuer, Bank of America, N.A., as administrative agent as provided herein (the “</w:t>
      </w:r>
      <w:r>
        <w:rPr>
          <w:rFonts w:ascii="Arial" w:cs="Arial" w:eastAsia="Arial" w:hAnsi="Arial"/>
          <w:sz w:val="18"/>
          <w:szCs w:val="18"/>
          <w:i w:val="1"/>
          <w:iCs w:val="1"/>
          <w:color w:val="auto"/>
        </w:rPr>
        <w:t>Administrative Agent</w:t>
      </w:r>
      <w:r>
        <w:rPr>
          <w:rFonts w:ascii="Arial" w:cs="Arial" w:eastAsia="Arial" w:hAnsi="Arial"/>
          <w:sz w:val="18"/>
          <w:szCs w:val="18"/>
          <w:color w:val="auto"/>
        </w:rPr>
        <w:t xml:space="preserve">”), and Wells Fargo Bank, National Association, as syndication agent. All capitalized terms used herein without definition shall have the same meanings herein as such terms are defined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RELIMINARY</w:t>
      </w:r>
      <w:r>
        <w:rPr>
          <w:rFonts w:ascii="Arial" w:cs="Arial" w:eastAsia="Arial" w:hAnsi="Arial"/>
          <w:sz w:val="18"/>
          <w:szCs w:val="18"/>
          <w:color w:val="auto"/>
        </w:rPr>
        <w:t xml:space="preserve"> S</w:t>
      </w:r>
      <w:r>
        <w:rPr>
          <w:rFonts w:ascii="Arial" w:cs="Arial" w:eastAsia="Arial" w:hAnsi="Arial"/>
          <w:sz w:val="14"/>
          <w:szCs w:val="14"/>
          <w:color w:val="auto"/>
        </w:rPr>
        <w:t>TATEMENT</w:t>
      </w:r>
    </w:p>
    <w:p>
      <w:pPr>
        <w:spacing w:after="0" w:line="225" w:lineRule="exact"/>
        <w:rPr>
          <w:sz w:val="20"/>
          <w:szCs w:val="20"/>
          <w:color w:val="auto"/>
        </w:rPr>
      </w:pPr>
    </w:p>
    <w:p>
      <w:pPr>
        <w:ind w:right="260" w:firstLine="436"/>
        <w:spacing w:after="0" w:line="275" w:lineRule="auto"/>
        <w:tabs>
          <w:tab w:leader="none" w:pos="867"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Loan Parties are party to that certain Credit Agreement, originally dated as of May 15, 2015 (as amended, restated or otherwise modified prior to the date hereof, the “</w:t>
      </w:r>
      <w:r>
        <w:rPr>
          <w:rFonts w:ascii="Arial" w:cs="Arial" w:eastAsia="Arial" w:hAnsi="Arial"/>
          <w:sz w:val="17"/>
          <w:szCs w:val="17"/>
          <w:i w:val="1"/>
          <w:iCs w:val="1"/>
          <w:color w:val="auto"/>
        </w:rPr>
        <w:t>Existing Credit Agreement</w:t>
      </w:r>
      <w:r>
        <w:rPr>
          <w:rFonts w:ascii="Arial" w:cs="Arial" w:eastAsia="Arial" w:hAnsi="Arial"/>
          <w:sz w:val="17"/>
          <w:szCs w:val="17"/>
          <w:color w:val="auto"/>
        </w:rPr>
        <w:t>”), among Holdings, the Borrower, the other Loan parties party thereto, Bank of America, N.A., as administrative agent for the lenders, and the lenders from time to time party thereto, pursuant to which the lenders and the issuing banks thereunder have made available certain extensions of credit. The Loan Parties have requested that the Lenders agree to amend and restate the Existing Credit Agreement to make certain modifications, as set forth below.</w:t>
      </w:r>
    </w:p>
    <w:p>
      <w:pPr>
        <w:spacing w:after="0" w:line="176" w:lineRule="exact"/>
        <w:rPr>
          <w:rFonts w:ascii="Arial" w:cs="Arial" w:eastAsia="Arial" w:hAnsi="Arial"/>
          <w:sz w:val="17"/>
          <w:szCs w:val="17"/>
          <w:color w:val="auto"/>
        </w:rPr>
      </w:pPr>
    </w:p>
    <w:p>
      <w:pPr>
        <w:ind w:right="120" w:firstLine="436"/>
        <w:spacing w:after="0" w:line="277" w:lineRule="auto"/>
        <w:tabs>
          <w:tab w:leader="none" w:pos="85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proceeds of the Loans, will be used (i) to refinance all </w:t>
      </w:r>
      <w:r>
        <w:rPr>
          <w:rFonts w:ascii="Arial" w:cs="Arial" w:eastAsia="Arial" w:hAnsi="Arial"/>
          <w:sz w:val="18"/>
          <w:szCs w:val="18"/>
          <w:color w:val="FF0000"/>
          <w:strike w:val="1"/>
        </w:rPr>
        <w:t>I</w:t>
      </w:r>
      <w:r>
        <w:rPr>
          <w:rFonts w:ascii="Arial" w:cs="Arial" w:eastAsia="Arial" w:hAnsi="Arial"/>
          <w:sz w:val="18"/>
          <w:szCs w:val="18"/>
          <w:u w:val="single" w:color="auto"/>
          <w:color w:val="0000E1"/>
        </w:rPr>
        <w:t>i</w:t>
      </w:r>
      <w:r>
        <w:rPr>
          <w:rFonts w:ascii="Arial" w:cs="Arial" w:eastAsia="Arial" w:hAnsi="Arial"/>
          <w:sz w:val="18"/>
          <w:szCs w:val="18"/>
          <w:color w:val="auto"/>
        </w:rPr>
        <w:t>ndebtedness outstanding under the Existing Credit Agreement, (ii) to pay fees and expenses related to the foregoing and (iii) for general business purposes.</w:t>
      </w:r>
    </w:p>
    <w:p>
      <w:pPr>
        <w:spacing w:after="0" w:line="170" w:lineRule="exact"/>
        <w:rPr>
          <w:rFonts w:ascii="Arial" w:cs="Arial" w:eastAsia="Arial" w:hAnsi="Arial"/>
          <w:sz w:val="18"/>
          <w:szCs w:val="18"/>
          <w:color w:val="auto"/>
        </w:rPr>
      </w:pPr>
    </w:p>
    <w:p>
      <w:pPr>
        <w:ind w:left="860" w:hanging="424"/>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Lenders have agreed to amend and restate the Existing Credit Agreement, all upon terms and conditions set forth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-387350</wp:posOffset>
            </wp:positionV>
            <wp:extent cx="342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Agreement. Accordingly, in consideration of the mutual conditions and agreements set forth in this Agreement, and for good and valuable consideration, the receipt of which is hereby acknowledged, the Lenders, the Administrative Agent, the Collateral Agent and the Loan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-349885</wp:posOffset>
            </wp:positionV>
            <wp:extent cx="285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1.</w:t>
        <w:tab/>
        <w:t>T</w:t>
      </w:r>
      <w:r>
        <w:rPr>
          <w:rFonts w:ascii="Arial" w:cs="Arial" w:eastAsia="Arial" w:hAnsi="Arial"/>
          <w:sz w:val="14"/>
          <w:szCs w:val="14"/>
          <w:color w:val="auto"/>
        </w:rPr>
        <w:t>HE</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F</w:t>
      </w:r>
      <w:r>
        <w:rPr>
          <w:rFonts w:ascii="Arial" w:cs="Arial" w:eastAsia="Arial" w:hAnsi="Arial"/>
          <w:sz w:val="14"/>
          <w:szCs w:val="14"/>
          <w:color w:val="auto"/>
        </w:rPr>
        <w:t>ACILITIES</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i w:val="1"/>
          <w:iCs w:val="1"/>
          <w:color w:val="auto"/>
        </w:rPr>
        <w:t>Term Loan Commitments.</w:t>
      </w:r>
      <w:r>
        <w:rPr>
          <w:rFonts w:ascii="Arial" w:cs="Arial" w:eastAsia="Arial" w:hAnsi="Arial"/>
          <w:sz w:val="17"/>
          <w:szCs w:val="17"/>
          <w:color w:val="auto"/>
        </w:rPr>
        <w:t xml:space="preserve"> Subject to the terms and conditions hereof, each Term Loan Lender, by its acceptance hereof, severally agrees to make a loan (individually a “</w:t>
      </w:r>
      <w:r>
        <w:rPr>
          <w:rFonts w:ascii="Arial" w:cs="Arial" w:eastAsia="Arial" w:hAnsi="Arial"/>
          <w:sz w:val="17"/>
          <w:szCs w:val="17"/>
          <w:i w:val="1"/>
          <w:iCs w:val="1"/>
          <w:color w:val="auto"/>
        </w:rPr>
        <w:t>Term Loan</w:t>
      </w:r>
      <w:r>
        <w:rPr>
          <w:rFonts w:ascii="Arial" w:cs="Arial" w:eastAsia="Arial" w:hAnsi="Arial"/>
          <w:sz w:val="17"/>
          <w:szCs w:val="17"/>
          <w:color w:val="auto"/>
        </w:rPr>
        <w:t>” and collectively the “</w:t>
      </w:r>
      <w:r>
        <w:rPr>
          <w:rFonts w:ascii="Arial" w:cs="Arial" w:eastAsia="Arial" w:hAnsi="Arial"/>
          <w:sz w:val="17"/>
          <w:szCs w:val="17"/>
          <w:i w:val="1"/>
          <w:iCs w:val="1"/>
          <w:color w:val="auto"/>
        </w:rPr>
        <w:t>Term Loans</w:t>
      </w:r>
      <w:r>
        <w:rPr>
          <w:rFonts w:ascii="Arial" w:cs="Arial" w:eastAsia="Arial" w:hAnsi="Arial"/>
          <w:sz w:val="17"/>
          <w:szCs w:val="17"/>
          <w:color w:val="auto"/>
        </w:rPr>
        <w:t xml:space="preserve">”) in U.S. Dollars to the Borrower in an amount not to exceed such Term Loan Lender’s Term Loan Commitment; provided that the obligation of each Term </w:t>
      </w:r>
      <w:r>
        <w:rPr>
          <w:rFonts w:ascii="Arial" w:cs="Arial" w:eastAsia="Arial" w:hAnsi="Arial"/>
          <w:sz w:val="17"/>
          <w:szCs w:val="17"/>
          <w:u w:val="single" w:color="auto"/>
          <w:color w:val="0000E1"/>
        </w:rPr>
        <w:t>Loan</w:t>
      </w:r>
      <w:r>
        <w:rPr>
          <w:rFonts w:ascii="Arial" w:cs="Arial" w:eastAsia="Arial" w:hAnsi="Arial"/>
          <w:sz w:val="17"/>
          <w:szCs w:val="17"/>
          <w:color w:val="auto"/>
        </w:rPr>
        <w:t xml:space="preserve"> Lender which is a Rollover Lender to make such Term Loan shall be deemed to be satisfied up to an amount of its Existing 2015 Term Loans by the execution and delivery to the Administrative Agent of a duly completed signature page to this Agreement with the aggregate principal amount of its Existing 2015 Term Loans to be exchanged for Term Loans under this Agreement (and the Term Loans of such Rollover Lender shall be deemed made on the Closing Date of this Agreement). The Term Loans pursuant to the Term Loan Commitments in effect on the Closing Date shall be advanced in a single Borrowing on the Closing Date. As provided in </w:t>
      </w:r>
      <w:r>
        <w:rPr>
          <w:rFonts w:ascii="Arial" w:cs="Arial" w:eastAsia="Arial" w:hAnsi="Arial"/>
          <w:sz w:val="17"/>
          <w:szCs w:val="17"/>
          <w:u w:val="single" w:color="auto"/>
          <w:color w:val="auto"/>
        </w:rPr>
        <w:t>Section 1.6(a)</w:t>
      </w:r>
      <w:r>
        <w:rPr>
          <w:rFonts w:ascii="Arial" w:cs="Arial" w:eastAsia="Arial" w:hAnsi="Arial"/>
          <w:sz w:val="17"/>
          <w:szCs w:val="17"/>
          <w:color w:val="auto"/>
        </w:rPr>
        <w:t xml:space="preserve"> </w:t>
      </w:r>
      <w:r>
        <w:rPr>
          <w:rFonts w:ascii="Arial" w:cs="Arial" w:eastAsia="Arial" w:hAnsi="Arial"/>
          <w:sz w:val="17"/>
          <w:szCs w:val="17"/>
          <w:color w:val="FF0000"/>
          <w:strike w:val="1"/>
        </w:rPr>
        <w:t>hereof</w:t>
      </w:r>
      <w:r>
        <w:rPr>
          <w:rFonts w:ascii="Arial" w:cs="Arial" w:eastAsia="Arial" w:hAnsi="Arial"/>
          <w:sz w:val="17"/>
          <w:szCs w:val="17"/>
          <w:color w:val="auto"/>
        </w:rPr>
        <w:t>, the Borrower may elect that the Term Loans be outstanding as Base Rate Loans or Eurodollar Loans. No amount repaid or prepaid on any Term Loan may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4077970</wp:posOffset>
            </wp:positionH>
            <wp:positionV relativeFrom="paragraph">
              <wp:posOffset>-826770</wp:posOffset>
            </wp:positionV>
            <wp:extent cx="2400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-492760</wp:posOffset>
            </wp:positionV>
            <wp:extent cx="285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-355600</wp:posOffset>
            </wp:positionV>
            <wp:extent cx="285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-218440</wp:posOffset>
            </wp:positionV>
            <wp:extent cx="285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Revolving Credit Commitments</w:t>
      </w:r>
      <w:r>
        <w:rPr>
          <w:rFonts w:ascii="Arial" w:cs="Arial" w:eastAsia="Arial" w:hAnsi="Arial"/>
          <w:sz w:val="18"/>
          <w:szCs w:val="18"/>
          <w:color w:val="auto"/>
        </w:rPr>
        <w:t>. Subject to the terms and conditions hereof, each Revolving Lender, by its acceptance hereof, severally agrees to make a loan or loans (individually a “</w:t>
      </w:r>
      <w:r>
        <w:rPr>
          <w:rFonts w:ascii="Arial" w:cs="Arial" w:eastAsia="Arial" w:hAnsi="Arial"/>
          <w:sz w:val="18"/>
          <w:szCs w:val="18"/>
          <w:i w:val="1"/>
          <w:iCs w:val="1"/>
          <w:color w:val="auto"/>
        </w:rPr>
        <w:t>Revolving Loan</w:t>
      </w:r>
      <w:r>
        <w:rPr>
          <w:rFonts w:ascii="Arial" w:cs="Arial" w:eastAsia="Arial" w:hAnsi="Arial"/>
          <w:sz w:val="18"/>
          <w:szCs w:val="18"/>
          <w:color w:val="auto"/>
        </w:rPr>
        <w:t>” and collectively the “</w:t>
      </w:r>
      <w:r>
        <w:rPr>
          <w:rFonts w:ascii="Arial" w:cs="Arial" w:eastAsia="Arial" w:hAnsi="Arial"/>
          <w:sz w:val="18"/>
          <w:szCs w:val="18"/>
          <w:i w:val="1"/>
          <w:iCs w:val="1"/>
          <w:color w:val="auto"/>
        </w:rPr>
        <w:t>Revolving Loans</w:t>
      </w:r>
      <w:r>
        <w:rPr>
          <w:rFonts w:ascii="Arial" w:cs="Arial" w:eastAsia="Arial" w:hAnsi="Arial"/>
          <w:sz w:val="18"/>
          <w:szCs w:val="18"/>
          <w:color w:val="auto"/>
        </w:rPr>
        <w:t xml:space="preserve">”) in U.S. Dollars to the Borrower from time to time </w:t>
      </w:r>
      <w:r>
        <w:rPr>
          <w:rFonts w:ascii="Arial" w:cs="Arial" w:eastAsia="Arial" w:hAnsi="Arial"/>
          <w:sz w:val="18"/>
          <w:szCs w:val="18"/>
          <w:u w:val="single" w:color="auto"/>
          <w:color w:val="008000"/>
        </w:rPr>
        <w:t>before the Revolving Credit Termination Date applicable to such Class of Revolving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2364105</wp:posOffset>
            </wp:positionH>
            <wp:positionV relativeFrom="paragraph">
              <wp:posOffset>-353695</wp:posOffset>
            </wp:positionV>
            <wp:extent cx="285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0940"/>
          </w:cols>
          <w:pgMar w:left="440" w:top="274" w:right="519" w:bottom="1440" w:gutter="0" w:footer="0" w:header="0"/>
        </w:sectPr>
      </w:pPr>
    </w:p>
    <w:bookmarkStart w:id="62" w:name="page63"/>
    <w:bookmarkEnd w:id="62"/>
    <w:p>
      <w:pPr>
        <w:ind w:left="4" w:right="100"/>
        <w:spacing w:after="0" w:line="283" w:lineRule="auto"/>
        <w:rPr>
          <w:sz w:val="20"/>
          <w:szCs w:val="20"/>
          <w:color w:val="auto"/>
        </w:rPr>
      </w:pPr>
      <w:r>
        <w:rPr>
          <w:rFonts w:ascii="Arial" w:cs="Arial" w:eastAsia="Arial" w:hAnsi="Arial"/>
          <w:sz w:val="16"/>
          <w:szCs w:val="16"/>
          <w:u w:val="single" w:color="auto"/>
          <w:color w:val="008000"/>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Commitment</w:t>
      </w:r>
      <w:r>
        <w:rPr>
          <w:rFonts w:ascii="Arial" w:cs="Arial" w:eastAsia="Arial" w:hAnsi="Arial"/>
          <w:sz w:val="16"/>
          <w:szCs w:val="16"/>
          <w:color w:val="008000"/>
        </w:rPr>
        <w:t xml:space="preserve"> </w:t>
      </w:r>
      <w:r>
        <w:rPr>
          <w:rFonts w:ascii="Arial" w:cs="Arial" w:eastAsia="Arial" w:hAnsi="Arial"/>
          <w:sz w:val="16"/>
          <w:szCs w:val="16"/>
          <w:u w:val="single" w:color="auto"/>
          <w:color w:val="0000E1"/>
        </w:rPr>
        <w:t>(but not during the Financial Covenant Suspension Period)</w:t>
      </w:r>
      <w:r>
        <w:rPr>
          <w:rFonts w:ascii="Arial" w:cs="Arial" w:eastAsia="Arial" w:hAnsi="Arial"/>
          <w:sz w:val="16"/>
          <w:szCs w:val="16"/>
          <w:color w:val="008000"/>
        </w:rPr>
        <w:t xml:space="preserve"> </w:t>
      </w:r>
      <w:r>
        <w:rPr>
          <w:rFonts w:ascii="Arial" w:cs="Arial" w:eastAsia="Arial" w:hAnsi="Arial"/>
          <w:sz w:val="16"/>
          <w:szCs w:val="16"/>
          <w:color w:val="000000"/>
        </w:rPr>
        <w:t>on a revolving basis up to the amount of such Revolving Lender’s Revolving</w:t>
      </w:r>
      <w:r>
        <w:rPr>
          <w:rFonts w:ascii="Arial" w:cs="Arial" w:eastAsia="Arial" w:hAnsi="Arial"/>
          <w:sz w:val="16"/>
          <w:szCs w:val="16"/>
          <w:color w:val="008000"/>
        </w:rPr>
        <w:t xml:space="preserve"> </w:t>
      </w:r>
      <w:r>
        <w:rPr>
          <w:rFonts w:ascii="Arial" w:cs="Arial" w:eastAsia="Arial" w:hAnsi="Arial"/>
          <w:sz w:val="16"/>
          <w:szCs w:val="16"/>
          <w:color w:val="000000"/>
        </w:rPr>
        <w:t>Credit Commitment of the applicable Class, subject to any increases or reductions thereof pursuant to the terms hereof</w:t>
      </w:r>
      <w:r>
        <w:rPr>
          <w:rFonts w:ascii="Arial" w:cs="Arial" w:eastAsia="Arial" w:hAnsi="Arial"/>
          <w:sz w:val="16"/>
          <w:szCs w:val="16"/>
          <w:color w:val="FF0000"/>
          <w:strike w:val="1"/>
        </w:rPr>
        <w:t>,</w:t>
      </w:r>
      <w:r>
        <w:rPr>
          <w:rFonts w:ascii="Arial" w:cs="Arial" w:eastAsia="Arial" w:hAnsi="Arial"/>
          <w:sz w:val="16"/>
          <w:szCs w:val="16"/>
          <w:color w:val="000000"/>
        </w:rPr>
        <w:t xml:space="preserve"> </w:t>
      </w:r>
      <w:r>
        <w:rPr>
          <w:rFonts w:ascii="Arial" w:cs="Arial" w:eastAsia="Arial" w:hAnsi="Arial"/>
          <w:sz w:val="16"/>
          <w:szCs w:val="16"/>
          <w:color w:val="008000"/>
          <w:strike w:val="1"/>
        </w:rPr>
        <w:t>before the Revolving Credit</w:t>
      </w:r>
      <w:r>
        <w:rPr>
          <w:rFonts w:ascii="Arial" w:cs="Arial" w:eastAsia="Arial" w:hAnsi="Arial"/>
          <w:sz w:val="16"/>
          <w:szCs w:val="16"/>
          <w:color w:val="000000"/>
        </w:rPr>
        <w:t xml:space="preserve"> </w:t>
      </w:r>
      <w:r>
        <w:rPr>
          <w:rFonts w:ascii="Arial" w:cs="Arial" w:eastAsia="Arial" w:hAnsi="Arial"/>
          <w:sz w:val="16"/>
          <w:szCs w:val="16"/>
          <w:color w:val="008000"/>
          <w:strike w:val="1"/>
        </w:rPr>
        <w:t>Termination Date applicable to such Class of Revolving Credit Commitment</w:t>
      </w:r>
      <w:r>
        <w:rPr>
          <w:rFonts w:ascii="Arial" w:cs="Arial" w:eastAsia="Arial" w:hAnsi="Arial"/>
          <w:sz w:val="16"/>
          <w:szCs w:val="16"/>
          <w:color w:val="000000"/>
        </w:rPr>
        <w:t>; provided that with respect to any Revolving Loans to be advanced on the</w:t>
      </w:r>
      <w:r>
        <w:rPr>
          <w:rFonts w:ascii="Arial" w:cs="Arial" w:eastAsia="Arial" w:hAnsi="Arial"/>
          <w:sz w:val="16"/>
          <w:szCs w:val="16"/>
          <w:color w:val="008000"/>
        </w:rPr>
        <w:t xml:space="preserve"> </w:t>
      </w:r>
      <w:r>
        <w:rPr>
          <w:rFonts w:ascii="Arial" w:cs="Arial" w:eastAsia="Arial" w:hAnsi="Arial"/>
          <w:sz w:val="16"/>
          <w:szCs w:val="16"/>
          <w:color w:val="000000"/>
        </w:rPr>
        <w:t>Closing Date the obligation of each Revolving Lender which is a Rollover Lender to make such Revolving Loans shall be deemed to be satisfied up to an amount of its Existing 2015 Revolving Loans by the execution and delivery to the Administrative Agent of a duly completed signature page to this Agreement with the aggregate principal amount of its Existing 2015 Revolving Loans to be exchanged for Revolving Loans advanced on the Closing Date under this Agreement (and the Existing 2015 Revolving Loans of such Rollover Lender shall be continued under this Agreement once the Closing Date has occurred). The sum of the aggregate principal amount of Revolving Loans, Swing Loans, and the U.S. Dollar Equivalent of all L/C Obligations of any Class at any time outstanding shall not exceed the aggregate Revolving Credit Commitments of such Class in effect 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-1084580</wp:posOffset>
            </wp:positionV>
            <wp:extent cx="26828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82875" cy="8890"/>
                    </a:xfrm>
                    <a:prstGeom prst="rect">
                      <a:avLst/>
                    </a:prstGeom>
                    <a:noFill/>
                  </pic:spPr>
                </pic:pic>
              </a:graphicData>
            </a:graphic>
          </wp:anchor>
        </w:drawing>
        <w:drawing>
          <wp:anchor simplePos="0" relativeHeight="251657728" behindDoc="1" locked="0" layoutInCell="0" allowOverlap="1">
            <wp:simplePos x="0" y="0"/>
            <wp:positionH relativeFrom="column">
              <wp:posOffset>891540</wp:posOffset>
            </wp:positionH>
            <wp:positionV relativeFrom="paragraph">
              <wp:posOffset>-201295</wp:posOffset>
            </wp:positionV>
            <wp:extent cx="285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4" w:right="340"/>
        <w:spacing w:after="0" w:line="281" w:lineRule="auto"/>
        <w:rPr>
          <w:sz w:val="20"/>
          <w:szCs w:val="20"/>
          <w:color w:val="auto"/>
        </w:rPr>
      </w:pPr>
      <w:r>
        <w:rPr>
          <w:rFonts w:ascii="Arial" w:cs="Arial" w:eastAsia="Arial" w:hAnsi="Arial"/>
          <w:sz w:val="16"/>
          <w:szCs w:val="16"/>
          <w:color w:val="auto"/>
        </w:rPr>
        <w:t xml:space="preserve">time. Each Borrowing of Revolving Loans of any Class shall be made ratably by the relevant Revolving Lenders in proportion to their respective Revolver Percentages. As provided in </w:t>
      </w:r>
      <w:r>
        <w:rPr>
          <w:rFonts w:ascii="Arial" w:cs="Arial" w:eastAsia="Arial" w:hAnsi="Arial"/>
          <w:sz w:val="16"/>
          <w:szCs w:val="16"/>
          <w:u w:val="single" w:color="auto"/>
          <w:color w:val="auto"/>
        </w:rPr>
        <w:t>Section 1.6(a)</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the Borrower may elect that each Borrowing of Revolving Loans be either Base Rate Loans or Eurodollar Loans. Revolving Loans may be repaid and the principal amount thereof reborrowed before the Revolving Credit Termination Date applicable to such Class of Revolving Credit Commitment, subject to the terms and conditions hereof. With respect to any Borrowing of Revolving Loans of any Class made (i) on the Closing Date, the Borrower may use the proceeds thereof to finance a portion of the Transactions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-614680</wp:posOffset>
            </wp:positionV>
            <wp:extent cx="285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-477520</wp:posOffset>
            </wp:positionV>
            <wp:extent cx="285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-340360</wp:posOffset>
            </wp:positionV>
            <wp:extent cx="285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-203200</wp:posOffset>
            </wp:positionV>
            <wp:extent cx="285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4" w:hanging="4"/>
        <w:spacing w:after="0" w:line="255" w:lineRule="auto"/>
        <w:tabs>
          <w:tab w:leader="none" w:pos="269"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and after the Closing Date, the Borrower may use the proceeds thereof to finance the ongoing working capital and purchase price adjustments and other general corporate purposes of the Borrower and its Subsidiaries (including to finance Permitted Acquisitions, capital expenditures, investments, Restricted Payments and for such other legal purposes as are permitted or not prohibited hereunder).</w:t>
      </w:r>
    </w:p>
    <w:p>
      <w:pPr>
        <w:spacing w:after="0" w:line="298" w:lineRule="exact"/>
        <w:rPr>
          <w:sz w:val="20"/>
          <w:szCs w:val="20"/>
          <w:color w:val="auto"/>
        </w:rPr>
      </w:pPr>
    </w:p>
    <w:p>
      <w:pPr>
        <w:ind w:left="444"/>
        <w:spacing w:after="0"/>
        <w:tabs>
          <w:tab w:leader="none" w:pos="1404"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i w:val="1"/>
          <w:iCs w:val="1"/>
          <w:color w:val="auto"/>
        </w:rPr>
        <w:t>Letters of Credit</w:t>
      </w:r>
      <w:r>
        <w:rPr>
          <w:rFonts w:ascii="Arial" w:cs="Arial" w:eastAsia="Arial" w:hAnsi="Arial"/>
          <w:sz w:val="16"/>
          <w:szCs w:val="16"/>
          <w:color w:val="FF0000"/>
          <w:strike w:val="1"/>
        </w:rPr>
        <w:t>(a)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FF0000"/>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1871345</wp:posOffset>
            </wp:positionH>
            <wp:positionV relativeFrom="paragraph">
              <wp:posOffset>-53340</wp:posOffset>
            </wp:positionV>
            <wp:extent cx="1549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4940" cy="8255"/>
                    </a:xfrm>
                    <a:prstGeom prst="rect">
                      <a:avLst/>
                    </a:prstGeom>
                    <a:noFill/>
                  </pic:spPr>
                </pic:pic>
              </a:graphicData>
            </a:graphic>
          </wp:anchor>
        </w:drawing>
      </w:r>
    </w:p>
    <w:p>
      <w:pPr>
        <w:spacing w:after="0" w:line="97" w:lineRule="exact"/>
        <w:rPr>
          <w:sz w:val="20"/>
          <w:szCs w:val="20"/>
          <w:color w:val="auto"/>
        </w:rPr>
      </w:pPr>
    </w:p>
    <w:p>
      <w:pPr>
        <w:ind w:left="4" w:right="40" w:firstLine="987"/>
        <w:spacing w:after="0" w:line="289" w:lineRule="auto"/>
        <w:tabs>
          <w:tab w:leader="none" w:pos="1420" w:val="left"/>
        </w:tabs>
        <w:numPr>
          <w:ilvl w:val="0"/>
          <w:numId w:val="46"/>
        </w:numPr>
        <w:rPr>
          <w:rFonts w:ascii="Arial" w:cs="Arial" w:eastAsia="Arial" w:hAnsi="Arial"/>
          <w:sz w:val="16"/>
          <w:szCs w:val="16"/>
          <w:u w:val="single" w:color="auto"/>
          <w:color w:val="0000E1"/>
        </w:rPr>
      </w:pPr>
      <w:r>
        <w:rPr>
          <w:rFonts w:ascii="Arial" w:cs="Arial" w:eastAsia="Arial" w:hAnsi="Arial"/>
          <w:sz w:val="16"/>
          <w:szCs w:val="16"/>
          <w:i w:val="1"/>
          <w:iCs w:val="1"/>
          <w:color w:val="auto"/>
        </w:rPr>
        <w:t xml:space="preserve">General Terms. </w:t>
      </w:r>
      <w:r>
        <w:rPr>
          <w:rFonts w:ascii="Arial" w:cs="Arial" w:eastAsia="Arial" w:hAnsi="Arial"/>
          <w:sz w:val="16"/>
          <w:szCs w:val="16"/>
          <w:color w:val="auto"/>
        </w:rPr>
        <w:t>Subject to the terms and conditions hereof, as part of the Revolving Credit Facility of such Class, the L/C Issuer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shall, in reliance upon the agreements of the Lenders set forth in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(i) issue commercial or standby Letters of Credit for the account of the Borrower for use by the Borrower or one or more of its Subsidiaries and (ii) honor drawings under the Letters of Credit in accordance with such Letter of Credit;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0000E1"/>
        </w:rPr>
        <w:t>(and subject to clause (l) below)</w:t>
      </w:r>
      <w:r>
        <w:rPr>
          <w:rFonts w:ascii="Arial" w:cs="Arial" w:eastAsia="Arial" w:hAnsi="Arial"/>
          <w:sz w:val="16"/>
          <w:szCs w:val="16"/>
          <w:color w:val="auto"/>
        </w:rPr>
        <w:t xml:space="preserve"> at the time of issuance of any Letter of Credit (or an amendment to an existing Letter of Credit that increases the face amount thereof), the U.S. Dollar Equivalent of the aggregate undrawn face amount of all outstanding Letters of Credit (after giving effect to such issuance or amendment) does not exceed the L/C Sublimit of such Class. Each Letter of Credit shall be issued by the L/C Issuer, but each Revolving Lender in respect of such Class shall be obligated to reimburse the L/C Issuer for such Revolving Lender’s Revolver Percentage of the amount of each drawing thereunder and, accordingly, each Letter of Credit shall constitute usage of the relevant Revolving Credit Commitment of each Lender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an amount equal to its Revolver Percentage of the U.S. Dollar Equivalent of all L/C Obligations then outstanding.</w:t>
      </w:r>
    </w:p>
    <w:p>
      <w:pPr>
        <w:spacing w:after="0" w:line="274" w:lineRule="exact"/>
        <w:rPr>
          <w:rFonts w:ascii="Arial" w:cs="Arial" w:eastAsia="Arial" w:hAnsi="Arial"/>
          <w:sz w:val="16"/>
          <w:szCs w:val="16"/>
          <w:u w:val="single" w:color="auto"/>
          <w:color w:val="0000E1"/>
        </w:rPr>
      </w:pPr>
    </w:p>
    <w:p>
      <w:pPr>
        <w:ind w:left="1384" w:hanging="393"/>
        <w:spacing w:after="0"/>
        <w:tabs>
          <w:tab w:leader="none" w:pos="1384"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Applications.</w:t>
      </w:r>
    </w:p>
    <w:p>
      <w:pPr>
        <w:spacing w:after="0" w:line="117" w:lineRule="exact"/>
        <w:rPr>
          <w:rFonts w:ascii="Arial" w:cs="Arial" w:eastAsia="Arial" w:hAnsi="Arial"/>
          <w:sz w:val="18"/>
          <w:szCs w:val="18"/>
          <w:color w:val="auto"/>
        </w:rPr>
      </w:pPr>
    </w:p>
    <w:p>
      <w:pPr>
        <w:ind w:left="4" w:firstLine="1428"/>
        <w:spacing w:after="0" w:line="296" w:lineRule="auto"/>
        <w:tabs>
          <w:tab w:leader="none" w:pos="1776" w:val="left"/>
        </w:tabs>
        <w:numPr>
          <w:ilvl w:val="1"/>
          <w:numId w:val="46"/>
        </w:numPr>
        <w:rPr>
          <w:rFonts w:ascii="Arial" w:cs="Arial" w:eastAsia="Arial" w:hAnsi="Arial"/>
          <w:sz w:val="16"/>
          <w:szCs w:val="16"/>
          <w:color w:val="auto"/>
        </w:rPr>
      </w:pPr>
      <w:r>
        <w:rPr>
          <w:rFonts w:ascii="Arial" w:cs="Arial" w:eastAsia="Arial" w:hAnsi="Arial"/>
          <w:sz w:val="16"/>
          <w:szCs w:val="16"/>
          <w:color w:val="auto"/>
        </w:rPr>
        <w:t>At any time before the relevant Revolving Credit Termination Date (including, for the avoidance of doubt, on the Closing Date), the L/C Issuer shall, at the request of the Borrower, issue one or more Letters of Credit in U.S. Dollars, Canadian Dollars or such other currency as is acceptable to the L/C Issuer (Canadian Dollars and such other currencies acceptable to the L/C Issuer from time to time are referred to herein as “</w:t>
      </w:r>
      <w:r>
        <w:rPr>
          <w:rFonts w:ascii="Arial" w:cs="Arial" w:eastAsia="Arial" w:hAnsi="Arial"/>
          <w:sz w:val="16"/>
          <w:szCs w:val="16"/>
          <w:i w:val="1"/>
          <w:iCs w:val="1"/>
          <w:color w:val="auto"/>
        </w:rPr>
        <w:t>Eligible Foreign Currencies</w:t>
      </w:r>
      <w:r>
        <w:rPr>
          <w:rFonts w:ascii="Arial" w:cs="Arial" w:eastAsia="Arial" w:hAnsi="Arial"/>
          <w:sz w:val="16"/>
          <w:szCs w:val="16"/>
          <w:color w:val="auto"/>
        </w:rPr>
        <w:t>”), in a form reasonably satisfactory to the L/C Issuer and the Borrower, with expiration dates (or which are cancelable) no later than the earlier of (x) 12 months from the date of issuance or last extension, or such later time as may be agreed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-2211070</wp:posOffset>
            </wp:positionV>
            <wp:extent cx="1289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1605915</wp:posOffset>
            </wp:positionH>
            <wp:positionV relativeFrom="paragraph">
              <wp:posOffset>-2287905</wp:posOffset>
            </wp:positionV>
            <wp:extent cx="285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1097280</wp:posOffset>
            </wp:positionH>
            <wp:positionV relativeFrom="paragraph">
              <wp:posOffset>-1799590</wp:posOffset>
            </wp:positionV>
            <wp:extent cx="14998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7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63" w:name="page64"/>
    <w:bookmarkEnd w:id="63"/>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Required Revolving Lenders and (y) seven (7) Business Days prior to the Revolving Credit Termination Date, in an aggregate face amount as set forth in </w:t>
      </w:r>
      <w:r>
        <w:rPr>
          <w:rFonts w:ascii="Arial" w:cs="Arial" w:eastAsia="Arial" w:hAnsi="Arial"/>
          <w:sz w:val="18"/>
          <w:szCs w:val="18"/>
          <w:u w:val="single" w:color="auto"/>
          <w:color w:val="auto"/>
        </w:rPr>
        <w:t>Section 1.3(a)</w:t>
      </w:r>
      <w:r>
        <w:rPr>
          <w:rFonts w:ascii="Arial" w:cs="Arial" w:eastAsia="Arial" w:hAnsi="Arial"/>
          <w:sz w:val="18"/>
          <w:szCs w:val="18"/>
          <w:color w:val="auto"/>
        </w:rPr>
        <w:t xml:space="preserve"> </w:t>
      </w:r>
      <w:r>
        <w:rPr>
          <w:rFonts w:ascii="Arial" w:cs="Arial" w:eastAsia="Arial" w:hAnsi="Arial"/>
          <w:sz w:val="18"/>
          <w:szCs w:val="18"/>
          <w:color w:val="FF0000"/>
          <w:strike w:val="1"/>
        </w:rPr>
        <w:t>above</w:t>
      </w:r>
      <w:r>
        <w:rPr>
          <w:rFonts w:ascii="Arial" w:cs="Arial" w:eastAsia="Arial" w:hAnsi="Arial"/>
          <w:sz w:val="18"/>
          <w:szCs w:val="18"/>
          <w:color w:val="auto"/>
        </w:rPr>
        <w:t>, upon the receipt of an application duly executed by the Borrower, and, if such Letter of Credit is for the account of one of the Subsidiaries, such Subsidiary, for the relevant Letter of Credit in the form then customarily prescribed by the L/C Issuer for the Letter of Credit requested (each an “</w:t>
      </w:r>
      <w:r>
        <w:rPr>
          <w:rFonts w:ascii="Arial" w:cs="Arial" w:eastAsia="Arial" w:hAnsi="Arial"/>
          <w:sz w:val="18"/>
          <w:szCs w:val="18"/>
          <w:i w:val="1"/>
          <w:iCs w:val="1"/>
          <w:color w:val="auto"/>
        </w:rPr>
        <w:t>Application</w:t>
      </w:r>
      <w:r>
        <w:rPr>
          <w:rFonts w:ascii="Arial" w:cs="Arial" w:eastAsia="Arial" w:hAnsi="Arial"/>
          <w:sz w:val="18"/>
          <w:szCs w:val="18"/>
          <w:color w:val="auto"/>
        </w:rPr>
        <w:t xml:space="preserve">”). Notwithstanding anything contained in any Application to the contrary: (i) the Borrower shall pay fees in connection with each Letter of Credit as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and (ii) except as otherwise provided in </w:t>
      </w:r>
      <w:r>
        <w:rPr>
          <w:rFonts w:ascii="Arial" w:cs="Arial" w:eastAsia="Arial" w:hAnsi="Arial"/>
          <w:sz w:val="18"/>
          <w:szCs w:val="18"/>
          <w:u w:val="single" w:color="auto"/>
          <w:color w:val="auto"/>
        </w:rPr>
        <w:t>Section 1.9(b)(iv)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(b)(vi)</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before the occurrence and continuance of an Event of Default, the L/C Issuer will not call for the funding by the Borrower of any amount under a Letter of Credit before being presented with a drawing thereunder. The L/C Issuer agrees to issue amendments to the Letter(s) of Credit increasing the amount, or extending the expiration date, thereof at the request of the Borrower, subject to the conditions of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and the other terms of this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-756920</wp:posOffset>
            </wp:positionV>
            <wp:extent cx="285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-756920</wp:posOffset>
            </wp:positionV>
            <wp:extent cx="285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6" w:lineRule="exact"/>
        <w:rPr>
          <w:sz w:val="20"/>
          <w:szCs w:val="20"/>
          <w:color w:val="auto"/>
        </w:rPr>
      </w:pPr>
    </w:p>
    <w:p>
      <w:pPr>
        <w:ind w:right="20" w:firstLine="1428"/>
        <w:spacing w:after="0" w:line="268" w:lineRule="auto"/>
        <w:tabs>
          <w:tab w:leader="none" w:pos="1832" w:val="left"/>
        </w:tabs>
        <w:numPr>
          <w:ilvl w:val="1"/>
          <w:numId w:val="47"/>
        </w:numPr>
        <w:rPr>
          <w:rFonts w:ascii="Arial" w:cs="Arial" w:eastAsia="Arial" w:hAnsi="Arial"/>
          <w:sz w:val="17"/>
          <w:szCs w:val="17"/>
          <w:color w:val="auto"/>
        </w:rPr>
      </w:pPr>
      <w:r>
        <w:rPr>
          <w:rFonts w:ascii="Arial" w:cs="Arial" w:eastAsia="Arial" w:hAnsi="Arial"/>
          <w:sz w:val="17"/>
          <w:szCs w:val="17"/>
          <w:color w:val="auto"/>
        </w:rPr>
        <w:t>If the Borrower so requests in any applicable Application, the L/C Issuer shall agree to issue a Letter of Credit that has automatic extension provisions (each, an “</w:t>
      </w:r>
      <w:r>
        <w:rPr>
          <w:rFonts w:ascii="Arial" w:cs="Arial" w:eastAsia="Arial" w:hAnsi="Arial"/>
          <w:sz w:val="17"/>
          <w:szCs w:val="17"/>
          <w:i w:val="1"/>
          <w:iCs w:val="1"/>
          <w:color w:val="auto"/>
        </w:rPr>
        <w:t>Auto-Extension Letter of Credit</w:t>
      </w:r>
      <w:r>
        <w:rPr>
          <w:rFonts w:ascii="Arial" w:cs="Arial" w:eastAsia="Arial" w:hAnsi="Arial"/>
          <w:sz w:val="17"/>
          <w:szCs w:val="17"/>
          <w:color w:val="auto"/>
        </w:rPr>
        <w:t xml:space="preserve">”) in accordance with the provisions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7"/>
          <w:szCs w:val="17"/>
          <w:i w:val="1"/>
          <w:iCs w:val="1"/>
          <w:color w:val="auto"/>
        </w:rPr>
        <w:t>Non-Extension Notice Date</w:t>
      </w:r>
      <w:r>
        <w:rPr>
          <w:rFonts w:ascii="Arial" w:cs="Arial" w:eastAsia="Arial" w:hAnsi="Arial"/>
          <w:sz w:val="17"/>
          <w:szCs w:val="17"/>
          <w:color w:val="auto"/>
        </w:rPr>
        <w:t xml:space="preserve">”) in each such twelve-month period to be agreed upon at the time such Letter of Credit is issued, but which date shall be at least ten (10) Business Days prior to the maturity of such Auto-Extension Letter of Credit.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provided, however, that the L/C Issuer shall not permit any such extension if (A) the L/C Issuer has determined that it would not be permitted, or would have no obligation, at such time to issue such Letter of Credit in its revised form (as extended) under the terms hereof, or (B) it has received notice (which may be by telephone or in writing) on or before the day that is seven </w:t>
      </w:r>
      <w:r>
        <w:rPr>
          <w:rFonts w:ascii="Arial" w:cs="Arial" w:eastAsia="Arial" w:hAnsi="Arial"/>
          <w:sz w:val="17"/>
          <w:szCs w:val="17"/>
          <w:u w:val="single" w:color="auto"/>
          <w:color w:val="0000E1"/>
        </w:rPr>
        <w:t>(7)</w:t>
      </w:r>
      <w:r>
        <w:rPr>
          <w:rFonts w:ascii="Arial" w:cs="Arial" w:eastAsia="Arial" w:hAnsi="Arial"/>
          <w:sz w:val="17"/>
          <w:szCs w:val="17"/>
          <w:color w:val="auto"/>
        </w:rPr>
        <w:t xml:space="preserve"> Business Days before the Non-Extension Notice Date (1) from the Administrative Agent that the Required Revolving Lenders have elected not to permit such extension or (2) from the Administrative Agent, any Lender or the Borrower that one or more of the applicable conditions specified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is not then satisfied, and in each such case directing the L/C Issuer not to permit such extension.</w:t>
      </w:r>
    </w:p>
    <w:p>
      <w:pPr>
        <w:spacing w:after="0" w:line="184" w:lineRule="exact"/>
        <w:rPr>
          <w:rFonts w:ascii="Arial" w:cs="Arial" w:eastAsia="Arial" w:hAnsi="Arial"/>
          <w:sz w:val="17"/>
          <w:szCs w:val="17"/>
          <w:color w:val="auto"/>
        </w:rPr>
      </w:pPr>
    </w:p>
    <w:p>
      <w:pPr>
        <w:ind w:firstLine="987"/>
        <w:spacing w:after="0" w:line="287" w:lineRule="auto"/>
        <w:tabs>
          <w:tab w:leader="none" w:pos="1371"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The Reimbursement Obligations. </w:t>
      </w:r>
      <w:r>
        <w:rPr>
          <w:rFonts w:ascii="Arial" w:cs="Arial" w:eastAsia="Arial" w:hAnsi="Arial"/>
          <w:sz w:val="16"/>
          <w:szCs w:val="16"/>
          <w:color w:val="auto"/>
        </w:rPr>
        <w:t>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1.3(b)</w:t>
      </w:r>
      <w:r>
        <w:rPr>
          <w:rFonts w:ascii="Arial" w:cs="Arial" w:eastAsia="Arial" w:hAnsi="Arial"/>
          <w:sz w:val="16"/>
          <w:szCs w:val="16"/>
          <w:i w:val="1"/>
          <w:iCs w:val="1"/>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the obligation of the Borrower to reimburse the L/C Issuer for all</w:t>
      </w:r>
      <w:r>
        <w:rPr>
          <w:rFonts w:ascii="Arial" w:cs="Arial" w:eastAsia="Arial" w:hAnsi="Arial"/>
          <w:sz w:val="16"/>
          <w:szCs w:val="16"/>
          <w:i w:val="1"/>
          <w:iCs w:val="1"/>
          <w:color w:val="auto"/>
        </w:rPr>
        <w:t xml:space="preserve"> </w:t>
      </w:r>
      <w:r>
        <w:rPr>
          <w:rFonts w:ascii="Arial" w:cs="Arial" w:eastAsia="Arial" w:hAnsi="Arial"/>
          <w:sz w:val="16"/>
          <w:szCs w:val="16"/>
          <w:color w:val="auto"/>
        </w:rPr>
        <w:t>drawings (for the avoidance of doubt, excluding any fees and expenses incurred by the L/C Issuer in connection therewith) under a Letter of Credit (a “</w:t>
      </w:r>
      <w:r>
        <w:rPr>
          <w:rFonts w:ascii="Arial" w:cs="Arial" w:eastAsia="Arial" w:hAnsi="Arial"/>
          <w:sz w:val="16"/>
          <w:szCs w:val="16"/>
          <w:i w:val="1"/>
          <w:iCs w:val="1"/>
          <w:color w:val="auto"/>
        </w:rPr>
        <w:t>Reimbursement Obligation</w:t>
      </w:r>
      <w:r>
        <w:rPr>
          <w:rFonts w:ascii="Arial" w:cs="Arial" w:eastAsia="Arial" w:hAnsi="Arial"/>
          <w:sz w:val="16"/>
          <w:szCs w:val="16"/>
          <w:color w:val="auto"/>
        </w:rPr>
        <w:t xml:space="preserve">”) and reimbursement of the Reimbursement Obligations shall be made by no later than 1:00 p.m. (New York time) on the Business Day immediately following the date that the Borrower receives notice that such drawing is made (or, if such notice is received less than two hours prior to the deadline for requesting Base Rate Loans pursuant to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on the second Business Day immediately following the date the Borrower receives such notice), in U.S. Dollars in funds that are immediately available at the Administrative Agent’s principal office in New York, New York or such other office as the Administrative Agent may designate in writing to the Borrower (who shall thereafter cause to be distributed to the L/C Issuer such amount(s) in like funds). As to any Letter of Credit payable in an Eligible Foreign Currency, the Reimbursement Obligation shall be payable in either (i) the U.S. Dollar Equivalent of the relevant amount of such Eligible Foreign Currency at the rate of exchange then current in New York, New York for transfers of such Eligible Foreign Currency to the place of payment or (ii) such Eligible Foreign Currency. If the Borrower does not inform the L/C Issuer that it intends to timely reimburse the amount of any drawing under a Letter of Credit in accordance with this </w:t>
      </w:r>
      <w:r>
        <w:rPr>
          <w:rFonts w:ascii="Arial" w:cs="Arial" w:eastAsia="Arial" w:hAnsi="Arial"/>
          <w:sz w:val="16"/>
          <w:szCs w:val="16"/>
          <w:u w:val="single" w:color="auto"/>
          <w:color w:val="auto"/>
        </w:rPr>
        <w:t>Section 1.3(c)</w:t>
      </w:r>
      <w:r>
        <w:rPr>
          <w:rFonts w:ascii="Arial" w:cs="Arial" w:eastAsia="Arial" w:hAnsi="Arial"/>
          <w:sz w:val="16"/>
          <w:szCs w:val="16"/>
          <w:color w:val="auto"/>
        </w:rPr>
        <w:t xml:space="preserve"> from its own funds, the Administrative Agent shall promptly notify each relevant Revolving Lender of the date of such drawing,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2433955</wp:posOffset>
            </wp:positionH>
            <wp:positionV relativeFrom="paragraph">
              <wp:posOffset>-2969895</wp:posOffset>
            </wp:positionV>
            <wp:extent cx="285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-2832735</wp:posOffset>
            </wp:positionV>
            <wp:extent cx="285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-2206625</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1666240</wp:posOffset>
            </wp:positionH>
            <wp:positionV relativeFrom="paragraph">
              <wp:posOffset>-638175</wp:posOffset>
            </wp:positionV>
            <wp:extent cx="285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-363855</wp:posOffset>
            </wp:positionV>
            <wp:extent cx="285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4" w:name="page65"/>
    <w:bookmarkEnd w:id="64"/>
    <w:p>
      <w:pPr>
        <w:ind w:left="4"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amount of such Reimbursement Obligation, and the amount of such Revolving Lender’s Revolver Percentage thereof and the Borrower shall be deemed to have requested a Borrowing of Revolving Loans in the form of Base Rate Loans to be disbursed on the date of such drawing in an amount equal to the U.S. Dollar Equivalent of such Reimbursement Obligation (without regard to the minimums and multiples specified in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and such Reimbursement Obligation shall be deemed discharged, subject to (x) the aggregate amount of Revolving Credit Commitments of such Class available at such time and (y) the conditions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(it being understood that the failure of the Borrower to pay the L/C Issuer the Reimbursement Obligation from its own funds and any delay in the payment of any Reimbursement Obligation beyond the date and time due shall not constitute a Default or an Event of Default hereunder to the extent a Base Rate Loan is disbursed in accordance with this </w:t>
      </w:r>
      <w:r>
        <w:rPr>
          <w:rFonts w:ascii="Arial" w:cs="Arial" w:eastAsia="Arial" w:hAnsi="Arial"/>
          <w:sz w:val="16"/>
          <w:szCs w:val="16"/>
          <w:u w:val="single" w:color="auto"/>
          <w:color w:val="auto"/>
        </w:rPr>
        <w:t>Section 1.3(c)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with respect to any Reimbursement Obligations that are not reimbursed by a Borrowing of Revolving Loans, such Reimbursement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Obligations that are not so reimbursed shall bear interest (which the Borrower hereby promises to pay) from and after the date such drawing is paid at a rate per annum equal to the Default Rate as set forth in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If the Borrower does not make any such reimbursement payment on the date due and the Participating Lenders fund their Participating Interest therein in the manner set forth in </w:t>
      </w:r>
      <w:r>
        <w:rPr>
          <w:rFonts w:ascii="Arial" w:cs="Arial" w:eastAsia="Arial" w:hAnsi="Arial"/>
          <w:sz w:val="16"/>
          <w:szCs w:val="16"/>
          <w:u w:val="single" w:color="auto"/>
          <w:color w:val="auto"/>
        </w:rPr>
        <w:t>Section 1.3(d)</w:t>
      </w:r>
      <w:r>
        <w:rPr>
          <w:rFonts w:ascii="Arial" w:cs="Arial" w:eastAsia="Arial" w:hAnsi="Arial"/>
          <w:sz w:val="16"/>
          <w:szCs w:val="16"/>
          <w:color w:val="auto"/>
        </w:rPr>
        <w:t xml:space="preserve"> </w:t>
      </w:r>
      <w:r>
        <w:rPr>
          <w:rFonts w:ascii="Arial" w:cs="Arial" w:eastAsia="Arial" w:hAnsi="Arial"/>
          <w:sz w:val="16"/>
          <w:szCs w:val="16"/>
          <w:color w:val="FF0000"/>
          <w:strike w:val="1"/>
        </w:rPr>
        <w:t>below</w:t>
      </w:r>
      <w:r>
        <w:rPr>
          <w:rFonts w:ascii="Arial" w:cs="Arial" w:eastAsia="Arial" w:hAnsi="Arial"/>
          <w:sz w:val="16"/>
          <w:szCs w:val="16"/>
          <w:color w:val="auto"/>
        </w:rPr>
        <w:t>, then all payments thereafter received by the Administrative Agent in discharge of any of the relevant Reimbursement Obligations shall be distributed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-340360</wp:posOffset>
            </wp:positionV>
            <wp:extent cx="285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w:t>
      </w:r>
      <w:r>
        <w:rPr>
          <w:rFonts w:ascii="Arial" w:cs="Arial" w:eastAsia="Arial" w:hAnsi="Arial"/>
          <w:sz w:val="18"/>
          <w:szCs w:val="18"/>
          <w:color w:val="FF0000"/>
          <w:strike w:val="1"/>
        </w:rPr>
        <w:t>below</w:t>
      </w:r>
      <w:r>
        <w:rPr>
          <w:rFonts w:ascii="Arial" w:cs="Arial" w:eastAsia="Arial" w:hAnsi="Arial"/>
          <w:sz w:val="18"/>
          <w:szCs w:val="18"/>
          <w:color w:val="auto"/>
        </w:rPr>
        <w:t>.</w:t>
      </w:r>
    </w:p>
    <w:p>
      <w:pPr>
        <w:spacing w:after="0" w:line="211" w:lineRule="exact"/>
        <w:rPr>
          <w:sz w:val="20"/>
          <w:szCs w:val="20"/>
          <w:color w:val="auto"/>
        </w:rPr>
      </w:pPr>
    </w:p>
    <w:p>
      <w:pPr>
        <w:ind w:left="4" w:firstLine="987"/>
        <w:spacing w:after="0" w:line="283" w:lineRule="auto"/>
        <w:tabs>
          <w:tab w:leader="none" w:pos="1385" w:val="left"/>
        </w:tabs>
        <w:numPr>
          <w:ilvl w:val="1"/>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The Participating Interests. </w:t>
      </w:r>
      <w:r>
        <w:rPr>
          <w:rFonts w:ascii="Arial" w:cs="Arial" w:eastAsia="Arial" w:hAnsi="Arial"/>
          <w:sz w:val="16"/>
          <w:szCs w:val="16"/>
          <w:color w:val="auto"/>
        </w:rPr>
        <w:t>Each Revolving Lender (other than the Revolving Lender acting as L/C Issuer in issuing the relevant</w:t>
      </w:r>
      <w:r>
        <w:rPr>
          <w:rFonts w:ascii="Arial" w:cs="Arial" w:eastAsia="Arial" w:hAnsi="Arial"/>
          <w:sz w:val="16"/>
          <w:szCs w:val="16"/>
          <w:i w:val="1"/>
          <w:iCs w:val="1"/>
          <w:color w:val="auto"/>
        </w:rPr>
        <w:t xml:space="preserve"> </w:t>
      </w:r>
      <w:r>
        <w:rPr>
          <w:rFonts w:ascii="Arial" w:cs="Arial" w:eastAsia="Arial" w:hAnsi="Arial"/>
          <w:sz w:val="16"/>
          <w:szCs w:val="16"/>
          <w:color w:val="auto"/>
        </w:rPr>
        <w:t>Letter of Credit), by its acceptance hereof, severally agrees to purchase from the L/C Issuer, and the L/C Issuer hereby agrees to sell to each such Revolving Lender (a “</w:t>
      </w:r>
      <w:r>
        <w:rPr>
          <w:rFonts w:ascii="Arial" w:cs="Arial" w:eastAsia="Arial" w:hAnsi="Arial"/>
          <w:sz w:val="16"/>
          <w:szCs w:val="16"/>
          <w:i w:val="1"/>
          <w:iCs w:val="1"/>
          <w:color w:val="auto"/>
        </w:rPr>
        <w:t>Participating Lender</w:t>
      </w:r>
      <w:r>
        <w:rPr>
          <w:rFonts w:ascii="Arial" w:cs="Arial" w:eastAsia="Arial" w:hAnsi="Arial"/>
          <w:sz w:val="16"/>
          <w:szCs w:val="16"/>
          <w:color w:val="auto"/>
        </w:rPr>
        <w:t>”), an undivided percentage participating interest (a “</w:t>
      </w:r>
      <w:r>
        <w:rPr>
          <w:rFonts w:ascii="Arial" w:cs="Arial" w:eastAsia="Arial" w:hAnsi="Arial"/>
          <w:sz w:val="16"/>
          <w:szCs w:val="16"/>
          <w:i w:val="1"/>
          <w:iCs w:val="1"/>
          <w:color w:val="auto"/>
        </w:rPr>
        <w:t>Participating Interest</w:t>
      </w:r>
      <w:r>
        <w:rPr>
          <w:rFonts w:ascii="Arial" w:cs="Arial" w:eastAsia="Arial" w:hAnsi="Arial"/>
          <w:sz w:val="16"/>
          <w:szCs w:val="16"/>
          <w:color w:val="auto"/>
        </w:rPr>
        <w:t xml:space="preserve">”), to the extent of its Revolver Percentage of such Class, in each Letter of Credit issued by, and each Reimbursement Obligation owed to, the L/C Issuer in respect of such Class. Upon any failure by the Borrower to pay any Reimbursement Obligation (or if such Reimbursement Obligation is not reimbursed with Revolving Loans pursuant to </w:t>
      </w:r>
      <w:r>
        <w:rPr>
          <w:rFonts w:ascii="Arial" w:cs="Arial" w:eastAsia="Arial" w:hAnsi="Arial"/>
          <w:sz w:val="16"/>
          <w:szCs w:val="16"/>
          <w:u w:val="single" w:color="auto"/>
          <w:color w:val="auto"/>
        </w:rPr>
        <w:t>Section 1.3(c)</w:t>
      </w:r>
      <w:r>
        <w:rPr>
          <w:rFonts w:ascii="Arial" w:cs="Arial" w:eastAsia="Arial" w:hAnsi="Arial"/>
          <w:sz w:val="16"/>
          <w:szCs w:val="16"/>
          <w:color w:val="auto"/>
        </w:rPr>
        <w:t xml:space="preserve">) at the time required on the date the related drawing is to be paid as set forth in </w:t>
      </w:r>
      <w:r>
        <w:rPr>
          <w:rFonts w:ascii="Arial" w:cs="Arial" w:eastAsia="Arial" w:hAnsi="Arial"/>
          <w:sz w:val="16"/>
          <w:szCs w:val="16"/>
          <w:u w:val="single" w:color="auto"/>
          <w:color w:val="auto"/>
        </w:rPr>
        <w:t>Section 1.3(c)</w:t>
      </w:r>
      <w:r>
        <w:rPr>
          <w:rFonts w:ascii="Arial" w:cs="Arial" w:eastAsia="Arial" w:hAnsi="Arial"/>
          <w:sz w:val="16"/>
          <w:szCs w:val="16"/>
          <w:color w:val="auto"/>
        </w:rPr>
        <w:t xml:space="preserve"> </w:t>
      </w:r>
      <w:r>
        <w:rPr>
          <w:rFonts w:ascii="Arial" w:cs="Arial" w:eastAsia="Arial" w:hAnsi="Arial"/>
          <w:sz w:val="16"/>
          <w:szCs w:val="16"/>
          <w:color w:val="FF0000"/>
          <w:strike w:val="1"/>
        </w:rPr>
        <w:t>above</w:t>
      </w:r>
      <w:r>
        <w:rPr>
          <w:rFonts w:ascii="Arial" w:cs="Arial" w:eastAsia="Arial" w:hAnsi="Arial"/>
          <w:sz w:val="16"/>
          <w:szCs w:val="16"/>
          <w:color w:val="auto"/>
        </w:rPr>
        <w:t xml:space="preserve">, or if the L/C Issuer is required at any time to return to the Borrower or to a trustee, receiver, liquidator, custodian or other Person any portion of any payment of any Reimbursement Obligation, each Participating Lender shall, not later than the Business Day it receives a certificate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t>
      </w:r>
      <w:r>
        <w:rPr>
          <w:rFonts w:ascii="Arial" w:cs="Arial" w:eastAsia="Arial" w:hAnsi="Arial"/>
          <w:sz w:val="16"/>
          <w:szCs w:val="16"/>
          <w:color w:val="FF0000"/>
          <w:strike w:val="1"/>
        </w:rPr>
        <w:t>hereto</w:t>
      </w:r>
      <w:r>
        <w:rPr>
          <w:rFonts w:ascii="Arial" w:cs="Arial" w:eastAsia="Arial" w:hAnsi="Arial"/>
          <w:sz w:val="16"/>
          <w:szCs w:val="16"/>
          <w:color w:val="auto"/>
        </w:rPr>
        <w:t xml:space="preserve"> from the L/C Issuer (with a copy to the Administrative Agent) to such effect, if such certificate is received before 1:00 p.m. (New York time) or, if such certificate is received after such time, not later than 1:00 p.m. (New York time) on the following Business Day, pay to the Administrative Agent for the account of the L/C Issuer an amount equal to such Participating Lender’s Revolver Percentage of the U.S. Dollar Equivalent of such unpaid or recaptured Reimbursement Obligation together with interest on such amount accrued from the date the related payment was made by the L/C Issuer to the date of such payment by such Participating Lender at a rate per annum equal to: (i) from the date the related payment was made by the L/C Issuer to the date two (2) Business Days after payment by such Participating Lender is due hereunder, the Federal Funds </w:t>
      </w:r>
      <w:r>
        <w:rPr>
          <w:rFonts w:ascii="Arial" w:cs="Arial" w:eastAsia="Arial" w:hAnsi="Arial"/>
          <w:sz w:val="16"/>
          <w:szCs w:val="16"/>
          <w:u w:val="single" w:color="auto"/>
          <w:color w:val="0000E1"/>
        </w:rPr>
        <w:t>Effective</w:t>
      </w:r>
      <w:r>
        <w:rPr>
          <w:rFonts w:ascii="Arial" w:cs="Arial" w:eastAsia="Arial" w:hAnsi="Arial"/>
          <w:sz w:val="16"/>
          <w:szCs w:val="16"/>
          <w:color w:val="auto"/>
        </w:rPr>
        <w:t xml:space="preserve"> Rate for each such day and</w:t>
      </w:r>
    </w:p>
    <w:p>
      <w:pPr>
        <w:spacing w:after="0" w:line="1" w:lineRule="exact"/>
        <w:rPr>
          <w:rFonts w:ascii="Arial" w:cs="Arial" w:eastAsia="Arial" w:hAnsi="Arial"/>
          <w:sz w:val="16"/>
          <w:szCs w:val="16"/>
          <w:color w:val="auto"/>
        </w:rPr>
      </w:pPr>
    </w:p>
    <w:p>
      <w:pPr>
        <w:ind w:left="4" w:right="20" w:hanging="4"/>
        <w:spacing w:after="0" w:line="286" w:lineRule="auto"/>
        <w:tabs>
          <w:tab w:leader="none" w:pos="269"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from the date two (2) Business Days after the date such payment is due from such Participating Lender to the date such payment is made by such Participating Lender, the Alternate Base Rate in effect for each such day. Each such Participating Lender shall thereafter be entitled to receive its Revolver Percentage of each payment received in respect of the relevant Reimbursement Obligation and of interest paid thereon, with the L/C Issuer retaining its Revolver Percentage thereof as a Revolving Lender hereunder. The several obligations of the Participating Lenders to the L/C Issuer under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shall be absolute, irrevocable, and unconditional under any and all circumstances whatsoever and shall not be subject to any set off, counterclaim or defense to payment which any Participating Lender may have or have had against the Borrower, the L/C Issuer, the Administrative Agent, any Revolving Lender or any other Person whatsoever. Without limiting the generality of the foregoing, such obligations shall not be affected by any Default or Event of Default or by any reduction or termination of any Revolving Credit Commitment of any Revolving Lender, and each payment by a Participating Lender under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shall be made without any offset, abatement, withholding or reduction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-3103880</wp:posOffset>
            </wp:positionV>
            <wp:extent cx="285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-2692400</wp:posOffset>
            </wp:positionV>
            <wp:extent cx="285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3816350</wp:posOffset>
            </wp:positionH>
            <wp:positionV relativeFrom="paragraph">
              <wp:posOffset>-1457960</wp:posOffset>
            </wp:positionV>
            <wp:extent cx="285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-1243965</wp:posOffset>
            </wp:positionV>
            <wp:extent cx="4114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3326130</wp:posOffset>
            </wp:positionH>
            <wp:positionV relativeFrom="paragraph">
              <wp:posOffset>-1046480</wp:posOffset>
            </wp:positionV>
            <wp:extent cx="285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-772160</wp:posOffset>
            </wp:positionV>
            <wp:extent cx="285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-360680</wp:posOffset>
            </wp:positionV>
            <wp:extent cx="285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8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65" w:name="page66"/>
    <w:bookmarkEnd w:id="65"/>
    <w:p>
      <w:pPr>
        <w:ind w:firstLine="987"/>
        <w:spacing w:after="0" w:line="293" w:lineRule="auto"/>
        <w:tabs>
          <w:tab w:leader="none" w:pos="1371"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Manner of Requesting a Letter of Credit</w:t>
      </w:r>
      <w:r>
        <w:rPr>
          <w:rFonts w:ascii="Arial" w:cs="Arial" w:eastAsia="Arial" w:hAnsi="Arial"/>
          <w:sz w:val="16"/>
          <w:szCs w:val="16"/>
          <w:color w:val="auto"/>
        </w:rPr>
        <w:t>. The Borrower shall provide at least three (3) Business Days’ (or such shorter period as may</w:t>
      </w:r>
      <w:r>
        <w:rPr>
          <w:rFonts w:ascii="Arial" w:cs="Arial" w:eastAsia="Arial" w:hAnsi="Arial"/>
          <w:sz w:val="16"/>
          <w:szCs w:val="16"/>
          <w:i w:val="1"/>
          <w:iCs w:val="1"/>
          <w:color w:val="auto"/>
        </w:rPr>
        <w:t xml:space="preserve"> </w:t>
      </w:r>
      <w:r>
        <w:rPr>
          <w:rFonts w:ascii="Arial" w:cs="Arial" w:eastAsia="Arial" w:hAnsi="Arial"/>
          <w:sz w:val="16"/>
          <w:szCs w:val="16"/>
          <w:color w:val="auto"/>
        </w:rPr>
        <w:t>be reasonably agreed to by the Administrative Agent) advance written notice to the Administrative Agent of each request for the issuance of a Letter of Credit, such notice in each case to be accompanied by an Application for such Letter of Credit properly completed and executed by the Borrower and, in the case of an amendment, extension or an increase in the amount of a Letter of Credit, a written request therefor, in a form reasonably acceptable to the Administrative Agent and the L/C Issuer. The Administrative Agent shall promptly notify the L/C Issuer of the Administrative Agent’s receipt of each such notice and the L/C Issuer shall promptly notify the Administrative Agent and the Lenders of the issuance of the Letter of Credit so requested.</w:t>
      </w:r>
    </w:p>
    <w:p>
      <w:pPr>
        <w:spacing w:after="0" w:line="164" w:lineRule="exact"/>
        <w:rPr>
          <w:rFonts w:ascii="Arial" w:cs="Arial" w:eastAsia="Arial" w:hAnsi="Arial"/>
          <w:sz w:val="16"/>
          <w:szCs w:val="16"/>
          <w:color w:val="auto"/>
        </w:rPr>
      </w:pPr>
    </w:p>
    <w:p>
      <w:pPr>
        <w:ind w:left="1340" w:hanging="353"/>
        <w:spacing w:after="0"/>
        <w:tabs>
          <w:tab w:leader="none" w:pos="134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Obligations Absolute</w:t>
      </w:r>
      <w:r>
        <w:rPr>
          <w:rFonts w:ascii="Arial" w:cs="Arial" w:eastAsia="Arial" w:hAnsi="Arial"/>
          <w:sz w:val="17"/>
          <w:szCs w:val="17"/>
          <w:color w:val="auto"/>
        </w:rPr>
        <w:t>. The Borrower’s obligation to reimburse Reimbursement Obligations as provided in</w:t>
      </w:r>
      <w:r>
        <w:rPr>
          <w:rFonts w:ascii="Arial" w:cs="Arial" w:eastAsia="Arial" w:hAnsi="Arial"/>
          <w:sz w:val="17"/>
          <w:szCs w:val="17"/>
          <w:i w:val="1"/>
          <w:iCs w:val="1"/>
          <w:color w:val="auto"/>
        </w:rPr>
        <w:t xml:space="preserve"> </w:t>
      </w:r>
      <w:r>
        <w:rPr>
          <w:rFonts w:ascii="Arial" w:cs="Arial" w:eastAsia="Arial" w:hAnsi="Arial"/>
          <w:sz w:val="17"/>
          <w:szCs w:val="17"/>
          <w:color w:val="FF0000"/>
          <w:strike w:val="1"/>
        </w:rPr>
        <w:t>subs</w:t>
      </w:r>
      <w:r>
        <w:rPr>
          <w:rFonts w:ascii="Arial" w:cs="Arial" w:eastAsia="Arial" w:hAnsi="Arial"/>
          <w:sz w:val="17"/>
          <w:szCs w:val="17"/>
          <w:u w:val="single" w:color="auto"/>
          <w:color w:val="0000E1"/>
        </w:rPr>
        <w:t>S</w:t>
      </w:r>
      <w:r>
        <w:rPr>
          <w:rFonts w:ascii="Arial" w:cs="Arial" w:eastAsia="Arial" w:hAnsi="Arial"/>
          <w:sz w:val="17"/>
          <w:szCs w:val="17"/>
          <w:u w:val="single" w:color="auto"/>
          <w:color w:val="auto"/>
        </w:rPr>
        <w:t>ection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0000E1"/>
        </w:rPr>
        <w:t>1.3</w:t>
      </w:r>
      <w:r>
        <w:rPr>
          <w:rFonts w:ascii="Arial" w:cs="Arial" w:eastAsia="Arial" w:hAnsi="Arial"/>
          <w:sz w:val="17"/>
          <w:szCs w:val="17"/>
          <w:u w:val="single" w:color="auto"/>
          <w:color w:val="auto"/>
        </w:rPr>
        <w:t>(c)</w:t>
      </w:r>
      <w:r>
        <w:rPr>
          <w:rFonts w:ascii="Arial" w:cs="Arial" w:eastAsia="Arial" w:hAnsi="Arial"/>
          <w:sz w:val="17"/>
          <w:szCs w:val="17"/>
          <w:i w:val="1"/>
          <w:iCs w:val="1"/>
          <w:color w:val="auto"/>
        </w:rPr>
        <w:t xml:space="preserve"> </w:t>
      </w:r>
      <w:r>
        <w:rPr>
          <w:rFonts w:ascii="Arial" w:cs="Arial" w:eastAsia="Arial" w:hAnsi="Arial"/>
          <w:sz w:val="17"/>
          <w:szCs w:val="17"/>
          <w:color w:val="FF0000"/>
          <w:strike w:val="1"/>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2733040</wp:posOffset>
            </wp:positionH>
            <wp:positionV relativeFrom="paragraph">
              <wp:posOffset>-1005840</wp:posOffset>
            </wp:positionV>
            <wp:extent cx="285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-457200</wp:posOffset>
            </wp:positionV>
            <wp:extent cx="285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1849755</wp:posOffset>
            </wp:positionH>
            <wp:positionV relativeFrom="paragraph">
              <wp:posOffset>-45720</wp:posOffset>
            </wp:positionV>
            <wp:extent cx="285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FF0000"/>
          <w:strike w:val="1"/>
        </w:rPr>
        <w:t>this Section 1.3</w:t>
      </w:r>
      <w:r>
        <w:rPr>
          <w:rFonts w:ascii="Arial" w:cs="Arial" w:eastAsia="Arial" w:hAnsi="Arial"/>
          <w:sz w:val="16"/>
          <w:szCs w:val="16"/>
          <w:color w:val="FF0000"/>
        </w:rPr>
        <w:t xml:space="preserve"> </w:t>
      </w:r>
      <w:r>
        <w:rPr>
          <w:rFonts w:ascii="Arial" w:cs="Arial" w:eastAsia="Arial" w:hAnsi="Arial"/>
          <w:sz w:val="16"/>
          <w:szCs w:val="16"/>
          <w:color w:val="000000"/>
        </w:rPr>
        <w:t>shall be absolute, unconditional and irrevocable, and shall be performed strictly in accordance with the terms of this Agreement and the</w:t>
      </w:r>
      <w:r>
        <w:rPr>
          <w:rFonts w:ascii="Arial" w:cs="Arial" w:eastAsia="Arial" w:hAnsi="Arial"/>
          <w:sz w:val="16"/>
          <w:szCs w:val="16"/>
          <w:color w:val="FF0000"/>
        </w:rPr>
        <w:t xml:space="preserve"> </w:t>
      </w:r>
      <w:r>
        <w:rPr>
          <w:rFonts w:ascii="Arial" w:cs="Arial" w:eastAsia="Arial" w:hAnsi="Arial"/>
          <w:sz w:val="16"/>
          <w:szCs w:val="16"/>
          <w:color w:val="000000"/>
        </w:rPr>
        <w:t xml:space="preserve">relevant Application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L/C Issuer under a Letter of Credit against presentation of a draft or other document that does not strictly comply with the terms of such Letter of Credit, or (iv) any other event or circumstance whatsoever, whether or not similar to any of the foregoing, that might, but for the provisions of this </w:t>
      </w:r>
      <w:r>
        <w:rPr>
          <w:rFonts w:ascii="Arial" w:cs="Arial" w:eastAsia="Arial" w:hAnsi="Arial"/>
          <w:sz w:val="16"/>
          <w:szCs w:val="16"/>
          <w:u w:val="single" w:color="auto"/>
          <w:color w:val="000000"/>
        </w:rPr>
        <w:t>Section 1.3</w:t>
      </w:r>
      <w:r>
        <w:rPr>
          <w:rFonts w:ascii="Arial" w:cs="Arial" w:eastAsia="Arial" w:hAnsi="Arial"/>
          <w:sz w:val="16"/>
          <w:szCs w:val="16"/>
          <w:color w:val="000000"/>
        </w:rPr>
        <w:t xml:space="preserve">, constitute a legal or equitable discharge of, or provide a right of setoff against, the Borrower’s obligations hereunder. None of the Administrative Agent, the Lenders, or the L/C Issuer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L/C Issuer;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failure to exercise care when determining whether drafts and other documents presented under a Letter of Credit comply with the terms thereof. The parties hereto expressly agree that, in the absence of gross negligence, bad faith or willful misconduct or material breach of its obligations under this Agreement or the applicable Application on the part of the L/C Issuer (as determined by a final, non-appealable judgment of a court of competent jurisdiction) or action not in accordance with the standards of reasonable care specified in, as applicable, the Uniform Customs and Practice for Documentary Credits (2007 Revision), ICC Publication 600 (or any replacement publication) or the International Standby Practices, International Chamber of Commerce Publication No. 590 (ISP98) by, the L/C Issuer, the L/C Issuer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L/C Issuer may, in its sole discretion, either accept and make payment upon such documents without responsibility for further investigation or refuse to accept and make payment upon such documents if such documents are not in strict compliance with the terms of such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5946775</wp:posOffset>
            </wp:positionH>
            <wp:positionV relativeFrom="paragraph">
              <wp:posOffset>-3159125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-3159125</wp:posOffset>
            </wp:positionV>
            <wp:extent cx="1454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3496310</wp:posOffset>
            </wp:positionH>
            <wp:positionV relativeFrom="paragraph">
              <wp:posOffset>-2276475</wp:posOffset>
            </wp:positionV>
            <wp:extent cx="285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2176780</wp:posOffset>
            </wp:positionH>
            <wp:positionV relativeFrom="paragraph">
              <wp:posOffset>-493395</wp:posOffset>
            </wp:positionV>
            <wp:extent cx="285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0" w:lineRule="exact"/>
        <w:rPr>
          <w:sz w:val="20"/>
          <w:szCs w:val="20"/>
          <w:color w:val="auto"/>
        </w:rPr>
      </w:pPr>
    </w:p>
    <w:p>
      <w:pPr>
        <w:ind w:right="740" w:firstLine="987"/>
        <w:spacing w:after="0" w:line="277" w:lineRule="auto"/>
        <w:tabs>
          <w:tab w:leader="none" w:pos="1381"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Replacement of the L/C Issuer</w:t>
      </w:r>
      <w:r>
        <w:rPr>
          <w:rFonts w:ascii="Arial" w:cs="Arial" w:eastAsia="Arial" w:hAnsi="Arial"/>
          <w:sz w:val="18"/>
          <w:szCs w:val="18"/>
          <w:color w:val="auto"/>
        </w:rPr>
        <w:t>. The L/C Issuer may be replaced at any time by written agreement among the Borrower,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the replaced L/C Issuer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-224790</wp:posOffset>
            </wp:positionV>
            <wp:extent cx="285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66" w:name="page67"/>
    <w:bookmarkEnd w:id="6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consent of the replaced L/C Issuer will be required if there are no outstanding L/C Obligations owed to such replaced L/C Issuer at the time of such replacement) and the successor L/C Issuer. The Administrative Agent shall notify the Lenders of any such replacement of the L/C Issuer. At the time any such replacement shall become effective, the Borrower shall pay all unpaid fees accrued for the account of the replaced L/C Issuer. From and after the effective date of any such replacement (i) the successor L/C Issuer shall have all the rights and obligations of the L/C Issuer under this Agreement with respect to Letters of Credit to be issued thereafter and (ii) references herein to the term “L/C Issuer” shall be deemed to refer to such successor or to any previous L/C Issuer, or to such successor and all previous L/C Issuers,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and any Letters of Credit outstanding on the date of such replacement, but shall not be required to issue additional Letters of Credit or to renew or extend Letters of Credit outstanding on the date of such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-1050925</wp:posOffset>
            </wp:positionV>
            <wp:extent cx="285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6274435</wp:posOffset>
            </wp:positionH>
            <wp:positionV relativeFrom="paragraph">
              <wp:posOffset>-1050925</wp:posOffset>
            </wp:positionV>
            <wp:extent cx="285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-913765</wp:posOffset>
            </wp:positionV>
            <wp:extent cx="285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4682490</wp:posOffset>
            </wp:positionH>
            <wp:positionV relativeFrom="paragraph">
              <wp:posOffset>-502285</wp:posOffset>
            </wp:positionV>
            <wp:extent cx="285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6" w:lineRule="exact"/>
        <w:rPr>
          <w:sz w:val="20"/>
          <w:szCs w:val="20"/>
          <w:color w:val="auto"/>
        </w:rPr>
      </w:pPr>
    </w:p>
    <w:p>
      <w:pPr>
        <w:ind w:firstLine="987"/>
        <w:spacing w:after="0" w:line="269" w:lineRule="auto"/>
        <w:tabs>
          <w:tab w:leader="none" w:pos="1381"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Provisions Related to New Revolving Credit Commitments, Extended Revolving Credit Commitments and Replacement Revolving Credit Commitments</w:t>
      </w:r>
      <w:r>
        <w:rPr>
          <w:rFonts w:ascii="Arial" w:cs="Arial" w:eastAsia="Arial" w:hAnsi="Arial"/>
          <w:sz w:val="17"/>
          <w:szCs w:val="17"/>
          <w:color w:val="auto"/>
        </w:rPr>
        <w:t>. If the maturity date in respect of any Class of Revolving Credit Commitments occurs prior to the expiration of any Letter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Credit, then (x) if one or more other Classes of Revolving Credit Commitments in respect of which the maturity date shall not have occurred are then in effect, such Letters of Credit shall automatically be deemed to have been issued (including for purposes of the obligations of the Revolving Lenders to purchase Participating Interest therein and to make Revolving Loans and payments in respect thereof pursuant to </w:t>
      </w:r>
      <w:r>
        <w:rPr>
          <w:rFonts w:ascii="Arial" w:cs="Arial" w:eastAsia="Arial" w:hAnsi="Arial"/>
          <w:sz w:val="17"/>
          <w:szCs w:val="17"/>
          <w:u w:val="single" w:color="auto"/>
          <w:color w:val="auto"/>
        </w:rPr>
        <w:t>Section 1.3(c)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under (and ratably participated in by Lenders pursuant to) the relevant Revolving Credit Commitments in respect of such non-terminating Classes up to an aggregate amount not to exceed the aggregate principal amount of the Unused Revolving Credit Commitments thereunder at such time (it being understood that no partial face amount of any Letter of Credit may be so reallocated) and (y) to the extent not reallocated pursuant to immediately preceding </w:t>
      </w:r>
      <w:r>
        <w:rPr>
          <w:rFonts w:ascii="Arial" w:cs="Arial" w:eastAsia="Arial" w:hAnsi="Arial"/>
          <w:sz w:val="17"/>
          <w:szCs w:val="17"/>
          <w:u w:val="single" w:color="auto"/>
          <w:color w:val="auto"/>
        </w:rPr>
        <w:t>clause (x)</w:t>
      </w:r>
      <w:r>
        <w:rPr>
          <w:rFonts w:ascii="Arial" w:cs="Arial" w:eastAsia="Arial" w:hAnsi="Arial"/>
          <w:sz w:val="17"/>
          <w:szCs w:val="17"/>
          <w:color w:val="auto"/>
        </w:rPr>
        <w:t>, the Borrower shall make arrangements reasonably satisfactory to the L/C Issuer to cash collateralize or otherwise backstop any such Letter of Credit. Commencing with the maturity date of any Class of Revolving Credit Commitments, if not previously determined, the sublimit for Letters of Credit shall be agreed with the administrative agent under the extended Classes.</w:t>
      </w:r>
    </w:p>
    <w:p>
      <w:pPr>
        <w:spacing w:after="0" w:line="181" w:lineRule="exact"/>
        <w:rPr>
          <w:rFonts w:ascii="Arial" w:cs="Arial" w:eastAsia="Arial" w:hAnsi="Arial"/>
          <w:sz w:val="17"/>
          <w:szCs w:val="17"/>
          <w:color w:val="auto"/>
        </w:rPr>
      </w:pPr>
    </w:p>
    <w:p>
      <w:pPr>
        <w:ind w:left="1340" w:hanging="353"/>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Obligation to Issue L/Cs. </w:t>
      </w:r>
      <w:r>
        <w:rPr>
          <w:rFonts w:ascii="Arial" w:cs="Arial" w:eastAsia="Arial" w:hAnsi="Arial"/>
          <w:sz w:val="18"/>
          <w:szCs w:val="18"/>
          <w:color w:val="auto"/>
        </w:rPr>
        <w:t>The L/C Issuer shall not be under any obligation to issue any Letter of Credit if:</w:t>
      </w:r>
    </w:p>
    <w:p>
      <w:pPr>
        <w:spacing w:after="0" w:line="225" w:lineRule="exact"/>
        <w:rPr>
          <w:rFonts w:ascii="Arial" w:cs="Arial" w:eastAsia="Arial" w:hAnsi="Arial"/>
          <w:sz w:val="18"/>
          <w:szCs w:val="18"/>
          <w:color w:val="auto"/>
        </w:rPr>
      </w:pPr>
    </w:p>
    <w:p>
      <w:pPr>
        <w:ind w:right="20" w:firstLine="1428"/>
        <w:spacing w:after="0" w:line="254" w:lineRule="auto"/>
        <w:tabs>
          <w:tab w:leader="none" w:pos="1782"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enjoin or restrain the L/C Issuer from issuing the Letter of Credit, or any law applicable to the L/C Issuer or any request or directive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 (for which the L/C Issuer is not otherwise compensated hereunder);</w:t>
      </w:r>
    </w:p>
    <w:p>
      <w:pPr>
        <w:spacing w:after="0" w:line="194" w:lineRule="exact"/>
        <w:rPr>
          <w:rFonts w:ascii="Arial" w:cs="Arial" w:eastAsia="Arial" w:hAnsi="Arial"/>
          <w:sz w:val="18"/>
          <w:szCs w:val="18"/>
          <w:color w:val="auto"/>
        </w:rPr>
      </w:pPr>
    </w:p>
    <w:p>
      <w:pPr>
        <w:ind w:right="20" w:firstLine="1428"/>
        <w:spacing w:after="0" w:line="277" w:lineRule="auto"/>
        <w:tabs>
          <w:tab w:leader="none" w:pos="1832"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the issuance of the Letter of Credit would violate one or more policies of the L/C Issuer applicable to letters of credit generally, which policies have been implemented in good faith and apply generally to similarly situated borrowers; </w:t>
      </w:r>
      <w:r>
        <w:rPr>
          <w:rFonts w:ascii="Arial" w:cs="Arial" w:eastAsia="Arial" w:hAnsi="Arial"/>
          <w:sz w:val="18"/>
          <w:szCs w:val="18"/>
          <w:color w:val="0000E1"/>
        </w:rPr>
        <w:t>or</w:t>
      </w:r>
    </w:p>
    <w:p>
      <w:pPr>
        <w:spacing w:after="0" w:line="170" w:lineRule="exact"/>
        <w:rPr>
          <w:rFonts w:ascii="Arial" w:cs="Arial" w:eastAsia="Arial" w:hAnsi="Arial"/>
          <w:sz w:val="18"/>
          <w:szCs w:val="18"/>
          <w:color w:val="auto"/>
        </w:rPr>
      </w:pPr>
    </w:p>
    <w:p>
      <w:pPr>
        <w:ind w:right="140" w:firstLine="1428"/>
        <w:spacing w:after="0" w:line="277" w:lineRule="auto"/>
        <w:tabs>
          <w:tab w:leader="none" w:pos="1927" w:val="left"/>
        </w:tabs>
        <w:numPr>
          <w:ilvl w:val="1"/>
          <w:numId w:val="53"/>
        </w:numPr>
        <w:rPr>
          <w:rFonts w:ascii="Arial" w:cs="Arial" w:eastAsia="Arial" w:hAnsi="Arial"/>
          <w:sz w:val="18"/>
          <w:szCs w:val="18"/>
          <w:u w:val="single" w:color="auto"/>
          <w:color w:val="0000E1"/>
        </w:rPr>
      </w:pPr>
      <w:r>
        <w:rPr>
          <w:rFonts w:ascii="Arial" w:cs="Arial" w:eastAsia="Arial" w:hAnsi="Arial"/>
          <w:sz w:val="18"/>
          <w:szCs w:val="18"/>
          <w:u w:val="single" w:color="auto"/>
          <w:color w:val="0000E1"/>
        </w:rPr>
        <w:t>except as otherwise agreed by the Administrative Agent and the L/C Issuer, the Letter of Credit is in an initial stated amount less than $10,000, in the case of a commercial Letter of Credit, or $100,000, in the case of a standby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970915</wp:posOffset>
            </wp:positionH>
            <wp:positionV relativeFrom="paragraph">
              <wp:posOffset>-3516630</wp:posOffset>
            </wp:positionV>
            <wp:extent cx="285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1998345</wp:posOffset>
            </wp:positionH>
            <wp:positionV relativeFrom="paragraph">
              <wp:posOffset>-2007870</wp:posOffset>
            </wp:positionV>
            <wp:extent cx="285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-422275</wp:posOffset>
            </wp:positionV>
            <wp:extent cx="1289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-456565</wp:posOffset>
            </wp:positionV>
            <wp:extent cx="1238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-147955</wp:posOffset>
            </wp:positionV>
            <wp:extent cx="5991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918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534924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7" w:name="page68"/>
    <w:bookmarkEnd w:id="67"/>
    <w:p>
      <w:pPr>
        <w:ind w:left="4" w:right="20" w:firstLine="987"/>
        <w:spacing w:after="0" w:line="290" w:lineRule="auto"/>
        <w:tabs>
          <w:tab w:leader="none" w:pos="1345" w:val="left"/>
        </w:tabs>
        <w:numPr>
          <w:ilvl w:val="1"/>
          <w:numId w:val="5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Applicability of ISP and UCP; Limitation of Liability</w:t>
      </w:r>
      <w:r>
        <w:rPr>
          <w:rFonts w:ascii="Arial" w:cs="Arial" w:eastAsia="Arial" w:hAnsi="Arial"/>
          <w:sz w:val="16"/>
          <w:szCs w:val="16"/>
          <w:color w:val="auto"/>
        </w:rPr>
        <w:t>. Unless otherwise expressly agreed by the L/C Issuer and the Borrower when a</w:t>
      </w:r>
      <w:r>
        <w:rPr>
          <w:rFonts w:ascii="Arial" w:cs="Arial" w:eastAsia="Arial" w:hAnsi="Arial"/>
          <w:sz w:val="16"/>
          <w:szCs w:val="16"/>
          <w:i w:val="1"/>
          <w:iCs w:val="1"/>
          <w:color w:val="auto"/>
        </w:rPr>
        <w:t xml:space="preserve"> </w:t>
      </w:r>
      <w:r>
        <w:rPr>
          <w:rFonts w:ascii="Arial" w:cs="Arial" w:eastAsia="Arial" w:hAnsi="Arial"/>
          <w:sz w:val="16"/>
          <w:szCs w:val="16"/>
          <w:color w:val="auto"/>
        </w:rPr>
        <w:t>Letter of Credit is issued, (i) the rules of the ISP shall apply to each standby Letter of Credit, and (ii) the rules of the UCP shall apply to each commercial Letter of Credit</w:t>
      </w:r>
      <w:r>
        <w:rPr>
          <w:rFonts w:ascii="Arial" w:cs="Arial" w:eastAsia="Arial" w:hAnsi="Arial"/>
          <w:sz w:val="16"/>
          <w:szCs w:val="16"/>
          <w:u w:val="single" w:color="auto"/>
          <w:color w:val="0000E1"/>
        </w:rPr>
        <w:t>.</w:t>
      </w:r>
      <w:r>
        <w:rPr>
          <w:rFonts w:ascii="Arial" w:cs="Arial" w:eastAsia="Arial" w:hAnsi="Arial"/>
          <w:sz w:val="16"/>
          <w:szCs w:val="16"/>
          <w:color w:val="auto"/>
        </w:rPr>
        <w:t xml:space="preserve">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65" w:lineRule="exact"/>
        <w:rPr>
          <w:rFonts w:ascii="Arial" w:cs="Arial" w:eastAsia="Arial" w:hAnsi="Arial"/>
          <w:sz w:val="16"/>
          <w:szCs w:val="16"/>
          <w:color w:val="auto"/>
        </w:rPr>
      </w:pPr>
    </w:p>
    <w:p>
      <w:pPr>
        <w:ind w:left="4" w:right="240" w:firstLine="987"/>
        <w:spacing w:after="0" w:line="277" w:lineRule="auto"/>
        <w:tabs>
          <w:tab w:leader="none" w:pos="1385"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Conflicts with Issuer Documents. </w:t>
      </w:r>
      <w:r>
        <w:rPr>
          <w:rFonts w:ascii="Arial" w:cs="Arial" w:eastAsia="Arial" w:hAnsi="Arial"/>
          <w:sz w:val="18"/>
          <w:szCs w:val="18"/>
          <w:color w:val="auto"/>
        </w:rPr>
        <w:t>In the event of any conflict between the terms hereof and the terms of any Issuer Document,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hereof shall control.</w:t>
      </w:r>
    </w:p>
    <w:p>
      <w:pPr>
        <w:spacing w:after="0" w:line="170" w:lineRule="exact"/>
        <w:rPr>
          <w:rFonts w:ascii="Arial" w:cs="Arial" w:eastAsia="Arial" w:hAnsi="Arial"/>
          <w:sz w:val="18"/>
          <w:szCs w:val="18"/>
          <w:color w:val="auto"/>
        </w:rPr>
      </w:pPr>
    </w:p>
    <w:p>
      <w:pPr>
        <w:ind w:left="4" w:right="80" w:firstLine="987"/>
        <w:spacing w:after="0" w:line="291" w:lineRule="auto"/>
        <w:tabs>
          <w:tab w:leader="none" w:pos="1345" w:val="left"/>
        </w:tabs>
        <w:numPr>
          <w:ilvl w:val="1"/>
          <w:numId w:val="54"/>
        </w:numPr>
        <w:rPr>
          <w:rFonts w:ascii="Arial" w:cs="Arial" w:eastAsia="Arial" w:hAnsi="Arial"/>
          <w:sz w:val="16"/>
          <w:szCs w:val="16"/>
          <w:u w:val="single" w:color="auto"/>
          <w:color w:val="0000E1"/>
        </w:rPr>
      </w:pPr>
      <w:r>
        <w:rPr>
          <w:rFonts w:ascii="Arial" w:cs="Arial" w:eastAsia="Arial" w:hAnsi="Arial"/>
          <w:sz w:val="16"/>
          <w:szCs w:val="16"/>
          <w:i w:val="1"/>
          <w:iCs w:val="1"/>
          <w:u w:val="single" w:color="auto"/>
          <w:color w:val="0000E1"/>
        </w:rPr>
        <w:t>Financial Covenant Suspension Period</w:t>
      </w:r>
      <w:r>
        <w:rPr>
          <w:rFonts w:ascii="Arial" w:cs="Arial" w:eastAsia="Arial" w:hAnsi="Arial"/>
          <w:sz w:val="16"/>
          <w:szCs w:val="16"/>
          <w:u w:val="single" w:color="auto"/>
          <w:color w:val="0000E1"/>
        </w:rPr>
        <w:t>. Notwithstanding anything to the contrary in this Section 1.3, no Letters of Credit shall be</w:t>
      </w:r>
      <w:r>
        <w:rPr>
          <w:rFonts w:ascii="Arial" w:cs="Arial" w:eastAsia="Arial" w:hAnsi="Arial"/>
          <w:sz w:val="16"/>
          <w:szCs w:val="16"/>
          <w:i w:val="1"/>
          <w:iCs w:val="1"/>
          <w:u w:val="single" w:color="auto"/>
          <w:color w:val="0000E1"/>
        </w:rPr>
        <w:t xml:space="preserve"> </w:t>
      </w:r>
      <w:r>
        <w:rPr>
          <w:rFonts w:ascii="Arial" w:cs="Arial" w:eastAsia="Arial" w:hAnsi="Arial"/>
          <w:sz w:val="16"/>
          <w:szCs w:val="16"/>
          <w:u w:val="single" w:color="auto"/>
          <w:color w:val="0000E1"/>
        </w:rPr>
        <w:t>issued during the Financial Covenant Suspension Period, other than (i) to renew existing Letters of Credit without increasing the face amount thereof or</w:t>
      </w:r>
    </w:p>
    <w:p>
      <w:pPr>
        <w:ind w:left="4" w:right="420" w:hanging="4"/>
        <w:spacing w:after="0" w:line="323" w:lineRule="auto"/>
        <w:tabs>
          <w:tab w:leader="none" w:pos="269" w:val="left"/>
        </w:tabs>
        <w:numPr>
          <w:ilvl w:val="0"/>
          <w:numId w:val="55"/>
        </w:numPr>
        <w:rPr>
          <w:rFonts w:ascii="Arial" w:cs="Arial" w:eastAsia="Arial" w:hAnsi="Arial"/>
          <w:sz w:val="16"/>
          <w:szCs w:val="16"/>
          <w:u w:val="single" w:color="auto"/>
          <w:color w:val="0000E1"/>
        </w:rPr>
      </w:pPr>
      <w:r>
        <w:rPr>
          <w:rFonts w:ascii="Arial" w:cs="Arial" w:eastAsia="Arial" w:hAnsi="Arial"/>
          <w:sz w:val="16"/>
          <w:szCs w:val="16"/>
          <w:u w:val="single" w:color="auto"/>
          <w:color w:val="0000E1"/>
        </w:rPr>
        <w:t>to renew or increase the face amount of standby Letters of Credit supporting the financing of insurance premiums of the Restricted Group in an increased aggregate face amount not to exceed $3,000,000 (for a total aggregate face amount for such Letters of Credit not to exceed $4,500,000).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-2165350</wp:posOffset>
            </wp:positionV>
            <wp:extent cx="285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1276985</wp:posOffset>
            </wp:positionH>
            <wp:positionV relativeFrom="paragraph">
              <wp:posOffset>-1814195</wp:posOffset>
            </wp:positionV>
            <wp:extent cx="260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2393950</wp:posOffset>
            </wp:positionH>
            <wp:positionV relativeFrom="paragraph">
              <wp:posOffset>-930910</wp:posOffset>
            </wp:positionV>
            <wp:extent cx="285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-442595</wp:posOffset>
            </wp:positionV>
            <wp:extent cx="61461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461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-305435</wp:posOffset>
            </wp:positionV>
            <wp:extent cx="69348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-168275</wp:posOffset>
            </wp:positionV>
            <wp:extent cx="672084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-31115</wp:posOffset>
            </wp:positionV>
            <wp:extent cx="66776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77660" cy="8890"/>
                    </a:xfrm>
                    <a:prstGeom prst="rect">
                      <a:avLst/>
                    </a:prstGeom>
                    <a:noFill/>
                  </pic:spPr>
                </pic:pic>
              </a:graphicData>
            </a:graphic>
          </wp:anchor>
        </w:drawing>
      </w:r>
    </w:p>
    <w:p>
      <w:pPr>
        <w:spacing w:after="0" w:line="226" w:lineRule="exact"/>
        <w:rPr>
          <w:sz w:val="20"/>
          <w:szCs w:val="20"/>
          <w:color w:val="auto"/>
        </w:rPr>
      </w:pPr>
    </w:p>
    <w:p>
      <w:pPr>
        <w:ind w:left="444"/>
        <w:spacing w:after="0"/>
        <w:tabs>
          <w:tab w:leader="none" w:pos="1404"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i w:val="1"/>
          <w:iCs w:val="1"/>
          <w:color w:val="auto"/>
        </w:rPr>
        <w:t>Applicable Interest Rates</w:t>
      </w:r>
      <w:r>
        <w:rPr>
          <w:rFonts w:ascii="Arial" w:cs="Arial" w:eastAsia="Arial" w:hAnsi="Arial"/>
          <w:sz w:val="16"/>
          <w:szCs w:val="16"/>
          <w:color w:val="FF0000"/>
          <w:strike w:val="1"/>
        </w:rPr>
        <w:t>(a)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FF0000"/>
          <w:strike w:val="1"/>
        </w:rPr>
        <w:t>(a)</w:t>
      </w:r>
    </w:p>
    <w:p>
      <w:pPr>
        <w:spacing w:after="0" w:line="117" w:lineRule="exact"/>
        <w:rPr>
          <w:sz w:val="20"/>
          <w:szCs w:val="20"/>
          <w:color w:val="auto"/>
        </w:rPr>
      </w:pPr>
    </w:p>
    <w:p>
      <w:pPr>
        <w:ind w:left="4" w:right="60" w:firstLine="987"/>
        <w:spacing w:after="0" w:line="296" w:lineRule="auto"/>
        <w:tabs>
          <w:tab w:leader="none" w:pos="1375" w:val="left"/>
        </w:tabs>
        <w:numPr>
          <w:ilvl w:val="0"/>
          <w:numId w:val="56"/>
        </w:numPr>
        <w:rPr>
          <w:rFonts w:ascii="Arial" w:cs="Arial" w:eastAsia="Arial" w:hAnsi="Arial"/>
          <w:sz w:val="16"/>
          <w:szCs w:val="16"/>
          <w:u w:val="single" w:color="auto"/>
          <w:color w:val="0000E1"/>
        </w:rPr>
      </w:pPr>
      <w:r>
        <w:rPr>
          <w:rFonts w:ascii="Arial" w:cs="Arial" w:eastAsia="Arial" w:hAnsi="Arial"/>
          <w:sz w:val="16"/>
          <w:szCs w:val="16"/>
          <w:i w:val="1"/>
          <w:iCs w:val="1"/>
          <w:color w:val="auto"/>
        </w:rPr>
        <w:t xml:space="preserve">Base Rate Loans. </w:t>
      </w:r>
      <w:r>
        <w:rPr>
          <w:rFonts w:ascii="Arial" w:cs="Arial" w:eastAsia="Arial" w:hAnsi="Arial"/>
          <w:sz w:val="16"/>
          <w:szCs w:val="16"/>
          <w:color w:val="auto"/>
        </w:rPr>
        <w:t>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1.10</w:t>
      </w:r>
      <w:r>
        <w:rPr>
          <w:rFonts w:ascii="Arial" w:cs="Arial" w:eastAsia="Arial" w:hAnsi="Arial"/>
          <w:sz w:val="16"/>
          <w:szCs w:val="16"/>
          <w:color w:val="auto"/>
        </w:rPr>
        <w:t>, each Base Rate Loan made or maintained by a Lender shall bear interest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0000E1"/>
        </w:rPr>
        <w:t>for each day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during each Interest Period it is outstanding (computed on the basis of a year of 365 or 366 days, as the case may be, and the actual days elapsed) on the unpaid principal amount thereof from the date such Loan is advanced or continued, or created by conversion from a Eurodollar Loan, until maturity (whether by acceleration or otherwise) at a rate per annum equal to the sum of the Applicable Margin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Alternate Base Rate from time to time in effect, payable in arrears, on the last day of each of March, June, September and December and at maturity (whether by acceleration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-565150</wp:posOffset>
            </wp:positionV>
            <wp:extent cx="1289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1666875</wp:posOffset>
            </wp:positionH>
            <wp:positionV relativeFrom="paragraph">
              <wp:posOffset>-641985</wp:posOffset>
            </wp:positionV>
            <wp:extent cx="285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-565150</wp:posOffset>
            </wp:positionV>
            <wp:extent cx="5657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33" w:lineRule="exact"/>
        <w:rPr>
          <w:sz w:val="20"/>
          <w:szCs w:val="20"/>
          <w:color w:val="auto"/>
        </w:rPr>
      </w:pPr>
    </w:p>
    <w:p>
      <w:pPr>
        <w:ind w:left="444" w:firstLine="42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Alternate Base Rate</w:t>
      </w:r>
      <w:r>
        <w:rPr>
          <w:rFonts w:ascii="Arial" w:cs="Arial" w:eastAsia="Arial" w:hAnsi="Arial"/>
          <w:sz w:val="16"/>
          <w:szCs w:val="16"/>
          <w:color w:val="auto"/>
        </w:rPr>
        <w:t xml:space="preserve">” shall mean, for any day, a rate per annum (rounded upward, if necessary, to the next 1/100th of 1%) equal to the greatest of (a) the Base Rate in effect on such day, (b) the Federal Funds Effective Rate in effect on such day </w:t>
      </w:r>
      <w:r>
        <w:rPr>
          <w:rFonts w:ascii="Arial" w:cs="Arial" w:eastAsia="Arial" w:hAnsi="Arial"/>
          <w:sz w:val="16"/>
          <w:szCs w:val="16"/>
          <w:i w:val="1"/>
          <w:iCs w:val="1"/>
          <w:color w:val="auto"/>
        </w:rPr>
        <w:t>plus</w:t>
      </w:r>
      <w:r>
        <w:rPr>
          <w:rFonts w:ascii="Arial" w:cs="Arial" w:eastAsia="Arial" w:hAnsi="Arial"/>
          <w:sz w:val="16"/>
          <w:szCs w:val="16"/>
          <w:color w:val="auto"/>
        </w:rPr>
        <w:t xml:space="preserve"> 0.50% and (c) the Adjusted Eurodollar Rate (without giving effect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thereof) for a Eurodollar Loan with a one-month interest period (or if such day is not a Business Day, the immediately preceding Business Day) </w:t>
      </w:r>
      <w:r>
        <w:rPr>
          <w:rFonts w:ascii="Arial" w:cs="Arial" w:eastAsia="Arial" w:hAnsi="Arial"/>
          <w:sz w:val="16"/>
          <w:szCs w:val="16"/>
          <w:i w:val="1"/>
          <w:iCs w:val="1"/>
          <w:color w:val="auto"/>
        </w:rPr>
        <w:t>plus</w:t>
      </w:r>
      <w:r>
        <w:rPr>
          <w:rFonts w:ascii="Arial" w:cs="Arial" w:eastAsia="Arial" w:hAnsi="Arial"/>
          <w:sz w:val="16"/>
          <w:szCs w:val="16"/>
          <w:color w:val="auto"/>
        </w:rPr>
        <w:t xml:space="preserve"> 1.00%. If the Administrative Agent shall have determined (which determination shall be conclusive absent manifest error) that it is unable to ascertain the Federal Funds Effective Rate or the Adjusted Eurodollar Rate for any reason, including the inability or failure of the Administrative Agent to obtain sufficient quotations in accordance with the terms of the definition thereof, the Alternate Base Rate shall be determined without regard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or (c), as applicable, of the preceding sentence until the circumstances giving rise to such inability no longer exist. Any change in the Alternate Base Rate due to a change in the Base Rate, the Federal Funds Effective Rate or the then applicable or the Adjusted Eurodollar Rate shall be effective on the effective date of such change in the Base Rate, the Federal Funds Effective Rate or the then applicable Adjusted Eurodollar Rate,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-363220</wp:posOffset>
            </wp:positionV>
            <wp:extent cx="285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68" w:name="page69"/>
    <w:bookmarkEnd w:id="68"/>
    <w:p>
      <w:pPr>
        <w:ind w:left="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i w:val="1"/>
          <w:iCs w:val="1"/>
          <w:color w:val="auto"/>
        </w:rPr>
        <w:t>Base Rate</w:t>
      </w:r>
      <w:r>
        <w:rPr>
          <w:rFonts w:ascii="Arial" w:cs="Arial" w:eastAsia="Arial" w:hAnsi="Arial"/>
          <w:sz w:val="16"/>
          <w:szCs w:val="16"/>
          <w:color w:val="auto"/>
        </w:rPr>
        <w:t xml:space="preserve">” shall mean for any day a fluctuating rate per annum equal to the highest of (a) the Federal Funds </w:t>
      </w:r>
      <w:r>
        <w:rPr>
          <w:rFonts w:ascii="Arial" w:cs="Arial" w:eastAsia="Arial" w:hAnsi="Arial"/>
          <w:sz w:val="16"/>
          <w:szCs w:val="16"/>
          <w:u w:val="single" w:color="auto"/>
          <w:color w:val="0000E1"/>
        </w:rPr>
        <w:t>Effective</w:t>
      </w:r>
      <w:r>
        <w:rPr>
          <w:rFonts w:ascii="Arial" w:cs="Arial" w:eastAsia="Arial" w:hAnsi="Arial"/>
          <w:sz w:val="16"/>
          <w:szCs w:val="16"/>
          <w:color w:val="auto"/>
        </w:rPr>
        <w:t xml:space="preserve"> Rate plus 1/2 of 1%,</w:t>
      </w:r>
    </w:p>
    <w:p>
      <w:pPr>
        <w:spacing w:after="0" w:line="46" w:lineRule="exact"/>
        <w:rPr>
          <w:sz w:val="20"/>
          <w:szCs w:val="20"/>
          <w:color w:val="auto"/>
        </w:rPr>
      </w:pPr>
    </w:p>
    <w:p>
      <w:pPr>
        <w:ind w:left="440" w:right="160" w:hanging="4"/>
        <w:spacing w:after="0" w:line="288" w:lineRule="auto"/>
        <w:tabs>
          <w:tab w:leader="none" w:pos="695"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the rate of interest in effect for such day as publicly announced from time to time by Bank of America as its “prime rate,” and (c) the Eurodollar Rate plus 1.00%; and if Base Rate shall be less than </w:t>
      </w:r>
      <w:r>
        <w:rPr>
          <w:rFonts w:ascii="Arial" w:cs="Arial" w:eastAsia="Arial" w:hAnsi="Arial"/>
          <w:sz w:val="16"/>
          <w:szCs w:val="16"/>
          <w:color w:val="FF0000"/>
          <w:strike w:val="1"/>
        </w:rPr>
        <w:t>zero</w:t>
      </w:r>
      <w:r>
        <w:rPr>
          <w:rFonts w:ascii="Arial" w:cs="Arial" w:eastAsia="Arial" w:hAnsi="Arial"/>
          <w:sz w:val="16"/>
          <w:szCs w:val="16"/>
          <w:u w:val="single" w:color="auto"/>
          <w:color w:val="0000E1"/>
        </w:rPr>
        <w:t>1.00%</w:t>
      </w:r>
      <w:r>
        <w:rPr>
          <w:rFonts w:ascii="Arial" w:cs="Arial" w:eastAsia="Arial" w:hAnsi="Arial"/>
          <w:sz w:val="16"/>
          <w:szCs w:val="16"/>
          <w:color w:val="auto"/>
        </w:rPr>
        <w:t xml:space="preserve">, such rate shall be deemed </w:t>
      </w:r>
      <w:r>
        <w:rPr>
          <w:rFonts w:ascii="Arial" w:cs="Arial" w:eastAsia="Arial" w:hAnsi="Arial"/>
          <w:sz w:val="16"/>
          <w:szCs w:val="16"/>
          <w:color w:val="FF0000"/>
          <w:strike w:val="1"/>
        </w:rPr>
        <w:t>zero</w:t>
      </w:r>
      <w:r>
        <w:rPr>
          <w:rFonts w:ascii="Arial" w:cs="Arial" w:eastAsia="Arial" w:hAnsi="Arial"/>
          <w:sz w:val="16"/>
          <w:szCs w:val="16"/>
          <w:u w:val="single" w:color="auto"/>
          <w:color w:val="0000E1"/>
        </w:rPr>
        <w:t>1.00%</w:t>
      </w:r>
      <w:r>
        <w:rPr>
          <w:rFonts w:ascii="Arial" w:cs="Arial" w:eastAsia="Arial" w:hAnsi="Arial"/>
          <w:sz w:val="16"/>
          <w:szCs w:val="16"/>
          <w:color w:val="auto"/>
        </w:rPr>
        <w:t xml:space="preserve">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w:t>
      </w:r>
      <w:r>
        <w:rPr>
          <w:rFonts w:ascii="Arial" w:cs="Arial" w:eastAsia="Arial" w:hAnsi="Arial"/>
          <w:sz w:val="16"/>
          <w:szCs w:val="16"/>
          <w:u w:val="single" w:color="auto"/>
          <w:color w:val="0000E1"/>
        </w:rPr>
        <w:t>If the Base Rate is being used as an alternate rate of interest pursuant to Section 10.2, then</w:t>
      </w:r>
      <w:r>
        <w:rPr>
          <w:rFonts w:ascii="Arial" w:cs="Arial" w:eastAsia="Arial" w:hAnsi="Arial"/>
          <w:sz w:val="16"/>
          <w:szCs w:val="16"/>
          <w:color w:val="auto"/>
        </w:rPr>
        <w:t xml:space="preserve"> </w:t>
      </w:r>
      <w:r>
        <w:rPr>
          <w:rFonts w:ascii="Arial" w:cs="Arial" w:eastAsia="Arial" w:hAnsi="Arial"/>
          <w:sz w:val="16"/>
          <w:szCs w:val="16"/>
          <w:u w:val="single" w:color="auto"/>
          <w:color w:val="0000E1"/>
        </w:rPr>
        <w:t>the Base Rate shall be the greater of clauses (a) and (b) above and shall be determined without reference to clause (c) above .</w:t>
      </w:r>
    </w:p>
    <w:p>
      <w:pPr>
        <w:spacing w:after="0" w:line="168" w:lineRule="exact"/>
        <w:rPr>
          <w:rFonts w:ascii="Arial" w:cs="Arial" w:eastAsia="Arial" w:hAnsi="Arial"/>
          <w:sz w:val="16"/>
          <w:szCs w:val="16"/>
          <w:color w:val="auto"/>
        </w:rPr>
      </w:pPr>
    </w:p>
    <w:p>
      <w:pPr>
        <w:ind w:firstLine="987"/>
        <w:spacing w:after="0" w:line="293" w:lineRule="auto"/>
        <w:tabs>
          <w:tab w:leader="none" w:pos="1381" w:val="left"/>
        </w:tabs>
        <w:numPr>
          <w:ilvl w:val="1"/>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Eurodollar Loans. </w:t>
      </w:r>
      <w:r>
        <w:rPr>
          <w:rFonts w:ascii="Arial" w:cs="Arial" w:eastAsia="Arial" w:hAnsi="Arial"/>
          <w:sz w:val="16"/>
          <w:szCs w:val="16"/>
          <w:color w:val="auto"/>
        </w:rPr>
        <w:t>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1.10</w:t>
      </w:r>
      <w:r>
        <w:rPr>
          <w:rFonts w:ascii="Arial" w:cs="Arial" w:eastAsia="Arial" w:hAnsi="Arial"/>
          <w:sz w:val="16"/>
          <w:szCs w:val="16"/>
          <w:color w:val="auto"/>
        </w:rPr>
        <w:t>, each Eurodollar Loan made or maintained by a Lender shall bear interest during 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Interest Period it is outstanding (computed on the basis of a year of 360 days and actual days elapsed) on the unpaid principal amount thereof from the date such Loan is advanced or continued, or created by conversion from a Base Rate Loan, until maturity (whether by acceleration or otherwise) at a rate per annum equal to the sum of the Applicable Margin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Adjusted Eurodollar Rate applicable for such Interest Period, payable in arrears on the last day of the Interest Period and at maturity (whether by acceleration or otherwise) and, if the applicable Interest Period is longer than three months, on each day that would have been the last day of the Interest Period had the Interest Period been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-1934845</wp:posOffset>
            </wp:positionV>
            <wp:extent cx="4114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-1660525</wp:posOffset>
            </wp:positionV>
            <wp:extent cx="2914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-1660525</wp:posOffset>
            </wp:positionV>
            <wp:extent cx="2914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-1600200</wp:posOffset>
            </wp:positionV>
            <wp:extent cx="285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-1325880</wp:posOffset>
            </wp:positionV>
            <wp:extent cx="285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-1111885</wp:posOffset>
            </wp:positionV>
            <wp:extent cx="41148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11480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-974725</wp:posOffset>
            </wp:positionV>
            <wp:extent cx="57092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09285" cy="8890"/>
                    </a:xfrm>
                    <a:prstGeom prst="rect">
                      <a:avLst/>
                    </a:prstGeom>
                    <a:noFill/>
                  </pic:spPr>
                </pic:pic>
              </a:graphicData>
            </a:graphic>
          </wp:anchor>
        </w:drawing>
      </w:r>
    </w:p>
    <w:p>
      <w:pPr>
        <w:spacing w:after="0" w:line="36" w:lineRule="exact"/>
        <w:rPr>
          <w:sz w:val="20"/>
          <w:szCs w:val="20"/>
          <w:color w:val="auto"/>
        </w:rPr>
      </w:pPr>
    </w:p>
    <w:p>
      <w:pPr>
        <w:ind w:left="440" w:right="140" w:firstLine="42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Eurodollar Rate</w:t>
      </w:r>
      <w:r>
        <w:rPr>
          <w:rFonts w:ascii="Arial" w:cs="Arial" w:eastAsia="Arial" w:hAnsi="Arial"/>
          <w:sz w:val="18"/>
          <w:szCs w:val="18"/>
          <w:color w:val="auto"/>
        </w:rPr>
        <w:t xml:space="preserve">” shall mean, with respect to any Eurodollar Loan for any Interest Period or any Base Rate Loan the interest rate on which is determined by reference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“Alternate Base Rate”, (a) an interest rate per annum (rounded upward, if necessary, to the next 1/100th of 1%) determined by the Administrative Agent to be equal to the Eurodollar Rate for such Eurodollar </w:t>
      </w:r>
      <w:r>
        <w:rPr>
          <w:rFonts w:ascii="Arial" w:cs="Arial" w:eastAsia="Arial" w:hAnsi="Arial"/>
          <w:sz w:val="18"/>
          <w:szCs w:val="18"/>
          <w:u w:val="single" w:color="auto"/>
          <w:color w:val="0000E1"/>
        </w:rPr>
        <w:t>Rate</w:t>
      </w:r>
      <w:r>
        <w:rPr>
          <w:rFonts w:ascii="Arial" w:cs="Arial" w:eastAsia="Arial" w:hAnsi="Arial"/>
          <w:sz w:val="18"/>
          <w:szCs w:val="18"/>
          <w:color w:val="auto"/>
        </w:rPr>
        <w:t xml:space="preserve"> Borrowing in effect for such Interest Period divided by (b) 1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Statutory Reserves (if any) for such Borrowing of Eurodollar Loans for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-273685</wp:posOffset>
            </wp:positionV>
            <wp:extent cx="20574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6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Eurodollar Rate</w:t>
      </w:r>
      <w:r>
        <w:rPr>
          <w:rFonts w:ascii="Arial" w:cs="Arial" w:eastAsia="Arial" w:hAnsi="Arial"/>
          <w:sz w:val="18"/>
          <w:szCs w:val="18"/>
          <w:color w:val="auto"/>
        </w:rPr>
        <w:t>” shall mean:</w:t>
      </w:r>
    </w:p>
    <w:p>
      <w:pPr>
        <w:spacing w:after="0" w:line="117" w:lineRule="exact"/>
        <w:rPr>
          <w:sz w:val="20"/>
          <w:szCs w:val="20"/>
          <w:color w:val="auto"/>
        </w:rPr>
      </w:pPr>
    </w:p>
    <w:p>
      <w:pPr>
        <w:ind w:left="440" w:right="40" w:firstLine="419"/>
        <w:spacing w:after="0" w:line="291" w:lineRule="auto"/>
        <w:tabs>
          <w:tab w:leader="none" w:pos="1078" w:val="left"/>
        </w:tabs>
        <w:numPr>
          <w:ilvl w:val="0"/>
          <w:numId w:val="58"/>
        </w:numPr>
        <w:rPr>
          <w:rFonts w:ascii="Arial" w:cs="Arial" w:eastAsia="Arial" w:hAnsi="Arial"/>
          <w:sz w:val="16"/>
          <w:szCs w:val="16"/>
          <w:color w:val="FF0000"/>
          <w:strike w:val="1"/>
        </w:rPr>
      </w:pPr>
      <w:r>
        <w:rPr>
          <w:rFonts w:ascii="Arial" w:cs="Arial" w:eastAsia="Arial" w:hAnsi="Arial"/>
          <w:sz w:val="16"/>
          <w:szCs w:val="16"/>
          <w:u w:val="single" w:color="auto"/>
          <w:color w:val="0000E1"/>
        </w:rPr>
        <w:t>(i)</w:t>
      </w:r>
      <w:r>
        <w:rPr>
          <w:rFonts w:ascii="Arial" w:cs="Arial" w:eastAsia="Arial" w:hAnsi="Arial"/>
          <w:sz w:val="16"/>
          <w:szCs w:val="16"/>
          <w:color w:val="0000E1"/>
        </w:rPr>
        <w:t xml:space="preserve"> </w:t>
      </w:r>
      <w:r>
        <w:rPr>
          <w:rFonts w:ascii="Arial" w:cs="Arial" w:eastAsia="Arial" w:hAnsi="Arial"/>
          <w:sz w:val="16"/>
          <w:szCs w:val="16"/>
          <w:color w:val="000000"/>
        </w:rPr>
        <w:t>for any Interest Period with respect to a Eurodollar</w:t>
      </w:r>
      <w:r>
        <w:rPr>
          <w:rFonts w:ascii="Arial" w:cs="Arial" w:eastAsia="Arial" w:hAnsi="Arial"/>
          <w:sz w:val="16"/>
          <w:szCs w:val="16"/>
          <w:color w:val="0000E1"/>
        </w:rPr>
        <w:t xml:space="preserve"> </w:t>
      </w:r>
      <w:r>
        <w:rPr>
          <w:rFonts w:ascii="Arial" w:cs="Arial" w:eastAsia="Arial" w:hAnsi="Arial"/>
          <w:sz w:val="16"/>
          <w:szCs w:val="16"/>
          <w:color w:val="FF0000"/>
          <w:strike w:val="1"/>
        </w:rPr>
        <w:t>Rate</w:t>
      </w:r>
      <w:r>
        <w:rPr>
          <w:rFonts w:ascii="Arial" w:cs="Arial" w:eastAsia="Arial" w:hAnsi="Arial"/>
          <w:sz w:val="16"/>
          <w:szCs w:val="16"/>
          <w:color w:val="0000E1"/>
        </w:rPr>
        <w:t xml:space="preserve"> </w:t>
      </w:r>
      <w:r>
        <w:rPr>
          <w:rFonts w:ascii="Arial" w:cs="Arial" w:eastAsia="Arial" w:hAnsi="Arial"/>
          <w:sz w:val="16"/>
          <w:szCs w:val="16"/>
          <w:color w:val="000000"/>
        </w:rPr>
        <w:t>Loan, the rate per annum equal to</w:t>
      </w:r>
      <w:r>
        <w:rPr>
          <w:rFonts w:ascii="Arial" w:cs="Arial" w:eastAsia="Arial" w:hAnsi="Arial"/>
          <w:sz w:val="16"/>
          <w:szCs w:val="16"/>
          <w:color w:val="0000E1"/>
        </w:rPr>
        <w:t xml:space="preserve"> </w:t>
      </w:r>
      <w:r>
        <w:rPr>
          <w:rFonts w:ascii="Arial" w:cs="Arial" w:eastAsia="Arial" w:hAnsi="Arial"/>
          <w:sz w:val="16"/>
          <w:szCs w:val="16"/>
          <w:color w:val="FF0000"/>
          <w:strike w:val="1"/>
        </w:rPr>
        <w:t>(x)</w:t>
      </w:r>
      <w:r>
        <w:rPr>
          <w:rFonts w:ascii="Arial" w:cs="Arial" w:eastAsia="Arial" w:hAnsi="Arial"/>
          <w:sz w:val="16"/>
          <w:szCs w:val="16"/>
          <w:color w:val="0000E1"/>
        </w:rPr>
        <w:t xml:space="preserve"> </w:t>
      </w:r>
      <w:r>
        <w:rPr>
          <w:rFonts w:ascii="Arial" w:cs="Arial" w:eastAsia="Arial" w:hAnsi="Arial"/>
          <w:sz w:val="16"/>
          <w:szCs w:val="16"/>
          <w:color w:val="000000"/>
        </w:rPr>
        <w:t>the London Interbank Offered Rate</w:t>
      </w:r>
      <w:r>
        <w:rPr>
          <w:rFonts w:ascii="Arial" w:cs="Arial" w:eastAsia="Arial" w:hAnsi="Arial"/>
          <w:sz w:val="16"/>
          <w:szCs w:val="16"/>
          <w:color w:val="0000E1"/>
        </w:rPr>
        <w:t xml:space="preserve"> </w:t>
      </w:r>
      <w:r>
        <w:rPr>
          <w:rFonts w:ascii="Arial" w:cs="Arial" w:eastAsia="Arial" w:hAnsi="Arial"/>
          <w:sz w:val="16"/>
          <w:szCs w:val="16"/>
          <w:u w:val="single" w:color="auto"/>
          <w:color w:val="0000E1"/>
        </w:rPr>
        <w:t>as</w:t>
      </w:r>
      <w:r>
        <w:rPr>
          <w:rFonts w:ascii="Arial" w:cs="Arial" w:eastAsia="Arial" w:hAnsi="Arial"/>
          <w:sz w:val="16"/>
          <w:szCs w:val="16"/>
          <w:color w:val="0000E1"/>
        </w:rPr>
        <w:t xml:space="preserve"> </w:t>
      </w:r>
      <w:r>
        <w:rPr>
          <w:rFonts w:ascii="Arial" w:cs="Arial" w:eastAsia="Arial" w:hAnsi="Arial"/>
          <w:sz w:val="16"/>
          <w:szCs w:val="16"/>
          <w:u w:val="single" w:color="auto"/>
          <w:color w:val="0000E1"/>
        </w:rPr>
        <w:t>administered by ICE Benchmark Administration (or any other Person that takes over the administration of such rate for U.S. Dollars for a period equal in length to such Interest Period)</w:t>
      </w:r>
      <w:r>
        <w:rPr>
          <w:rFonts w:ascii="Arial" w:cs="Arial" w:eastAsia="Arial" w:hAnsi="Arial"/>
          <w:sz w:val="16"/>
          <w:szCs w:val="16"/>
          <w:color w:val="0000E1"/>
        </w:rPr>
        <w:t xml:space="preserve"> </w:t>
      </w:r>
      <w:r>
        <w:rPr>
          <w:rFonts w:ascii="Arial" w:cs="Arial" w:eastAsia="Arial" w:hAnsi="Arial"/>
          <w:sz w:val="16"/>
          <w:szCs w:val="16"/>
          <w:color w:val="000000"/>
        </w:rPr>
        <w:t>(“</w:t>
      </w:r>
      <w:r>
        <w:rPr>
          <w:rFonts w:ascii="Arial" w:cs="Arial" w:eastAsia="Arial" w:hAnsi="Arial"/>
          <w:sz w:val="16"/>
          <w:szCs w:val="16"/>
          <w:i w:val="1"/>
          <w:iCs w:val="1"/>
          <w:color w:val="000000"/>
        </w:rPr>
        <w:t>LIBOR</w:t>
      </w:r>
      <w:r>
        <w:rPr>
          <w:rFonts w:ascii="Arial" w:cs="Arial" w:eastAsia="Arial" w:hAnsi="Arial"/>
          <w:sz w:val="16"/>
          <w:szCs w:val="16"/>
          <w:color w:val="000000"/>
        </w:rPr>
        <w:t>”) as published on the applicable Bloomberg screen page (or such other commercially available</w:t>
      </w:r>
      <w:r>
        <w:rPr>
          <w:rFonts w:ascii="Arial" w:cs="Arial" w:eastAsia="Arial" w:hAnsi="Arial"/>
          <w:sz w:val="16"/>
          <w:szCs w:val="16"/>
          <w:color w:val="0000E1"/>
        </w:rPr>
        <w:t xml:space="preserve"> </w:t>
      </w:r>
      <w:r>
        <w:rPr>
          <w:rFonts w:ascii="Arial" w:cs="Arial" w:eastAsia="Arial" w:hAnsi="Arial"/>
          <w:sz w:val="16"/>
          <w:szCs w:val="16"/>
          <w:color w:val="000000"/>
        </w:rPr>
        <w:t xml:space="preserve">source providing such quotations as may be designated by the Administrative Agent from time to time), at approximately 11:00 a.m., London time, two </w:t>
      </w:r>
      <w:r>
        <w:rPr>
          <w:rFonts w:ascii="Arial" w:cs="Arial" w:eastAsia="Arial" w:hAnsi="Arial"/>
          <w:sz w:val="16"/>
          <w:szCs w:val="16"/>
          <w:u w:val="single" w:color="auto"/>
          <w:color w:val="0000E1"/>
        </w:rPr>
        <w:t>(2)</w:t>
      </w:r>
      <w:r>
        <w:rPr>
          <w:rFonts w:ascii="Arial" w:cs="Arial" w:eastAsia="Arial" w:hAnsi="Arial"/>
          <w:sz w:val="16"/>
          <w:szCs w:val="16"/>
          <w:color w:val="000000"/>
        </w:rPr>
        <w:t xml:space="preserve"> Business Days prior to the commencement of such Interest Period </w:t>
      </w:r>
      <w:r>
        <w:rPr>
          <w:rFonts w:ascii="Arial" w:cs="Arial" w:eastAsia="Arial" w:hAnsi="Arial"/>
          <w:sz w:val="16"/>
          <w:szCs w:val="16"/>
          <w:color w:val="FF0000"/>
        </w:rPr>
        <w:t>or (y) a comparable or successor rate, which rate is approved by</w:t>
      </w:r>
      <w:r>
        <w:rPr>
          <w:rFonts w:ascii="Arial" w:cs="Arial" w:eastAsia="Arial" w:hAnsi="Arial"/>
          <w:sz w:val="16"/>
          <w:szCs w:val="16"/>
          <w:color w:val="000000"/>
        </w:rPr>
        <w:t xml:space="preserve"> </w:t>
      </w:r>
      <w:r>
        <w:rPr>
          <w:rFonts w:ascii="Arial" w:cs="Arial" w:eastAsia="Arial" w:hAnsi="Arial"/>
          <w:sz w:val="16"/>
          <w:szCs w:val="16"/>
          <w:color w:val="FF0000"/>
          <w:strike w:val="1"/>
        </w:rPr>
        <w:t>the Administrative Agent</w:t>
      </w:r>
      <w:r>
        <w:rPr>
          <w:rFonts w:ascii="Arial" w:cs="Arial" w:eastAsia="Arial" w:hAnsi="Arial"/>
          <w:sz w:val="16"/>
          <w:szCs w:val="16"/>
          <w:color w:val="000000"/>
        </w:rPr>
        <w:t>, for Dollar deposits (for delivery on the first day of such Interest Period) with a term equivalent to such Interest</w:t>
      </w:r>
      <w:r>
        <w:rPr>
          <w:rFonts w:ascii="Arial" w:cs="Arial" w:eastAsia="Arial" w:hAnsi="Arial"/>
          <w:sz w:val="16"/>
          <w:szCs w:val="16"/>
          <w:color w:val="FF0000"/>
        </w:rPr>
        <w:t xml:space="preserve"> </w:t>
      </w:r>
      <w:r>
        <w:rPr>
          <w:rFonts w:ascii="Arial" w:cs="Arial" w:eastAsia="Arial" w:hAnsi="Arial"/>
          <w:sz w:val="16"/>
          <w:szCs w:val="16"/>
          <w:color w:val="000000"/>
        </w:rPr>
        <w:t xml:space="preserve">Period; </w:t>
      </w:r>
      <w:r>
        <w:rPr>
          <w:rFonts w:ascii="Arial" w:cs="Arial" w:eastAsia="Arial" w:hAnsi="Arial"/>
          <w:sz w:val="16"/>
          <w:szCs w:val="16"/>
          <w:color w:val="FF0000"/>
        </w:rPr>
        <w:t>and</w:t>
      </w:r>
      <w:r>
        <w:rPr>
          <w:rFonts w:ascii="Arial" w:cs="Arial" w:eastAsia="Arial" w:hAnsi="Arial"/>
          <w:sz w:val="16"/>
          <w:szCs w:val="16"/>
          <w:color w:val="000000"/>
        </w:rPr>
        <w:t xml:space="preserve"> </w:t>
      </w:r>
      <w:r>
        <w:rPr>
          <w:rFonts w:ascii="Arial" w:cs="Arial" w:eastAsia="Arial" w:hAnsi="Arial"/>
          <w:sz w:val="16"/>
          <w:szCs w:val="16"/>
          <w:color w:val="008000"/>
        </w:rPr>
        <w:t>if the Eurodollar Rate shall be less than zero, such rate shall be deemed zero for purposes of this Agreement</w:t>
      </w:r>
      <w:r>
        <w:rPr>
          <w:rFonts w:ascii="Arial" w:cs="Arial" w:eastAsia="Arial" w:hAnsi="Arial"/>
          <w:sz w:val="16"/>
          <w:szCs w:val="16"/>
          <w:color w:val="FF0000"/>
          <w:strike w:val="1"/>
        </w:rPr>
        <w:t>; and</w:t>
      </w:r>
    </w:p>
    <w:p>
      <w:pPr>
        <w:spacing w:after="0" w:line="58" w:lineRule="exact"/>
        <w:rPr>
          <w:rFonts w:ascii="Arial" w:cs="Arial" w:eastAsia="Arial" w:hAnsi="Arial"/>
          <w:sz w:val="16"/>
          <w:szCs w:val="16"/>
          <w:color w:val="FF0000"/>
          <w:strike w:val="1"/>
        </w:rPr>
      </w:pPr>
    </w:p>
    <w:p>
      <w:pPr>
        <w:ind w:left="440" w:right="320" w:firstLine="419"/>
        <w:spacing w:after="0" w:line="263" w:lineRule="auto"/>
        <w:tabs>
          <w:tab w:leader="none" w:pos="1128" w:val="left"/>
        </w:tabs>
        <w:numPr>
          <w:ilvl w:val="0"/>
          <w:numId w:val="58"/>
        </w:numPr>
        <w:rPr>
          <w:rFonts w:ascii="Arial" w:cs="Arial" w:eastAsia="Arial" w:hAnsi="Arial"/>
          <w:sz w:val="18"/>
          <w:szCs w:val="18"/>
          <w:color w:val="FF0000"/>
          <w:strike w:val="1"/>
        </w:rPr>
      </w:pPr>
      <w:r>
        <w:rPr>
          <w:rFonts w:ascii="Arial" w:cs="Arial" w:eastAsia="Arial" w:hAnsi="Arial"/>
          <w:sz w:val="18"/>
          <w:szCs w:val="18"/>
          <w:color w:val="0000E1"/>
        </w:rPr>
        <w:t xml:space="preserve">(ii) </w:t>
      </w:r>
      <w:r>
        <w:rPr>
          <w:rFonts w:ascii="Arial" w:cs="Arial" w:eastAsia="Arial" w:hAnsi="Arial"/>
          <w:sz w:val="18"/>
          <w:szCs w:val="18"/>
          <w:color w:val="000000"/>
        </w:rPr>
        <w:t>for any interest calculation with respect to a Base Rate Loan on any date, the rate per annum equal to LIBOR, at or about 11:00</w:t>
      </w:r>
      <w:r>
        <w:rPr>
          <w:rFonts w:ascii="Arial" w:cs="Arial" w:eastAsia="Arial" w:hAnsi="Arial"/>
          <w:sz w:val="18"/>
          <w:szCs w:val="18"/>
          <w:color w:val="0000E1"/>
        </w:rPr>
        <w:t xml:space="preserve"> </w:t>
      </w:r>
      <w:r>
        <w:rPr>
          <w:rFonts w:ascii="Arial" w:cs="Arial" w:eastAsia="Arial" w:hAnsi="Arial"/>
          <w:sz w:val="18"/>
          <w:szCs w:val="18"/>
          <w:color w:val="000000"/>
        </w:rPr>
        <w:t xml:space="preserve">a.m., London time determined two </w:t>
      </w:r>
      <w:r>
        <w:rPr>
          <w:rFonts w:ascii="Arial" w:cs="Arial" w:eastAsia="Arial" w:hAnsi="Arial"/>
          <w:sz w:val="18"/>
          <w:szCs w:val="18"/>
          <w:color w:val="FF0000"/>
          <w:strike w:val="1"/>
        </w:rPr>
        <w:t>Business</w:t>
      </w:r>
      <w:r>
        <w:rPr>
          <w:rFonts w:ascii="Arial" w:cs="Arial" w:eastAsia="Arial" w:hAnsi="Arial"/>
          <w:sz w:val="18"/>
          <w:szCs w:val="18"/>
          <w:u w:val="single" w:color="auto"/>
          <w:color w:val="0000E1"/>
        </w:rPr>
        <w:t>(2) London Banking</w:t>
      </w:r>
      <w:r>
        <w:rPr>
          <w:rFonts w:ascii="Arial" w:cs="Arial" w:eastAsia="Arial" w:hAnsi="Arial"/>
          <w:sz w:val="18"/>
          <w:szCs w:val="18"/>
          <w:color w:val="000000"/>
        </w:rPr>
        <w:t xml:space="preserve"> Days prior to such date for U.S. Dollar deposits with a term of one month commencing that day; </w:t>
      </w:r>
      <w:r>
        <w:rPr>
          <w:rFonts w:ascii="Arial" w:cs="Arial" w:eastAsia="Arial" w:hAnsi="Arial"/>
          <w:sz w:val="18"/>
          <w:szCs w:val="18"/>
          <w:color w:val="0000E1"/>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-1305560</wp:posOffset>
            </wp:positionV>
            <wp:extent cx="1028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-1305560</wp:posOffset>
            </wp:positionV>
            <wp:extent cx="946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-1168400</wp:posOffset>
            </wp:positionV>
            <wp:extent cx="66090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60908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-1031240</wp:posOffset>
            </wp:positionV>
            <wp:extent cx="17659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65935"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-756920</wp:posOffset>
            </wp:positionV>
            <wp:extent cx="137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-833755</wp:posOffset>
            </wp:positionV>
            <wp:extent cx="29533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953385" cy="8255"/>
                    </a:xfrm>
                    <a:prstGeom prst="rect">
                      <a:avLst/>
                    </a:prstGeom>
                    <a:noFill/>
                  </pic:spPr>
                </pic:pic>
              </a:graphicData>
            </a:graphic>
          </wp:anchor>
        </w:drawing>
        <w:drawing>
          <wp:anchor simplePos="0" relativeHeight="251657728" behindDoc="1" locked="0" layoutInCell="0" allowOverlap="1">
            <wp:simplePos x="0" y="0"/>
            <wp:positionH relativeFrom="column">
              <wp:posOffset>607060</wp:posOffset>
            </wp:positionH>
            <wp:positionV relativeFrom="paragraph">
              <wp:posOffset>-559435</wp:posOffset>
            </wp:positionV>
            <wp:extent cx="51523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52390" cy="825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-276860</wp:posOffset>
            </wp:positionV>
            <wp:extent cx="1714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-311150</wp:posOffset>
            </wp:positionV>
            <wp:extent cx="1682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68275" cy="825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-139700</wp:posOffset>
            </wp:positionV>
            <wp:extent cx="93408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4085"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-2540</wp:posOffset>
            </wp:positionV>
            <wp:extent cx="19748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1292225</wp:posOffset>
            </wp:positionH>
            <wp:positionV relativeFrom="paragraph">
              <wp:posOffset>-36830</wp:posOffset>
            </wp:positionV>
            <wp:extent cx="1936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93675"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69" w:name="page70"/>
    <w:bookmarkEnd w:id="69"/>
    <w:p>
      <w:pPr>
        <w:ind w:right="240"/>
        <w:spacing w:after="0" w:line="311" w:lineRule="auto"/>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provided that to the extent a comparable or successor rate is approved </w:t>
      </w:r>
      <w:r>
        <w:rPr>
          <w:rFonts w:ascii="Arial" w:cs="Arial" w:eastAsia="Arial" w:hAnsi="Arial"/>
          <w:sz w:val="16"/>
          <w:szCs w:val="16"/>
          <w:color w:val="008000"/>
          <w:strike w:val="1"/>
        </w:rPr>
        <w:t>by the Administrative Agent in</w:t>
      </w:r>
      <w:r>
        <w:rPr>
          <w:rFonts w:ascii="Arial" w:cs="Arial" w:eastAsia="Arial" w:hAnsi="Arial"/>
          <w:sz w:val="16"/>
          <w:szCs w:val="16"/>
          <w:color w:val="FF0000"/>
          <w:strike w:val="1"/>
        </w:rPr>
        <w:t xml:space="preserve"> connection herewith, the approved rate </w:t>
      </w:r>
      <w:r>
        <w:rPr>
          <w:rFonts w:ascii="Arial" w:cs="Arial" w:eastAsia="Arial" w:hAnsi="Arial"/>
          <w:sz w:val="16"/>
          <w:szCs w:val="16"/>
          <w:color w:val="008000"/>
          <w:strike w:val="1"/>
        </w:rPr>
        <w:t>shall be</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applied in a manner consistent with market practice; provided</w:t>
      </w:r>
      <w:r>
        <w:rPr>
          <w:rFonts w:ascii="Arial" w:cs="Arial" w:eastAsia="Arial" w:hAnsi="Arial"/>
          <w:sz w:val="16"/>
          <w:szCs w:val="16"/>
          <w:color w:val="FF0000"/>
          <w:strike w:val="1"/>
        </w:rPr>
        <w:t>, further that to the</w:t>
      </w:r>
      <w:r>
        <w:rPr>
          <w:rFonts w:ascii="Arial" w:cs="Arial" w:eastAsia="Arial" w:hAnsi="Arial"/>
          <w:sz w:val="16"/>
          <w:szCs w:val="16"/>
          <w:color w:val="008000"/>
          <w:strike w:val="1"/>
        </w:rPr>
        <w:t xml:space="preserve"> extent such market practice is not administratively feasible for the Administrative Agent, such </w:t>
      </w:r>
      <w:r>
        <w:rPr>
          <w:rFonts w:ascii="Arial" w:cs="Arial" w:eastAsia="Arial" w:hAnsi="Arial"/>
          <w:sz w:val="16"/>
          <w:szCs w:val="16"/>
          <w:color w:val="FF0000"/>
          <w:strike w:val="1"/>
        </w:rPr>
        <w:t>approved rate</w:t>
      </w:r>
      <w:r>
        <w:rPr>
          <w:rFonts w:ascii="Arial" w:cs="Arial" w:eastAsia="Arial" w:hAnsi="Arial"/>
          <w:sz w:val="16"/>
          <w:szCs w:val="16"/>
          <w:color w:val="008000"/>
          <w:strike w:val="1"/>
        </w:rPr>
        <w:t xml:space="preserve"> shall be applied in a manner as otherwise reasonably determined by the Administrative Agent</w:t>
      </w:r>
      <w:r>
        <w:rPr>
          <w:rFonts w:ascii="Arial" w:cs="Arial" w:eastAsia="Arial" w:hAnsi="Arial"/>
          <w:sz w:val="16"/>
          <w:szCs w:val="16"/>
          <w:color w:val="FF0000"/>
          <w:strike w:val="1"/>
        </w:rPr>
        <w:t>.</w:t>
      </w:r>
    </w:p>
    <w:p>
      <w:pPr>
        <w:spacing w:after="0" w:line="41" w:lineRule="exact"/>
        <w:rPr>
          <w:sz w:val="20"/>
          <w:szCs w:val="20"/>
          <w:color w:val="auto"/>
        </w:rPr>
      </w:pPr>
    </w:p>
    <w:p>
      <w:pPr>
        <w:ind w:left="1360" w:hanging="501"/>
        <w:spacing w:after="0"/>
        <w:tabs>
          <w:tab w:leader="none" w:pos="1360" w:val="left"/>
        </w:tabs>
        <w:numPr>
          <w:ilvl w:val="0"/>
          <w:numId w:val="59"/>
        </w:numPr>
        <w:rPr>
          <w:rFonts w:ascii="Arial" w:cs="Arial" w:eastAsia="Arial" w:hAnsi="Arial"/>
          <w:sz w:val="18"/>
          <w:szCs w:val="18"/>
          <w:u w:val="single" w:color="auto"/>
          <w:color w:val="0000E1"/>
        </w:rPr>
      </w:pPr>
      <w:r>
        <w:rPr>
          <w:rFonts w:ascii="Arial" w:cs="Arial" w:eastAsia="Arial" w:hAnsi="Arial"/>
          <w:sz w:val="18"/>
          <w:szCs w:val="18"/>
          <w:u w:val="single" w:color="auto"/>
          <w:color w:val="008000"/>
        </w:rPr>
        <w:t xml:space="preserve">if the Eurodollar Rate shall be </w:t>
      </w:r>
      <w:r>
        <w:rPr>
          <w:rFonts w:ascii="Arial" w:cs="Arial" w:eastAsia="Arial" w:hAnsi="Arial"/>
          <w:sz w:val="18"/>
          <w:szCs w:val="18"/>
          <w:u w:val="single" w:color="auto"/>
          <w:color w:val="0000E1"/>
        </w:rPr>
        <w:t>less than 1.00%, such rate shall be deemed 1.00%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23495</wp:posOffset>
            </wp:positionV>
            <wp:extent cx="1974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23495</wp:posOffset>
            </wp:positionV>
            <wp:extent cx="37547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97" w:lineRule="exact"/>
        <w:rPr>
          <w:sz w:val="20"/>
          <w:szCs w:val="20"/>
          <w:color w:val="auto"/>
        </w:rPr>
      </w:pPr>
    </w:p>
    <w:p>
      <w:pPr>
        <w:ind w:left="440" w:firstLine="42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Statutory Reserves</w:t>
      </w:r>
      <w:r>
        <w:rPr>
          <w:rFonts w:ascii="Arial" w:cs="Arial" w:eastAsia="Arial" w:hAnsi="Arial"/>
          <w:sz w:val="16"/>
          <w:szCs w:val="16"/>
          <w:color w:val="auto"/>
        </w:rPr>
        <w:t xml:space="preserve">” shall mean, for any day during any Interest Period for any Eurodollar Loan or any Base Rate Loan the interest rate on which is determined by reference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the definition of “Alternate Base Rate”, the average maximum rate at which reserves (including any marginal, supplemental or emergency reserves) are required to be maintained, during such Interest Period under regulations issued from time to time (including “Regulation D</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E1"/>
        </w:rPr>
        <w:t>)</w:t>
      </w:r>
      <w:r>
        <w:rPr>
          <w:rFonts w:ascii="Arial" w:cs="Arial" w:eastAsia="Arial" w:hAnsi="Arial"/>
          <w:sz w:val="16"/>
          <w:szCs w:val="16"/>
          <w:color w:val="auto"/>
        </w:rPr>
        <w:t xml:space="preserve"> </w:t>
      </w:r>
      <w:r>
        <w:rPr>
          <w:rFonts w:ascii="Arial" w:cs="Arial" w:eastAsia="Arial" w:hAnsi="Arial"/>
          <w:sz w:val="16"/>
          <w:szCs w:val="16"/>
          <w:color w:val="0000E1"/>
        </w:rPr>
        <w:t>issued by the Board of Governors of the Federal Reserve Bank of the United States (the “</w:t>
      </w:r>
      <w:r>
        <w:rPr>
          <w:rFonts w:ascii="Arial" w:cs="Arial" w:eastAsia="Arial" w:hAnsi="Arial"/>
          <w:sz w:val="16"/>
          <w:szCs w:val="16"/>
          <w:i w:val="1"/>
          <w:iCs w:val="1"/>
          <w:color w:val="0000E1"/>
        </w:rPr>
        <w:t>Reserve</w:t>
      </w:r>
      <w:r>
        <w:rPr>
          <w:rFonts w:ascii="Arial" w:cs="Arial" w:eastAsia="Arial" w:hAnsi="Arial"/>
          <w:sz w:val="16"/>
          <w:szCs w:val="16"/>
          <w:color w:val="auto"/>
        </w:rPr>
        <w:t xml:space="preserve"> </w:t>
      </w:r>
      <w:r>
        <w:rPr>
          <w:rFonts w:ascii="Arial" w:cs="Arial" w:eastAsia="Arial" w:hAnsi="Arial"/>
          <w:sz w:val="16"/>
          <w:szCs w:val="16"/>
          <w:i w:val="1"/>
          <w:iCs w:val="1"/>
          <w:color w:val="0000E1"/>
        </w:rPr>
        <w:t>Regulations</w:t>
      </w:r>
      <w:r>
        <w:rPr>
          <w:rFonts w:ascii="Arial" w:cs="Arial" w:eastAsia="Arial" w:hAnsi="Arial"/>
          <w:sz w:val="16"/>
          <w:szCs w:val="16"/>
          <w:color w:val="0000E1"/>
        </w:rPr>
        <w:t>”) by member banks of the United States Federal Reserve System in New York City with deposits exceeding one billion U.S. Dollars</w:t>
      </w:r>
      <w:r>
        <w:rPr>
          <w:rFonts w:ascii="Arial" w:cs="Arial" w:eastAsia="Arial" w:hAnsi="Arial"/>
          <w:sz w:val="16"/>
          <w:szCs w:val="16"/>
          <w:i w:val="1"/>
          <w:iCs w:val="1"/>
          <w:color w:val="0000E1"/>
        </w:rPr>
        <w:t xml:space="preserve"> </w:t>
      </w:r>
      <w:r>
        <w:rPr>
          <w:rFonts w:ascii="Arial" w:cs="Arial" w:eastAsia="Arial" w:hAnsi="Arial"/>
          <w:sz w:val="16"/>
          <w:szCs w:val="16"/>
          <w:color w:val="0000E1"/>
        </w:rPr>
        <w:t>against Eurocurrency funding liabilities (currently referred to as “Eurocurrency liabilities” (as such term is used in Regulation D)). Borrowings of Eurodollar Loans shall be deemed to constitute Eurodollar liabilities and to be subject to such reserve requirements without benefit of or credit for proration, exceptions or offsets which may be available from time to time to any Lender under the Reserve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-562610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-596900</wp:posOffset>
            </wp:positionV>
            <wp:extent cx="285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1866900</wp:posOffset>
            </wp:positionH>
            <wp:positionV relativeFrom="paragraph">
              <wp:posOffset>-639445</wp:posOffset>
            </wp:positionV>
            <wp:extent cx="285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6247765</wp:posOffset>
            </wp:positionH>
            <wp:positionV relativeFrom="paragraph">
              <wp:posOffset>-365125</wp:posOffset>
            </wp:positionV>
            <wp:extent cx="285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5" w:lineRule="exact"/>
        <w:rPr>
          <w:sz w:val="20"/>
          <w:szCs w:val="20"/>
          <w:color w:val="auto"/>
        </w:rPr>
      </w:pPr>
    </w:p>
    <w:p>
      <w:pPr>
        <w:ind w:right="220" w:firstLine="987"/>
        <w:spacing w:after="0" w:line="277" w:lineRule="auto"/>
        <w:tabs>
          <w:tab w:leader="none" w:pos="1371"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Rate Determinations. </w:t>
      </w:r>
      <w:r>
        <w:rPr>
          <w:rFonts w:ascii="Arial" w:cs="Arial" w:eastAsia="Arial" w:hAnsi="Arial"/>
          <w:sz w:val="18"/>
          <w:szCs w:val="18"/>
          <w:color w:val="auto"/>
        </w:rPr>
        <w:t>The Administrative Agent shall determine each interest rate applicable to the Loans and the Reimbursement</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hereunder, and its determination thereof shall be conclusive and binding if reasonably determined.</w:t>
      </w:r>
    </w:p>
    <w:p>
      <w:pPr>
        <w:spacing w:after="0" w:line="170" w:lineRule="exact"/>
        <w:rPr>
          <w:rFonts w:ascii="Arial" w:cs="Arial" w:eastAsia="Arial" w:hAnsi="Arial"/>
          <w:sz w:val="18"/>
          <w:szCs w:val="18"/>
          <w:color w:val="auto"/>
        </w:rPr>
      </w:pPr>
    </w:p>
    <w:p>
      <w:pPr>
        <w:ind w:firstLine="987"/>
        <w:spacing w:after="0" w:line="269" w:lineRule="auto"/>
        <w:tabs>
          <w:tab w:leader="none" w:pos="1381"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Retroactive Adjustments of Applicable Margin</w:t>
      </w:r>
      <w:r>
        <w:rPr>
          <w:rFonts w:ascii="Arial" w:cs="Arial" w:eastAsia="Arial" w:hAnsi="Arial"/>
          <w:sz w:val="17"/>
          <w:szCs w:val="17"/>
          <w:color w:val="auto"/>
        </w:rPr>
        <w:t>. If, as a result of any restatement or other adjustment to the financial statements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Borrower or for any other reason, the Borrower or the Lenders determine that (i) the Total Leverage Ratio as calculated by the Borrower as of any applicable date was inaccurate and (ii) a proper calculation of the Total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of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1.4</w:t>
      </w:r>
      <w:r>
        <w:rPr>
          <w:rFonts w:ascii="Arial" w:cs="Arial" w:eastAsia="Arial" w:hAnsi="Arial"/>
          <w:sz w:val="17"/>
          <w:szCs w:val="17"/>
          <w:color w:val="auto"/>
        </w:rPr>
        <w:t xml:space="preserve"> or under </w:t>
      </w:r>
      <w:r>
        <w:rPr>
          <w:rFonts w:ascii="Arial" w:cs="Arial" w:eastAsia="Arial" w:hAnsi="Arial"/>
          <w:sz w:val="17"/>
          <w:szCs w:val="17"/>
          <w:u w:val="single" w:color="auto"/>
          <w:color w:val="auto"/>
        </w:rPr>
        <w:t>Section 9</w:t>
      </w:r>
      <w:r>
        <w:rPr>
          <w:rFonts w:ascii="Arial" w:cs="Arial" w:eastAsia="Arial" w:hAnsi="Arial"/>
          <w:sz w:val="17"/>
          <w:szCs w:val="17"/>
          <w:color w:val="auto"/>
        </w:rPr>
        <w:t>. The Borrower’s obligations under this paragraph shall survive the termination of the Commitments and the repayment of all other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1845310</wp:posOffset>
            </wp:positionH>
            <wp:positionV relativeFrom="paragraph">
              <wp:posOffset>-1724660</wp:posOffset>
            </wp:positionV>
            <wp:extent cx="285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-1313180</wp:posOffset>
            </wp:positionV>
            <wp:extent cx="285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-353060</wp:posOffset>
            </wp:positionV>
            <wp:extent cx="285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-215900</wp:posOffset>
            </wp:positionV>
            <wp:extent cx="285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5"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i w:val="1"/>
          <w:iCs w:val="1"/>
          <w:color w:val="auto"/>
        </w:rPr>
        <w:t>Minimum Borrowing Amounts; Maximum Eurodollar Loans</w:t>
      </w:r>
      <w:r>
        <w:rPr>
          <w:rFonts w:ascii="Arial" w:cs="Arial" w:eastAsia="Arial" w:hAnsi="Arial"/>
          <w:sz w:val="18"/>
          <w:szCs w:val="18"/>
          <w:color w:val="auto"/>
        </w:rPr>
        <w:t xml:space="preserve">. Each Borrowing of Base Rate Loans advanced under a Credit Facility shall be in an amount not less than $500,000, or such greater amount which is an integral multiple of $100,000 in excess thereof (or, in each case, such lesser amount then available);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requirement shall not apply to Swing Loans. Each Borrowing of Eurodollar Loans advanced, continued or converted under a Credit Facility shall be in an amount equal to $2,000,000 or such greater amount which is an integral multiple of $500,000 in excess thereof. Without the Administrative Agent’s consent, there shall not be more than twelve (12) Borrowings of Eurodollar Loans outstanding hereunder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-759460</wp:posOffset>
            </wp:positionV>
            <wp:extent cx="285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5183505</wp:posOffset>
            </wp:positionH>
            <wp:positionV relativeFrom="paragraph">
              <wp:posOffset>-485140</wp:posOffset>
            </wp:positionV>
            <wp:extent cx="285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-210820</wp:posOffset>
            </wp:positionV>
            <wp:extent cx="285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70" w:name="page71"/>
    <w:bookmarkEnd w:id="70"/>
    <w:p>
      <w:pPr>
        <w:ind w:left="444"/>
        <w:spacing w:after="0"/>
        <w:tabs>
          <w:tab w:leader="none" w:pos="1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1.6</w:t>
      </w:r>
      <w:r>
        <w:rPr>
          <w:sz w:val="20"/>
          <w:szCs w:val="20"/>
          <w:color w:val="auto"/>
        </w:rPr>
        <w:tab/>
      </w:r>
      <w:r>
        <w:rPr>
          <w:rFonts w:ascii="Arial" w:cs="Arial" w:eastAsia="Arial" w:hAnsi="Arial"/>
          <w:sz w:val="16"/>
          <w:szCs w:val="16"/>
          <w:i w:val="1"/>
          <w:iCs w:val="1"/>
          <w:color w:val="auto"/>
        </w:rPr>
        <w:t>Manner of Borrowing Loans and Designating Applicable Interest Rates</w:t>
      </w:r>
      <w:r>
        <w:rPr>
          <w:rFonts w:ascii="Arial" w:cs="Arial" w:eastAsia="Arial" w:hAnsi="Arial"/>
          <w:sz w:val="16"/>
          <w:szCs w:val="16"/>
          <w:color w:val="auto"/>
        </w:rPr>
        <w:t>;</w:t>
      </w:r>
      <w:r>
        <w:rPr>
          <w:rFonts w:ascii="Arial" w:cs="Arial" w:eastAsia="Arial" w:hAnsi="Arial"/>
          <w:sz w:val="16"/>
          <w:szCs w:val="16"/>
          <w:i w:val="1"/>
          <w:iCs w:val="1"/>
          <w:color w:val="auto"/>
        </w:rPr>
        <w:t xml:space="preserve"> Notice to the Administrative Agent</w:t>
      </w:r>
      <w:r>
        <w:rPr>
          <w:rFonts w:ascii="Arial" w:cs="Arial" w:eastAsia="Arial" w:hAnsi="Arial"/>
          <w:sz w:val="16"/>
          <w:szCs w:val="16"/>
          <w:color w:val="FF0000"/>
          <w:strike w:val="1"/>
        </w:rPr>
        <w:t>(a)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FF0000"/>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6003290</wp:posOffset>
            </wp:positionH>
            <wp:positionV relativeFrom="paragraph">
              <wp:posOffset>-53340</wp:posOffset>
            </wp:positionV>
            <wp:extent cx="1549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4940" cy="8255"/>
                    </a:xfrm>
                    <a:prstGeom prst="rect">
                      <a:avLst/>
                    </a:prstGeom>
                    <a:noFill/>
                  </pic:spPr>
                </pic:pic>
              </a:graphicData>
            </a:graphic>
          </wp:anchor>
        </w:drawing>
      </w:r>
    </w:p>
    <w:p>
      <w:pPr>
        <w:spacing w:after="0" w:line="205" w:lineRule="exact"/>
        <w:rPr>
          <w:sz w:val="20"/>
          <w:szCs w:val="20"/>
          <w:color w:val="auto"/>
        </w:rPr>
      </w:pPr>
    </w:p>
    <w:p>
      <w:pPr>
        <w:ind w:left="1424" w:hanging="433"/>
        <w:spacing w:after="0"/>
        <w:tabs>
          <w:tab w:leader="none" w:pos="1424" w:val="left"/>
        </w:tabs>
        <w:numPr>
          <w:ilvl w:val="1"/>
          <w:numId w:val="61"/>
        </w:numPr>
        <w:rPr>
          <w:rFonts w:ascii="Arial" w:cs="Arial" w:eastAsia="Arial" w:hAnsi="Arial"/>
          <w:sz w:val="17"/>
          <w:szCs w:val="17"/>
          <w:u w:val="single" w:color="auto"/>
          <w:color w:val="0000E1"/>
        </w:rPr>
      </w:pPr>
      <w:r>
        <w:rPr>
          <w:rFonts w:ascii="Arial" w:cs="Arial" w:eastAsia="Arial" w:hAnsi="Arial"/>
          <w:sz w:val="17"/>
          <w:szCs w:val="17"/>
          <w:i w:val="1"/>
          <w:iCs w:val="1"/>
          <w:u w:val="single" w:color="auto"/>
          <w:color w:val="0000E1"/>
        </w:rPr>
        <w:t>Committed Loan Notices</w:t>
      </w:r>
      <w:r>
        <w:rPr>
          <w:rFonts w:ascii="Arial" w:cs="Arial" w:eastAsia="Arial" w:hAnsi="Arial"/>
          <w:sz w:val="17"/>
          <w:szCs w:val="17"/>
          <w:u w:val="single" w:color="auto"/>
          <w:color w:val="0000E1"/>
        </w:rPr>
        <w:t>.</w:t>
      </w:r>
      <w:r>
        <w:rPr>
          <w:rFonts w:ascii="Arial" w:cs="Arial" w:eastAsia="Arial" w:hAnsi="Arial"/>
          <w:sz w:val="17"/>
          <w:szCs w:val="17"/>
          <w:i w:val="1"/>
          <w:iCs w:val="1"/>
          <w:color w:val="0000E1"/>
        </w:rPr>
        <w:t xml:space="preserve"> </w:t>
      </w:r>
      <w:r>
        <w:rPr>
          <w:rFonts w:ascii="Arial" w:cs="Arial" w:eastAsia="Arial" w:hAnsi="Arial"/>
          <w:sz w:val="17"/>
          <w:szCs w:val="17"/>
          <w:color w:val="000000"/>
        </w:rPr>
        <w:t>An Authorized Representative of the Borrower shall give</w:t>
      </w:r>
      <w:r>
        <w:rPr>
          <w:rFonts w:ascii="Arial" w:cs="Arial" w:eastAsia="Arial" w:hAnsi="Arial"/>
          <w:sz w:val="17"/>
          <w:szCs w:val="17"/>
          <w:i w:val="1"/>
          <w:iCs w:val="1"/>
          <w:color w:val="0000E1"/>
        </w:rPr>
        <w:t xml:space="preserve"> </w:t>
      </w:r>
      <w:r>
        <w:rPr>
          <w:rFonts w:ascii="Arial" w:cs="Arial" w:eastAsia="Arial" w:hAnsi="Arial"/>
          <w:sz w:val="17"/>
          <w:szCs w:val="17"/>
          <w:u w:val="single" w:color="auto"/>
          <w:color w:val="0000E1"/>
        </w:rPr>
        <w:t>irrevocable notice by</w:t>
      </w:r>
      <w:r>
        <w:rPr>
          <w:rFonts w:ascii="Arial" w:cs="Arial" w:eastAsia="Arial" w:hAnsi="Arial"/>
          <w:sz w:val="17"/>
          <w:szCs w:val="17"/>
          <w:i w:val="1"/>
          <w:iCs w:val="1"/>
          <w:color w:val="0000E1"/>
        </w:rPr>
        <w:t xml:space="preserve"> </w:t>
      </w:r>
      <w:r>
        <w:rPr>
          <w:rFonts w:ascii="Arial" w:cs="Arial" w:eastAsia="Arial" w:hAnsi="Arial"/>
          <w:sz w:val="17"/>
          <w:szCs w:val="17"/>
          <w:color w:val="000000"/>
        </w:rPr>
        <w:t>(x) telephonic notice or</w:t>
      </w:r>
    </w:p>
    <w:p>
      <w:pPr>
        <w:spacing w:after="0" w:line="34" w:lineRule="exact"/>
        <w:rPr>
          <w:rFonts w:ascii="Arial" w:cs="Arial" w:eastAsia="Arial" w:hAnsi="Arial"/>
          <w:sz w:val="17"/>
          <w:szCs w:val="17"/>
          <w:u w:val="single" w:color="auto"/>
          <w:color w:val="0000E1"/>
        </w:rPr>
      </w:pPr>
    </w:p>
    <w:p>
      <w:pPr>
        <w:ind w:left="4" w:hanging="4"/>
        <w:spacing w:after="0" w:line="266" w:lineRule="auto"/>
        <w:tabs>
          <w:tab w:leader="none" w:pos="259"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Committed Loan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telephonic notice must be confirmed immediately by delivery to the Administrative Agent of a Committed Loan Notice) to the Administrative Agent by no later than 12:00 noon (New York time): (i) at least three (3) Business Days before the date (or, one </w:t>
      </w:r>
      <w:r>
        <w:rPr>
          <w:rFonts w:ascii="Arial" w:cs="Arial" w:eastAsia="Arial" w:hAnsi="Arial"/>
          <w:sz w:val="17"/>
          <w:szCs w:val="17"/>
          <w:u w:val="single" w:color="auto"/>
          <w:color w:val="0000E1"/>
        </w:rPr>
        <w:t>(1)</w:t>
      </w:r>
      <w:r>
        <w:rPr>
          <w:rFonts w:ascii="Arial" w:cs="Arial" w:eastAsia="Arial" w:hAnsi="Arial"/>
          <w:sz w:val="17"/>
          <w:szCs w:val="17"/>
          <w:color w:val="auto"/>
        </w:rPr>
        <w:t xml:space="preserve"> Business Day in the case of any Borrowing of Eurodollar Loans to be made on the Closing Date) on which the Borrower requests the Lenders to advance a Borrowing of Eurodollar Loans and (ii) at least one (1) Business Day before the date the Borrower requests the Lenders to advance a Borrowing of Base Rate Loans. The Loans included in each Borrowing shall bear interest initially at the type of rate specified in such Committed Loan Notice of a new Borrowing. Thereafter, subject to the terms and conditions hereof, the Borrower may from time to time elect to change or continue the type of interest rate borne by each Borrowing or, subject to the minimum amount requirement for each outstanding Borrowing set forth in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w:t>
      </w:r>
      <w:r>
        <w:rPr>
          <w:rFonts w:ascii="Arial" w:cs="Arial" w:eastAsia="Arial" w:hAnsi="Arial"/>
          <w:sz w:val="17"/>
          <w:szCs w:val="17"/>
          <w:color w:val="FF0000"/>
          <w:strike w:val="1"/>
        </w:rPr>
        <w:t>hereof</w:t>
      </w:r>
      <w:r>
        <w:rPr>
          <w:rFonts w:ascii="Arial" w:cs="Arial" w:eastAsia="Arial" w:hAnsi="Arial"/>
          <w:sz w:val="17"/>
          <w:szCs w:val="17"/>
          <w:color w:val="auto"/>
        </w:rPr>
        <w:t xml:space="preserve">, a portion thereof, as follows: (i) if such Borrowing is of Eurodollar Loans, on the last day of the Interest Period applicable thereto, the Borrower may continue part or all of such Borrowing as Eurodollar Loans or convert part or all of such Borrowing into Base Rate Loans or (ii) if such Borrowing is of Base Rate Loans, on any Business Day, the Borrower may convert all or part of such Borrowing into Eurodollar Loans for an Interest Period or Interest Periods specified by the Borrower. The Borrower shall give all such Committed Loan Notices requesting the advance, continuation or conversion of </w:t>
      </w:r>
      <w:r>
        <w:rPr>
          <w:rFonts w:ascii="Arial" w:cs="Arial" w:eastAsia="Arial" w:hAnsi="Arial"/>
          <w:sz w:val="17"/>
          <w:szCs w:val="17"/>
          <w:u w:val="single" w:color="auto"/>
          <w:color w:val="0000E1"/>
        </w:rPr>
        <w:t>or into</w:t>
      </w:r>
      <w:r>
        <w:rPr>
          <w:rFonts w:ascii="Arial" w:cs="Arial" w:eastAsia="Arial" w:hAnsi="Arial"/>
          <w:sz w:val="17"/>
          <w:szCs w:val="17"/>
          <w:color w:val="auto"/>
        </w:rPr>
        <w:t xml:space="preserve"> a Borrowing to the Administrative Agent by facsimile (or other electronic transmission, if arrangements for doing so have been approved in writing by the Administrative Agent) substantially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(Notice of Borrowing) or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(Notice of Continuation/Conversion), as applicable, or in such other form reasonably acceptable to the Administrative Agent. Notice of the continuation of a Borrowing of Eurodollar Loans for an additional Interest Period or of the conversion of part or all of a Borrowing of Base Rate Loans into Eurodollar Loans must be given by no later than 12:00 noon (New York time) at least three (3) Business Days before the date of the requested continuation or conversion. All such Committed Loan Notices concerning the advance, continuation or conversion of a Borrowing shall specify the date of the requested advance, continuation or conversion of a Borrowing (which shall be a Business Day), the amount of the requested Borrowing to be advanced, continued or converted, the type of Loans to comprise such new, continued or converted Borrowing and, if such Borrowing is to be comprised of Eurodollar Loans, the Interest Period applicable thereto. If the Borrower requests a Borrowing of, conversion to, or continuation of Eurodollar Loans in any such notice, but fails to specify an Interest Period, it will be deemed to have specified an Interest Period of one month. The Borrower agrees that the Administrative Agent may rely on any such telecopy notice given by any person the Administrative Agent in good faith believes is an Authorized Representative without the necessity of independent investigation. Except as otherwise provided herein, a Eurodollar Loan may be continued or converted only on the last day of an Interest Period for such Eurodollar Loan. During the existence of a Default, no Loan may be requested as, converted to or continued as Eurodollar Loans without the consent of the Required Lenders. After giving effect to all Borrowings, all conversions of Loans from one Type to another and all continuations of Loans as the same Type, there shall not be more than ten Interest Periods in effect with respect to Loans.</w:t>
      </w:r>
    </w:p>
    <w:p>
      <w:pPr>
        <w:spacing w:after="0" w:line="184" w:lineRule="exact"/>
        <w:rPr>
          <w:rFonts w:ascii="Arial" w:cs="Arial" w:eastAsia="Arial" w:hAnsi="Arial"/>
          <w:sz w:val="17"/>
          <w:szCs w:val="17"/>
          <w:color w:val="auto"/>
        </w:rPr>
      </w:pPr>
    </w:p>
    <w:p>
      <w:pPr>
        <w:ind w:left="4" w:firstLine="987"/>
        <w:spacing w:after="0" w:line="275" w:lineRule="auto"/>
        <w:tabs>
          <w:tab w:leader="none" w:pos="1385" w:val="left"/>
        </w:tabs>
        <w:numPr>
          <w:ilvl w:val="1"/>
          <w:numId w:val="62"/>
        </w:numPr>
        <w:rPr>
          <w:rFonts w:ascii="Arial" w:cs="Arial" w:eastAsia="Arial" w:hAnsi="Arial"/>
          <w:sz w:val="17"/>
          <w:szCs w:val="17"/>
          <w:color w:val="auto"/>
        </w:rPr>
      </w:pPr>
      <w:r>
        <w:rPr>
          <w:rFonts w:ascii="Arial" w:cs="Arial" w:eastAsia="Arial" w:hAnsi="Arial"/>
          <w:sz w:val="17"/>
          <w:szCs w:val="17"/>
          <w:i w:val="1"/>
          <w:iCs w:val="1"/>
          <w:color w:val="auto"/>
        </w:rPr>
        <w:t>Notice to the Lenders</w:t>
      </w:r>
      <w:r>
        <w:rPr>
          <w:rFonts w:ascii="Arial" w:cs="Arial" w:eastAsia="Arial" w:hAnsi="Arial"/>
          <w:sz w:val="17"/>
          <w:szCs w:val="17"/>
          <w:color w:val="auto"/>
        </w:rPr>
        <w:t>. The Administrative Agent shall give prompt notice to each applicable Lender of any notice from the Borrower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received pursuant to </w:t>
      </w:r>
      <w:r>
        <w:rPr>
          <w:rFonts w:ascii="Arial" w:cs="Arial" w:eastAsia="Arial" w:hAnsi="Arial"/>
          <w:sz w:val="17"/>
          <w:szCs w:val="17"/>
          <w:color w:val="FF0000"/>
          <w:strike w:val="1"/>
        </w:rPr>
        <w:t>Section 1.6</w:t>
      </w:r>
      <w:r>
        <w:rPr>
          <w:rFonts w:ascii="Arial" w:cs="Arial" w:eastAsia="Arial" w:hAnsi="Arial"/>
          <w:sz w:val="17"/>
          <w:szCs w:val="17"/>
          <w:color w:val="auto"/>
        </w:rPr>
        <w:t xml:space="preserve"> </w:t>
      </w:r>
      <w:r>
        <w:rPr>
          <w:rFonts w:ascii="Arial" w:cs="Arial" w:eastAsia="Arial" w:hAnsi="Arial"/>
          <w:sz w:val="17"/>
          <w:szCs w:val="17"/>
          <w:u w:val="single" w:color="auto"/>
          <w:color w:val="0000E1"/>
        </w:rPr>
        <w:t>clause</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above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17"/>
          <w:szCs w:val="17"/>
          <w:u w:val="single" w:color="auto"/>
          <w:color w:val="auto"/>
        </w:rPr>
        <w:t>clause (</w:t>
      </w:r>
      <w:r>
        <w:rPr>
          <w:rFonts w:ascii="Arial" w:cs="Arial" w:eastAsia="Arial" w:hAnsi="Arial"/>
          <w:sz w:val="17"/>
          <w:szCs w:val="17"/>
          <w:u w:val="single" w:color="auto"/>
          <w:color w:val="FF0000"/>
          <w:strike w:val="1"/>
        </w:rPr>
        <w:t>d</w:t>
      </w:r>
      <w:r>
        <w:rPr>
          <w:rFonts w:ascii="Arial" w:cs="Arial" w:eastAsia="Arial" w:hAnsi="Arial"/>
          <w:sz w:val="17"/>
          <w:szCs w:val="17"/>
          <w:u w:val="single" w:color="auto"/>
          <w:color w:val="0000E1"/>
        </w:rPr>
        <w:t>c</w:t>
      </w:r>
      <w:r>
        <w:rPr>
          <w:rFonts w:ascii="Arial" w:cs="Arial" w:eastAsia="Arial" w:hAnsi="Arial"/>
          <w:sz w:val="17"/>
          <w:szCs w:val="17"/>
          <w:u w:val="single" w:color="auto"/>
          <w:color w:val="auto"/>
        </w:rPr>
        <w:t>)</w:t>
      </w:r>
      <w:r>
        <w:rPr>
          <w:rFonts w:ascii="Arial" w:cs="Arial" w:eastAsia="Arial" w:hAnsi="Arial"/>
          <w:sz w:val="17"/>
          <w:szCs w:val="17"/>
          <w:color w:val="auto"/>
        </w:rPr>
        <w:t xml:space="preserve"> below. If a Committed Loan Notice requests the Lenders to make Eurodollar Loans, the Administrative Agent shall give notice to the Borrower and each applicable Lender by like means of the interest rate applicable thereto promptly after the Administrative Agent has made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-4533265</wp:posOffset>
            </wp:positionV>
            <wp:extent cx="14401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4018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-4533265</wp:posOffset>
            </wp:positionV>
            <wp:extent cx="9601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-4121785</wp:posOffset>
            </wp:positionV>
            <wp:extent cx="137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-3924935</wp:posOffset>
            </wp:positionV>
            <wp:extent cx="285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1541780</wp:posOffset>
            </wp:positionH>
            <wp:positionV relativeFrom="paragraph">
              <wp:posOffset>-3787775</wp:posOffset>
            </wp:positionV>
            <wp:extent cx="285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2236470</wp:posOffset>
            </wp:positionH>
            <wp:positionV relativeFrom="paragraph">
              <wp:posOffset>-3513455</wp:posOffset>
            </wp:positionV>
            <wp:extent cx="285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-3101975</wp:posOffset>
            </wp:positionV>
            <wp:extent cx="285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-2887345</wp:posOffset>
            </wp:positionV>
            <wp:extent cx="2997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99720" cy="8255"/>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-2690495</wp:posOffset>
            </wp:positionV>
            <wp:extent cx="285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1253490</wp:posOffset>
            </wp:positionH>
            <wp:positionV relativeFrom="paragraph">
              <wp:posOffset>-2279015</wp:posOffset>
            </wp:positionV>
            <wp:extent cx="285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-1867535</wp:posOffset>
            </wp:positionV>
            <wp:extent cx="285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-1456055</wp:posOffset>
            </wp:positionV>
            <wp:extent cx="285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3540760</wp:posOffset>
            </wp:positionH>
            <wp:positionV relativeFrom="paragraph">
              <wp:posOffset>-1318895</wp:posOffset>
            </wp:positionV>
            <wp:extent cx="285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4206875</wp:posOffset>
            </wp:positionH>
            <wp:positionV relativeFrom="paragraph">
              <wp:posOffset>-1181735</wp:posOffset>
            </wp:positionV>
            <wp:extent cx="285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1885950</wp:posOffset>
            </wp:positionH>
            <wp:positionV relativeFrom="paragraph">
              <wp:posOffset>-633095</wp:posOffset>
            </wp:positionV>
            <wp:extent cx="285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1499870</wp:posOffset>
            </wp:positionH>
            <wp:positionV relativeFrom="paragraph">
              <wp:posOffset>-418465</wp:posOffset>
            </wp:positionV>
            <wp:extent cx="30861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6009005</wp:posOffset>
            </wp:positionH>
            <wp:positionV relativeFrom="paragraph">
              <wp:posOffset>-281305</wp:posOffset>
            </wp:positionV>
            <wp:extent cx="514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8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71" w:name="page72"/>
    <w:bookmarkEnd w:id="71"/>
    <w:p>
      <w:pPr>
        <w:ind w:left="4" w:firstLine="987"/>
        <w:spacing w:after="0" w:line="288" w:lineRule="auto"/>
        <w:tabs>
          <w:tab w:leader="none" w:pos="1375"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Borrower’s Failure to Notify; Automatic Continuations and Conversions</w:t>
      </w:r>
      <w:r>
        <w:rPr>
          <w:rFonts w:ascii="Arial" w:cs="Arial" w:eastAsia="Arial" w:hAnsi="Arial"/>
          <w:sz w:val="16"/>
          <w:szCs w:val="16"/>
          <w:color w:val="auto"/>
        </w:rPr>
        <w:t>. Any outstanding Borrowing of Base Rate Loans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automatically be continued for an additional Interest Period on the last day of its then current Interest Period unless the Borrower has notified the Administrative Agent within the period required by </w:t>
      </w:r>
      <w:r>
        <w:rPr>
          <w:rFonts w:ascii="Arial" w:cs="Arial" w:eastAsia="Arial" w:hAnsi="Arial"/>
          <w:sz w:val="16"/>
          <w:szCs w:val="16"/>
          <w:u w:val="single" w:color="auto"/>
          <w:color w:val="auto"/>
        </w:rPr>
        <w:t>Section 1.6(a)</w:t>
      </w:r>
      <w:r>
        <w:rPr>
          <w:rFonts w:ascii="Arial" w:cs="Arial" w:eastAsia="Arial" w:hAnsi="Arial"/>
          <w:sz w:val="16"/>
          <w:szCs w:val="16"/>
          <w:color w:val="auto"/>
        </w:rPr>
        <w:t xml:space="preserve"> that the Borrower intends to convert such Borrowing into a Borrowing of Eurodollar Loans or such Borrowing is prepaid in accordance with </w:t>
      </w:r>
      <w:r>
        <w:rPr>
          <w:rFonts w:ascii="Arial" w:cs="Arial" w:eastAsia="Arial" w:hAnsi="Arial"/>
          <w:sz w:val="16"/>
          <w:szCs w:val="16"/>
          <w:u w:val="single" w:color="auto"/>
          <w:color w:val="auto"/>
        </w:rPr>
        <w:t>Section 1.9(a)</w:t>
      </w:r>
      <w:r>
        <w:rPr>
          <w:rFonts w:ascii="Arial" w:cs="Arial" w:eastAsia="Arial" w:hAnsi="Arial"/>
          <w:sz w:val="16"/>
          <w:szCs w:val="16"/>
          <w:color w:val="auto"/>
        </w:rPr>
        <w:t xml:space="preserve">. If the Borrower fails to give notice pursuant to </w:t>
      </w:r>
      <w:r>
        <w:rPr>
          <w:rFonts w:ascii="Arial" w:cs="Arial" w:eastAsia="Arial" w:hAnsi="Arial"/>
          <w:sz w:val="16"/>
          <w:szCs w:val="16"/>
          <w:u w:val="single" w:color="auto"/>
          <w:color w:val="auto"/>
        </w:rPr>
        <w:t>Section 1.6(a)</w:t>
      </w:r>
      <w:r>
        <w:rPr>
          <w:rFonts w:ascii="Arial" w:cs="Arial" w:eastAsia="Arial" w:hAnsi="Arial"/>
          <w:sz w:val="16"/>
          <w:szCs w:val="16"/>
          <w:color w:val="auto"/>
        </w:rPr>
        <w:t xml:space="preserve"> </w:t>
      </w:r>
      <w:r>
        <w:rPr>
          <w:rFonts w:ascii="Arial" w:cs="Arial" w:eastAsia="Arial" w:hAnsi="Arial"/>
          <w:sz w:val="16"/>
          <w:szCs w:val="16"/>
          <w:color w:val="FF0000"/>
          <w:strike w:val="1"/>
        </w:rPr>
        <w:t>above</w:t>
      </w:r>
      <w:r>
        <w:rPr>
          <w:rFonts w:ascii="Arial" w:cs="Arial" w:eastAsia="Arial" w:hAnsi="Arial"/>
          <w:sz w:val="16"/>
          <w:szCs w:val="16"/>
          <w:color w:val="auto"/>
        </w:rPr>
        <w:t xml:space="preserve"> of the continuation or conversion of any outstanding principal amount of a Borrowing of Eurodollar Loans before the last day of its then current Interest Period within the period required by </w:t>
      </w:r>
      <w:r>
        <w:rPr>
          <w:rFonts w:ascii="Arial" w:cs="Arial" w:eastAsia="Arial" w:hAnsi="Arial"/>
          <w:sz w:val="16"/>
          <w:szCs w:val="16"/>
          <w:u w:val="single" w:color="auto"/>
          <w:color w:val="auto"/>
        </w:rPr>
        <w:t>Section 1.6(a)</w:t>
      </w:r>
      <w:r>
        <w:rPr>
          <w:rFonts w:ascii="Arial" w:cs="Arial" w:eastAsia="Arial" w:hAnsi="Arial"/>
          <w:sz w:val="16"/>
          <w:szCs w:val="16"/>
          <w:color w:val="auto"/>
        </w:rPr>
        <w:t xml:space="preserve"> and such Borrowing is not prepaid in accordance with </w:t>
      </w:r>
      <w:r>
        <w:rPr>
          <w:rFonts w:ascii="Arial" w:cs="Arial" w:eastAsia="Arial" w:hAnsi="Arial"/>
          <w:sz w:val="16"/>
          <w:szCs w:val="16"/>
          <w:u w:val="single" w:color="auto"/>
          <w:color w:val="auto"/>
        </w:rPr>
        <w:t>Section 1.9(a)</w:t>
      </w:r>
      <w:r>
        <w:rPr>
          <w:rFonts w:ascii="Arial" w:cs="Arial" w:eastAsia="Arial" w:hAnsi="Arial"/>
          <w:sz w:val="16"/>
          <w:szCs w:val="16"/>
          <w:color w:val="auto"/>
        </w:rPr>
        <w:t>, such Borrowing shall automatically be converted into a Borrowing of Base Rate Loans effective as of the last day of the Interest Period then in effect with respect to the applicable Eurodollar Loans. Upon delivery of written notice by the Required Lenders, no advance, continuation or conversion of a Borrowing of Eurodollar Loans shall be made if an Event of Default has occurred and is continuing. If the Borrower requests a Borrowing of, conversion to, or continuation of Eurodollar Loans in any Committed Loan Notice, but fails to specify an Interest Period, it will be deemed to have specified an Interest Period of one month.</w:t>
      </w:r>
    </w:p>
    <w:p>
      <w:pPr>
        <w:spacing w:after="0" w:line="168" w:lineRule="exact"/>
        <w:rPr>
          <w:rFonts w:ascii="Arial" w:cs="Arial" w:eastAsia="Arial" w:hAnsi="Arial"/>
          <w:sz w:val="16"/>
          <w:szCs w:val="16"/>
          <w:color w:val="auto"/>
        </w:rPr>
      </w:pPr>
    </w:p>
    <w:p>
      <w:pPr>
        <w:ind w:left="4" w:right="40" w:firstLine="987"/>
        <w:spacing w:after="0" w:line="288" w:lineRule="auto"/>
        <w:tabs>
          <w:tab w:leader="none" w:pos="1385"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Disbursement of Loans</w:t>
      </w:r>
      <w:r>
        <w:rPr>
          <w:rFonts w:ascii="Arial" w:cs="Arial" w:eastAsia="Arial" w:hAnsi="Arial"/>
          <w:sz w:val="16"/>
          <w:szCs w:val="16"/>
          <w:color w:val="auto"/>
        </w:rPr>
        <w:t>. Not later than 1:00 p.m. (New York time) on the date of any requested advance of a new Borrowing,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7.2</w:t>
      </w:r>
      <w:r>
        <w:rPr>
          <w:rFonts w:ascii="Arial" w:cs="Arial" w:eastAsia="Arial" w:hAnsi="Arial"/>
          <w:sz w:val="16"/>
          <w:szCs w:val="16"/>
          <w:color w:val="auto"/>
        </w:rPr>
        <w:t xml:space="preserve"> hereof, as applicable, each Lender shall make available its Loan comprising part of such Borrowing in funds immediately available at the principal office of the Administrative Agent in New York, New York. The Administrative Agent shall make the proceeds of each new Borrowing available to the Borrower at the Administrative Agent’s principal office in New York, New York by depositing such proceeds to the credit of the Borrower’s operating account as notified in the applicable Notice of Borrowing or as the Borrower and the Administrative Agent may otherwise agree;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on the date any Notice of Borrowing with respect to a Borrowing is given by the Borrower, there are outstanding Reimbursement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Obligations (and, in lieu thereof, in substitution of, or in addition to, amounts funded by Participating Lenders under </w:t>
      </w:r>
      <w:r>
        <w:rPr>
          <w:rFonts w:ascii="Arial" w:cs="Arial" w:eastAsia="Arial" w:hAnsi="Arial"/>
          <w:sz w:val="16"/>
          <w:szCs w:val="16"/>
          <w:u w:val="single" w:color="auto"/>
          <w:color w:val="auto"/>
        </w:rPr>
        <w:t>Section 1.3(d)</w:t>
      </w:r>
      <w:r>
        <w:rPr>
          <w:rFonts w:ascii="Arial" w:cs="Arial" w:eastAsia="Arial" w:hAnsi="Arial"/>
          <w:sz w:val="16"/>
          <w:szCs w:val="16"/>
          <w:color w:val="auto"/>
        </w:rPr>
        <w:t xml:space="preserve"> to pay the Administrative Agent for the account of the applicable L/C Issuer unpaid or recaptured Reimbursement Obligations (the “</w:t>
      </w:r>
      <w:r>
        <w:rPr>
          <w:rFonts w:ascii="Arial" w:cs="Arial" w:eastAsia="Arial" w:hAnsi="Arial"/>
          <w:sz w:val="16"/>
          <w:szCs w:val="16"/>
          <w:i w:val="1"/>
          <w:iCs w:val="1"/>
          <w:color w:val="auto"/>
        </w:rPr>
        <w:t>Participating 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w:t>
      </w:r>
      <w:r>
        <w:rPr>
          <w:rFonts w:ascii="Arial" w:cs="Arial" w:eastAsia="Arial" w:hAnsi="Arial"/>
          <w:sz w:val="16"/>
          <w:szCs w:val="16"/>
          <w:color w:val="auto"/>
        </w:rPr>
        <w:t>”)), then the proceeds of such Borrowing,</w:t>
      </w:r>
      <w:r>
        <w:rPr>
          <w:rFonts w:ascii="Arial" w:cs="Arial" w:eastAsia="Arial" w:hAnsi="Arial"/>
          <w:sz w:val="16"/>
          <w:szCs w:val="16"/>
          <w:i w:val="1"/>
          <w:iCs w:val="1"/>
          <w:color w:val="auto"/>
        </w:rPr>
        <w:t xml:space="preserve"> first</w:t>
      </w:r>
      <w:r>
        <w:rPr>
          <w:rFonts w:ascii="Arial" w:cs="Arial" w:eastAsia="Arial" w:hAnsi="Arial"/>
          <w:sz w:val="16"/>
          <w:szCs w:val="16"/>
          <w:color w:val="auto"/>
        </w:rPr>
        <w:t>, shall be applied to the payment in full of any such Participating Interest Obligations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once repaid in full, Reimbursement Obligations, and </w:t>
      </w:r>
      <w:r>
        <w:rPr>
          <w:rFonts w:ascii="Arial" w:cs="Arial" w:eastAsia="Arial" w:hAnsi="Arial"/>
          <w:sz w:val="16"/>
          <w:szCs w:val="16"/>
          <w:i w:val="1"/>
          <w:iCs w:val="1"/>
          <w:color w:val="auto"/>
        </w:rPr>
        <w:t>second</w:t>
      </w:r>
      <w:r>
        <w:rPr>
          <w:rFonts w:ascii="Arial" w:cs="Arial" w:eastAsia="Arial" w:hAnsi="Arial"/>
          <w:sz w:val="16"/>
          <w:szCs w:val="16"/>
          <w:color w:val="auto"/>
        </w:rPr>
        <w:t>, shall be made available to the Borrower as provided above.</w:t>
      </w:r>
    </w:p>
    <w:p>
      <w:pPr>
        <w:spacing w:after="0" w:line="168" w:lineRule="exact"/>
        <w:rPr>
          <w:rFonts w:ascii="Arial" w:cs="Arial" w:eastAsia="Arial" w:hAnsi="Arial"/>
          <w:sz w:val="16"/>
          <w:szCs w:val="16"/>
          <w:color w:val="auto"/>
        </w:rPr>
      </w:pPr>
    </w:p>
    <w:p>
      <w:pPr>
        <w:ind w:left="4" w:right="60" w:firstLine="987"/>
        <w:spacing w:after="0" w:line="285" w:lineRule="auto"/>
        <w:tabs>
          <w:tab w:leader="none" w:pos="1375"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Administrative Agent Reliance on Lender Funding. </w:t>
      </w:r>
      <w:r>
        <w:rPr>
          <w:rFonts w:ascii="Arial" w:cs="Arial" w:eastAsia="Arial" w:hAnsi="Arial"/>
          <w:sz w:val="16"/>
          <w:szCs w:val="16"/>
          <w:color w:val="auto"/>
        </w:rPr>
        <w:t>Unless the Administrative Agent shall have received notice from a Lender prior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proposed date of any Borrowing of Eurodollar Loans (or, in the case of any Borrowing of Base Rate Loans, prior to 12:00 noon (New York time) on the date of such Borrowing) that such Lender will not make available to the Administrative Agent such Lender’s share of such Borrowing, the Administrative Agent may assume that such Lender has made such share available on such date in accordance </w:t>
      </w:r>
      <w:r>
        <w:rPr>
          <w:rFonts w:ascii="Arial" w:cs="Arial" w:eastAsia="Arial" w:hAnsi="Arial"/>
          <w:sz w:val="16"/>
          <w:szCs w:val="16"/>
          <w:color w:val="FF0000"/>
          <w:strike w:val="1"/>
        </w:rPr>
        <w:t>with Section 1</w:t>
      </w:r>
      <w:r>
        <w:rPr>
          <w:rFonts w:ascii="Arial" w:cs="Arial" w:eastAsia="Arial" w:hAnsi="Arial"/>
          <w:sz w:val="16"/>
          <w:szCs w:val="16"/>
          <w:u w:val="single" w:color="auto"/>
          <w:color w:val="0000E1"/>
        </w:rPr>
        <w:t>herewith</w:t>
      </w:r>
      <w:r>
        <w:rPr>
          <w:rFonts w:ascii="Arial" w:cs="Arial" w:eastAsia="Arial" w:hAnsi="Arial"/>
          <w:sz w:val="16"/>
          <w:szCs w:val="16"/>
          <w:color w:val="auto"/>
        </w:rPr>
        <w:t xml:space="preserve"> (or, in the case of a Borrowing of Base Rate Loans, that such Lender has made such share available in accordance </w:t>
      </w:r>
      <w:r>
        <w:rPr>
          <w:rFonts w:ascii="Arial" w:cs="Arial" w:eastAsia="Arial" w:hAnsi="Arial"/>
          <w:sz w:val="16"/>
          <w:szCs w:val="16"/>
          <w:color w:val="FF0000"/>
          <w:strike w:val="1"/>
        </w:rPr>
        <w:t>with</w:t>
      </w:r>
      <w:r>
        <w:rPr>
          <w:rFonts w:ascii="Arial" w:cs="Arial" w:eastAsia="Arial" w:hAnsi="Arial"/>
          <w:sz w:val="16"/>
          <w:szCs w:val="16"/>
          <w:u w:val="single" w:color="auto"/>
          <w:color w:val="0000E1"/>
        </w:rPr>
        <w:t>herewith</w:t>
      </w:r>
      <w:r>
        <w:rPr>
          <w:rFonts w:ascii="Arial" w:cs="Arial" w:eastAsia="Arial" w:hAnsi="Arial"/>
          <w:sz w:val="16"/>
          <w:szCs w:val="16"/>
          <w:color w:val="auto"/>
        </w:rPr>
        <w:t xml:space="preserve"> and at the time required </w:t>
      </w:r>
      <w:r>
        <w:rPr>
          <w:rFonts w:ascii="Arial" w:cs="Arial" w:eastAsia="Arial" w:hAnsi="Arial"/>
          <w:sz w:val="16"/>
          <w:szCs w:val="16"/>
          <w:color w:val="FF0000"/>
          <w:strike w:val="1"/>
        </w:rPr>
        <w:t>by</w:t>
      </w:r>
    </w:p>
    <w:p>
      <w:pPr>
        <w:spacing w:after="0" w:line="1" w:lineRule="exact"/>
        <w:rPr>
          <w:rFonts w:ascii="Arial" w:cs="Arial" w:eastAsia="Arial" w:hAnsi="Arial"/>
          <w:sz w:val="16"/>
          <w:szCs w:val="16"/>
          <w:color w:val="auto"/>
        </w:rPr>
      </w:pPr>
    </w:p>
    <w:p>
      <w:pPr>
        <w:ind w:left="4" w:right="20"/>
        <w:spacing w:after="0" w:line="281" w:lineRule="auto"/>
        <w:rPr>
          <w:rFonts w:ascii="Arial" w:cs="Arial" w:eastAsia="Arial" w:hAnsi="Arial"/>
          <w:sz w:val="16"/>
          <w:szCs w:val="16"/>
          <w:color w:val="auto"/>
        </w:rPr>
      </w:pPr>
      <w:r>
        <w:rPr>
          <w:rFonts w:ascii="Arial" w:cs="Arial" w:eastAsia="Arial" w:hAnsi="Arial"/>
          <w:sz w:val="16"/>
          <w:szCs w:val="16"/>
          <w:color w:val="FF0000"/>
          <w:strike w:val="1"/>
        </w:rPr>
        <w:t>Section 1</w:t>
      </w:r>
      <w:r>
        <w:rPr>
          <w:rFonts w:ascii="Arial" w:cs="Arial" w:eastAsia="Arial" w:hAnsi="Arial"/>
          <w:sz w:val="16"/>
          <w:szCs w:val="16"/>
          <w:u w:val="single" w:color="auto"/>
          <w:color w:val="0000E1"/>
        </w:rPr>
        <w:t>hereunder</w:t>
      </w:r>
      <w:r>
        <w:rPr>
          <w:rFonts w:ascii="Arial" w:cs="Arial" w:eastAsia="Arial" w:hAnsi="Arial"/>
          <w:sz w:val="16"/>
          <w:szCs w:val="16"/>
          <w:color w:val="000000"/>
        </w:rPr>
        <w:t>) and may, in reliance upon such assumption, make available to the Borrower a corresponding amount. In such event, if a Lender has</w:t>
      </w:r>
      <w:r>
        <w:rPr>
          <w:rFonts w:ascii="Arial" w:cs="Arial" w:eastAsia="Arial" w:hAnsi="Arial"/>
          <w:sz w:val="16"/>
          <w:szCs w:val="16"/>
          <w:color w:val="FF0000"/>
        </w:rPr>
        <w:t xml:space="preserve"> </w:t>
      </w:r>
      <w:r>
        <w:rPr>
          <w:rFonts w:ascii="Arial" w:cs="Arial" w:eastAsia="Arial" w:hAnsi="Arial"/>
          <w:sz w:val="16"/>
          <w:szCs w:val="16"/>
          <w:color w:val="000000"/>
        </w:rPr>
        <w:t>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w:t>
      </w:r>
    </w:p>
    <w:p>
      <w:pPr>
        <w:spacing w:after="0" w:line="2" w:lineRule="exact"/>
        <w:rPr>
          <w:rFonts w:ascii="Arial" w:cs="Arial" w:eastAsia="Arial" w:hAnsi="Arial"/>
          <w:sz w:val="16"/>
          <w:szCs w:val="16"/>
          <w:color w:val="auto"/>
        </w:rPr>
      </w:pPr>
    </w:p>
    <w:p>
      <w:pPr>
        <w:ind w:left="4" w:right="80" w:hanging="4"/>
        <w:spacing w:after="0" w:line="292" w:lineRule="auto"/>
        <w:tabs>
          <w:tab w:leader="none" w:pos="299"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in the case of a payment to be made by such Lender, the greater of the Federal Funds </w:t>
      </w:r>
      <w:r>
        <w:rPr>
          <w:rFonts w:ascii="Arial" w:cs="Arial" w:eastAsia="Arial" w:hAnsi="Arial"/>
          <w:sz w:val="16"/>
          <w:szCs w:val="16"/>
          <w:u w:val="single" w:color="auto"/>
          <w:color w:val="0000E1"/>
        </w:rPr>
        <w:t>Effective</w:t>
      </w:r>
      <w:r>
        <w:rPr>
          <w:rFonts w:ascii="Arial" w:cs="Arial" w:eastAsia="Arial" w:hAnsi="Arial"/>
          <w:sz w:val="16"/>
          <w:szCs w:val="16"/>
          <w:color w:val="auto"/>
        </w:rPr>
        <w:t xml:space="preserve">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-4893310</wp:posOffset>
            </wp:positionV>
            <wp:extent cx="2857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-3933190</wp:posOffset>
            </wp:positionV>
            <wp:extent cx="285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-3384550</wp:posOffset>
            </wp:positionV>
            <wp:extent cx="285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3454400</wp:posOffset>
            </wp:positionH>
            <wp:positionV relativeFrom="paragraph">
              <wp:posOffset>-3110230</wp:posOffset>
            </wp:positionV>
            <wp:extent cx="2857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3206115</wp:posOffset>
            </wp:positionH>
            <wp:positionV relativeFrom="paragraph">
              <wp:posOffset>-1875790</wp:posOffset>
            </wp:positionV>
            <wp:extent cx="285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-1387475</wp:posOffset>
            </wp:positionV>
            <wp:extent cx="4032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03225" cy="8255"/>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-1250315</wp:posOffset>
            </wp:positionV>
            <wp:extent cx="3943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-1113155</wp:posOffset>
            </wp:positionV>
            <wp:extent cx="4540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5573395</wp:posOffset>
            </wp:positionH>
            <wp:positionV relativeFrom="paragraph">
              <wp:posOffset>-1189990</wp:posOffset>
            </wp:positionV>
            <wp:extent cx="2857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-564515</wp:posOffset>
            </wp:positionV>
            <wp:extent cx="4114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-229870</wp:posOffset>
            </wp:positionV>
            <wp:extent cx="2857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5723890</wp:posOffset>
            </wp:positionH>
            <wp:positionV relativeFrom="paragraph">
              <wp:posOffset>-92710</wp:posOffset>
            </wp:positionV>
            <wp:extent cx="285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72" w:name="page73"/>
    <w:bookmarkEnd w:id="72"/>
    <w:p>
      <w:pPr>
        <w:jc w:val="both"/>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-216535</wp:posOffset>
            </wp:positionV>
            <wp:extent cx="285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4" w:lineRule="exact"/>
        <w:rPr>
          <w:sz w:val="20"/>
          <w:szCs w:val="20"/>
          <w:color w:val="auto"/>
        </w:rPr>
      </w:pPr>
    </w:p>
    <w:p>
      <w:pPr>
        <w:ind w:right="80" w:firstLine="987"/>
        <w:spacing w:after="0" w:line="286" w:lineRule="auto"/>
        <w:tabs>
          <w:tab w:leader="none" w:pos="1396"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Exchange/Rollover</w:t>
      </w:r>
      <w:r>
        <w:rPr>
          <w:rFonts w:ascii="Arial" w:cs="Arial" w:eastAsia="Arial" w:hAnsi="Arial"/>
          <w:sz w:val="17"/>
          <w:szCs w:val="17"/>
          <w:color w:val="auto"/>
        </w:rPr>
        <w:t>. Notwithstanding anything to the contrary in this Agreement, any Lender may exchange, continue or rollover all</w:t>
      </w:r>
      <w:r>
        <w:rPr>
          <w:rFonts w:ascii="Arial" w:cs="Arial" w:eastAsia="Arial" w:hAnsi="Arial"/>
          <w:sz w:val="17"/>
          <w:szCs w:val="17"/>
          <w:i w:val="1"/>
          <w:iCs w:val="1"/>
          <w:color w:val="auto"/>
        </w:rPr>
        <w:t xml:space="preserve"> </w:t>
      </w:r>
      <w:r>
        <w:rPr>
          <w:rFonts w:ascii="Arial" w:cs="Arial" w:eastAsia="Arial" w:hAnsi="Arial"/>
          <w:sz w:val="17"/>
          <w:szCs w:val="17"/>
          <w:color w:val="auto"/>
        </w:rPr>
        <w:t>or a portion of its Loans in connection with any refinancing, extension, loan modification or similar transaction permitted by the terms of this Agreement, pursuant to a cashless settlement mechanism approved by the Borrower, the Administrative Agent or such Lender.</w:t>
      </w:r>
    </w:p>
    <w:p>
      <w:pPr>
        <w:spacing w:after="0" w:line="165" w:lineRule="exact"/>
        <w:rPr>
          <w:rFonts w:ascii="Arial" w:cs="Arial" w:eastAsia="Arial" w:hAnsi="Arial"/>
          <w:sz w:val="17"/>
          <w:szCs w:val="17"/>
          <w:color w:val="auto"/>
        </w:rPr>
      </w:pPr>
    </w:p>
    <w:p>
      <w:pPr>
        <w:ind w:right="200" w:firstLine="987"/>
        <w:spacing w:after="0" w:line="342" w:lineRule="auto"/>
        <w:tabs>
          <w:tab w:leader="none" w:pos="1426" w:val="left"/>
        </w:tabs>
        <w:numPr>
          <w:ilvl w:val="0"/>
          <w:numId w:val="65"/>
        </w:numPr>
        <w:rPr>
          <w:rFonts w:ascii="Arial" w:cs="Arial" w:eastAsia="Arial" w:hAnsi="Arial"/>
          <w:sz w:val="16"/>
          <w:szCs w:val="16"/>
          <w:u w:val="single" w:color="auto"/>
          <w:color w:val="0000E1"/>
        </w:rPr>
      </w:pPr>
      <w:r>
        <w:rPr>
          <w:rFonts w:ascii="Arial" w:cs="Arial" w:eastAsia="Arial" w:hAnsi="Arial"/>
          <w:sz w:val="16"/>
          <w:szCs w:val="16"/>
          <w:i w:val="1"/>
          <w:iCs w:val="1"/>
          <w:u w:val="single" w:color="auto"/>
          <w:color w:val="0000E1"/>
        </w:rPr>
        <w:t>Funding Source</w:t>
      </w:r>
      <w:r>
        <w:rPr>
          <w:rFonts w:ascii="Arial" w:cs="Arial" w:eastAsia="Arial" w:hAnsi="Arial"/>
          <w:sz w:val="16"/>
          <w:szCs w:val="16"/>
          <w:u w:val="single" w:color="auto"/>
          <w:color w:val="0000E1"/>
        </w:rPr>
        <w:t>. Nothing herein shall be deemed to obligate any Lender to obtain the funds for any Loan in any particular place or</w:t>
      </w:r>
      <w:r>
        <w:rPr>
          <w:rFonts w:ascii="Arial" w:cs="Arial" w:eastAsia="Arial" w:hAnsi="Arial"/>
          <w:sz w:val="16"/>
          <w:szCs w:val="16"/>
          <w:i w:val="1"/>
          <w:iCs w:val="1"/>
          <w:u w:val="single" w:color="auto"/>
          <w:color w:val="0000E1"/>
        </w:rPr>
        <w:t xml:space="preserve"> </w:t>
      </w:r>
      <w:r>
        <w:rPr>
          <w:rFonts w:ascii="Arial" w:cs="Arial" w:eastAsia="Arial" w:hAnsi="Arial"/>
          <w:sz w:val="16"/>
          <w:szCs w:val="16"/>
          <w:u w:val="single" w:color="auto"/>
          <w:color w:val="0000E1"/>
        </w:rPr>
        <w:t>manner or to constitute a representation by any Lender that it has obtained or will obtain the funds for any Loan in any particular place or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-803275</wp:posOffset>
            </wp:positionV>
            <wp:extent cx="285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-177800</wp:posOffset>
            </wp:positionV>
            <wp:extent cx="62490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490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666940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669405" cy="8890"/>
                    </a:xfrm>
                    <a:prstGeom prst="rect">
                      <a:avLst/>
                    </a:prstGeom>
                    <a:noFill/>
                  </pic:spPr>
                </pic:pic>
              </a:graphicData>
            </a:graphic>
          </wp:anchor>
        </w:drawing>
      </w:r>
    </w:p>
    <w:p>
      <w:pPr>
        <w:spacing w:after="0" w:line="104"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i w:val="1"/>
          <w:iCs w:val="1"/>
          <w:color w:val="auto"/>
        </w:rPr>
        <w:t>Interest Periods</w:t>
      </w:r>
      <w:r>
        <w:rPr>
          <w:rFonts w:ascii="Arial" w:cs="Arial" w:eastAsia="Arial" w:hAnsi="Arial"/>
          <w:sz w:val="17"/>
          <w:szCs w:val="17"/>
          <w:color w:val="auto"/>
        </w:rPr>
        <w:t xml:space="preserve">. As provided in </w:t>
      </w:r>
      <w:r>
        <w:rPr>
          <w:rFonts w:ascii="Arial" w:cs="Arial" w:eastAsia="Arial" w:hAnsi="Arial"/>
          <w:sz w:val="17"/>
          <w:szCs w:val="17"/>
          <w:u w:val="single" w:color="auto"/>
          <w:color w:val="auto"/>
        </w:rPr>
        <w:t>Section</w:t>
      </w:r>
      <w:r>
        <w:rPr>
          <w:rFonts w:ascii="Arial" w:cs="Arial" w:eastAsia="Arial" w:hAnsi="Arial"/>
          <w:sz w:val="17"/>
          <w:szCs w:val="17"/>
          <w:u w:val="single" w:color="auto"/>
          <w:color w:val="0000E1"/>
        </w:rPr>
        <w:t>s</w:t>
      </w:r>
      <w:r>
        <w:rPr>
          <w:rFonts w:ascii="Arial" w:cs="Arial" w:eastAsia="Arial" w:hAnsi="Arial"/>
          <w:sz w:val="17"/>
          <w:szCs w:val="17"/>
          <w:color w:val="auto"/>
        </w:rPr>
        <w:t xml:space="preserve"> 1.6(a) and </w:t>
      </w:r>
      <w:r>
        <w:rPr>
          <w:rFonts w:ascii="Arial" w:cs="Arial" w:eastAsia="Arial" w:hAnsi="Arial"/>
          <w:sz w:val="17"/>
          <w:szCs w:val="17"/>
          <w:u w:val="single" w:color="auto"/>
          <w:color w:val="auto"/>
        </w:rPr>
        <w:t>1.15</w:t>
      </w:r>
      <w:r>
        <w:rPr>
          <w:rFonts w:ascii="Arial" w:cs="Arial" w:eastAsia="Arial" w:hAnsi="Arial"/>
          <w:sz w:val="17"/>
          <w:szCs w:val="17"/>
          <w:color w:val="auto"/>
        </w:rPr>
        <w:t xml:space="preserve"> </w:t>
      </w:r>
      <w:r>
        <w:rPr>
          <w:rFonts w:ascii="Arial" w:cs="Arial" w:eastAsia="Arial" w:hAnsi="Arial"/>
          <w:sz w:val="17"/>
          <w:szCs w:val="17"/>
          <w:color w:val="FF0000"/>
          <w:strike w:val="1"/>
        </w:rPr>
        <w:t>hereof</w:t>
      </w:r>
      <w:r>
        <w:rPr>
          <w:rFonts w:ascii="Arial" w:cs="Arial" w:eastAsia="Arial" w:hAnsi="Arial"/>
          <w:sz w:val="17"/>
          <w:szCs w:val="17"/>
          <w:color w:val="auto"/>
        </w:rPr>
        <w:t xml:space="preserve">, at the time of each request to advance, continue or create by conversion a Borrowing of Eurodollar Loans or Swing Loans, the Borrower shall select in the relevant Committed Loan Notice </w:t>
      </w:r>
      <w:r>
        <w:rPr>
          <w:rFonts w:ascii="Arial" w:cs="Arial" w:eastAsia="Arial" w:hAnsi="Arial"/>
          <w:sz w:val="17"/>
          <w:szCs w:val="17"/>
          <w:u w:val="single" w:color="auto"/>
          <w:color w:val="0000E1"/>
        </w:rPr>
        <w:t>or Notice of</w:t>
      </w:r>
      <w:r>
        <w:rPr>
          <w:rFonts w:ascii="Arial" w:cs="Arial" w:eastAsia="Arial" w:hAnsi="Arial"/>
          <w:sz w:val="17"/>
          <w:szCs w:val="17"/>
          <w:color w:val="auto"/>
        </w:rPr>
        <w:t xml:space="preserve"> </w:t>
      </w:r>
      <w:r>
        <w:rPr>
          <w:rFonts w:ascii="Arial" w:cs="Arial" w:eastAsia="Arial" w:hAnsi="Arial"/>
          <w:sz w:val="17"/>
          <w:szCs w:val="17"/>
          <w:u w:val="single" w:color="auto"/>
          <w:color w:val="0000E1"/>
        </w:rPr>
        <w:t>Continuation/Conversion, as applicable,</w:t>
      </w:r>
      <w:r>
        <w:rPr>
          <w:rFonts w:ascii="Arial" w:cs="Arial" w:eastAsia="Arial" w:hAnsi="Arial"/>
          <w:sz w:val="17"/>
          <w:szCs w:val="17"/>
          <w:color w:val="0000E1"/>
        </w:rPr>
        <w:t xml:space="preserve"> </w:t>
      </w:r>
      <w:r>
        <w:rPr>
          <w:rFonts w:ascii="Arial" w:cs="Arial" w:eastAsia="Arial" w:hAnsi="Arial"/>
          <w:sz w:val="17"/>
          <w:szCs w:val="17"/>
          <w:color w:val="000000"/>
        </w:rPr>
        <w:t>an Interest Period applicable to such Loans from among the available options. The term “</w:t>
      </w:r>
      <w:r>
        <w:rPr>
          <w:rFonts w:ascii="Arial" w:cs="Arial" w:eastAsia="Arial" w:hAnsi="Arial"/>
          <w:sz w:val="17"/>
          <w:szCs w:val="17"/>
          <w:i w:val="1"/>
          <w:iCs w:val="1"/>
          <w:color w:val="000000"/>
        </w:rPr>
        <w:t>Interest Period</w:t>
      </w:r>
      <w:r>
        <w:rPr>
          <w:rFonts w:ascii="Arial" w:cs="Arial" w:eastAsia="Arial" w:hAnsi="Arial"/>
          <w:sz w:val="17"/>
          <w:szCs w:val="17"/>
          <w:color w:val="000000"/>
        </w:rPr>
        <w:t>”</w:t>
      </w:r>
      <w:r>
        <w:rPr>
          <w:rFonts w:ascii="Arial" w:cs="Arial" w:eastAsia="Arial" w:hAnsi="Arial"/>
          <w:sz w:val="17"/>
          <w:szCs w:val="17"/>
          <w:color w:val="0000E1"/>
        </w:rPr>
        <w:t xml:space="preserve"> </w:t>
      </w:r>
      <w:r>
        <w:rPr>
          <w:rFonts w:ascii="Arial" w:cs="Arial" w:eastAsia="Arial" w:hAnsi="Arial"/>
          <w:sz w:val="17"/>
          <w:szCs w:val="17"/>
          <w:color w:val="000000"/>
        </w:rPr>
        <w:t>means the period commencing on the date a Borrowing of Loans is advanced, continued or created by conversion and ending: (a) in the case of Base Rate Loans, on the last day of the calendar quarter (</w:t>
      </w:r>
      <w:r>
        <w:rPr>
          <w:rFonts w:ascii="Arial" w:cs="Arial" w:eastAsia="Arial" w:hAnsi="Arial"/>
          <w:sz w:val="17"/>
          <w:szCs w:val="17"/>
          <w:i w:val="1"/>
          <w:iCs w:val="1"/>
          <w:color w:val="000000"/>
        </w:rPr>
        <w:t>i.e.,</w:t>
      </w:r>
      <w:r>
        <w:rPr>
          <w:rFonts w:ascii="Arial" w:cs="Arial" w:eastAsia="Arial" w:hAnsi="Arial"/>
          <w:sz w:val="17"/>
          <w:szCs w:val="17"/>
          <w:color w:val="000000"/>
        </w:rPr>
        <w:t xml:space="preserve"> the last day of March, June, September or December, as applicable) in which such Borrowing is advanced, continued or created by conversion (or on the last day of the following calendar quarter if such Loan is advanced, continued or created by conversion on the last day of a calendar quarter) and the final maturity date of such Base Rate Loans and (b) in the case of </w:t>
      </w:r>
      <w:r>
        <w:rPr>
          <w:rFonts w:ascii="Arial" w:cs="Arial" w:eastAsia="Arial" w:hAnsi="Arial"/>
          <w:sz w:val="17"/>
          <w:szCs w:val="17"/>
          <w:color w:val="FF0000"/>
          <w:strike w:val="1"/>
        </w:rPr>
        <w:t>a</w:t>
      </w:r>
      <w:r>
        <w:rPr>
          <w:rFonts w:ascii="Arial" w:cs="Arial" w:eastAsia="Arial" w:hAnsi="Arial"/>
          <w:sz w:val="17"/>
          <w:szCs w:val="17"/>
          <w:color w:val="000000"/>
        </w:rPr>
        <w:t xml:space="preserve"> Eurodollar Loan</w:t>
      </w:r>
      <w:r>
        <w:rPr>
          <w:rFonts w:ascii="Arial" w:cs="Arial" w:eastAsia="Arial" w:hAnsi="Arial"/>
          <w:sz w:val="17"/>
          <w:szCs w:val="17"/>
          <w:u w:val="single" w:color="auto"/>
          <w:color w:val="0000E1"/>
        </w:rPr>
        <w:t>s,</w:t>
      </w:r>
      <w:r>
        <w:rPr>
          <w:rFonts w:ascii="Arial" w:cs="Arial" w:eastAsia="Arial" w:hAnsi="Arial"/>
          <w:sz w:val="17"/>
          <w:szCs w:val="17"/>
          <w:color w:val="000000"/>
        </w:rPr>
        <w:t xml:space="preserve"> 1, 2, 3 or 6 months thereafter (in each case, subject to availability); </w:t>
      </w:r>
      <w:r>
        <w:rPr>
          <w:rFonts w:ascii="Arial" w:cs="Arial" w:eastAsia="Arial" w:hAnsi="Arial"/>
          <w:sz w:val="17"/>
          <w:szCs w:val="17"/>
          <w:i w:val="1"/>
          <w:iCs w:val="1"/>
          <w:color w:val="000000"/>
        </w:rPr>
        <w:t>provided, however,</w:t>
      </w:r>
      <w:r>
        <w:rPr>
          <w:rFonts w:ascii="Arial" w:cs="Arial" w:eastAsia="Arial" w:hAnsi="Arial"/>
          <w:sz w:val="17"/>
          <w:szCs w:val="17"/>
          <w:color w:val="000000"/>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1662430</wp:posOffset>
            </wp:positionH>
            <wp:positionV relativeFrom="paragraph">
              <wp:posOffset>-1042670</wp:posOffset>
            </wp:positionV>
            <wp:extent cx="285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-965835</wp:posOffset>
            </wp:positionV>
            <wp:extent cx="431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-1000125</wp:posOffset>
            </wp:positionV>
            <wp:extent cx="2984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8450" cy="8255"/>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-828675</wp:posOffset>
            </wp:positionV>
            <wp:extent cx="54864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-691515</wp:posOffset>
            </wp:positionV>
            <wp:extent cx="18345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34515" cy="8255"/>
                    </a:xfrm>
                    <a:prstGeom prst="rect">
                      <a:avLst/>
                    </a:prstGeom>
                    <a:noFill/>
                  </pic:spPr>
                </pic:pic>
              </a:graphicData>
            </a:graphic>
          </wp:anchor>
        </w:drawing>
        <w:drawing>
          <wp:anchor simplePos="0" relativeHeight="251657728" behindDoc="1" locked="0" layoutInCell="0" allowOverlap="1">
            <wp:simplePos x="0" y="0"/>
            <wp:positionH relativeFrom="column">
              <wp:posOffset>5419725</wp:posOffset>
            </wp:positionH>
            <wp:positionV relativeFrom="paragraph">
              <wp:posOffset>-768350</wp:posOffset>
            </wp:positionV>
            <wp:extent cx="2857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5753100</wp:posOffset>
            </wp:positionH>
            <wp:positionV relativeFrom="paragraph">
              <wp:posOffset>-631190</wp:posOffset>
            </wp:positionV>
            <wp:extent cx="2857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-142875</wp:posOffset>
            </wp:positionV>
            <wp:extent cx="939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50" w:lineRule="exact"/>
        <w:rPr>
          <w:sz w:val="20"/>
          <w:szCs w:val="20"/>
          <w:color w:val="auto"/>
        </w:rPr>
      </w:pPr>
    </w:p>
    <w:p>
      <w:pPr>
        <w:ind w:left="440" w:right="280" w:firstLine="948"/>
        <w:spacing w:after="0" w:line="277" w:lineRule="auto"/>
        <w:tabs>
          <w:tab w:leader="none" w:pos="1742"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Interest Period for a Borrowing of Loans consisting of Base Rate Loans that otherwise would end after the final maturity date of such Loans shall end on the final maturity date of such Loans;</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Interest Period with respect to any portion of Loans of any type shall extend beyond the final maturity date of such type of</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Loans;</w:t>
      </w:r>
    </w:p>
    <w:p>
      <w:pPr>
        <w:spacing w:after="0" w:line="102" w:lineRule="exact"/>
        <w:rPr>
          <w:rFonts w:ascii="Arial" w:cs="Arial" w:eastAsia="Arial" w:hAnsi="Arial"/>
          <w:sz w:val="16"/>
          <w:szCs w:val="16"/>
          <w:color w:val="auto"/>
        </w:rPr>
      </w:pPr>
    </w:p>
    <w:p>
      <w:pPr>
        <w:ind w:left="440" w:right="180" w:firstLine="948"/>
        <w:spacing w:after="0" w:line="259" w:lineRule="auto"/>
        <w:tabs>
          <w:tab w:leader="none" w:pos="1842"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whenever the last day of any Interest Period in respect of Eurodollar Loans would otherwise be a day that is not a Business Day, the last day of such Interest Period shall be extended to the next succeeding Business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r>
        <w:rPr>
          <w:rFonts w:ascii="Arial" w:cs="Arial" w:eastAsia="Arial" w:hAnsi="Arial"/>
          <w:sz w:val="18"/>
          <w:szCs w:val="18"/>
          <w:color w:val="FF0000"/>
          <w:strike w:val="1"/>
        </w:rPr>
        <w:t>,</w:t>
      </w:r>
      <w:r>
        <w:rPr>
          <w:rFonts w:ascii="Arial" w:cs="Arial" w:eastAsia="Arial" w:hAnsi="Arial"/>
          <w:sz w:val="18"/>
          <w:szCs w:val="18"/>
          <w:color w:val="auto"/>
        </w:rPr>
        <w:t xml:space="preserve"> if such extension would cause the last day of an Interest Period for a Borrowing of Eurodollar Loans to occur in the following calendar month, the last day of such Interest Period shall be the immediately preceding Business Day;</w:t>
      </w:r>
    </w:p>
    <w:p>
      <w:pPr>
        <w:spacing w:after="0" w:line="78" w:lineRule="exact"/>
        <w:rPr>
          <w:rFonts w:ascii="Arial" w:cs="Arial" w:eastAsia="Arial" w:hAnsi="Arial"/>
          <w:sz w:val="18"/>
          <w:szCs w:val="18"/>
          <w:color w:val="auto"/>
        </w:rPr>
      </w:pPr>
    </w:p>
    <w:p>
      <w:pPr>
        <w:ind w:left="440" w:firstLine="948"/>
        <w:spacing w:after="0" w:line="257" w:lineRule="auto"/>
        <w:tabs>
          <w:tab w:leader="none" w:pos="18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for purposes of determining an Interest Period for a Borrowing of Eurodollar Loans, a month means a period starting on one day in a calendar month and ending on the numerically corresponding day in the next calendar month;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there is no numerically corresponding day in the month in which such an Interest Period is to end or if such an Interest Period begins on the last Business Day of a calendar month, then such Interest Period shall end on the last Business Day of the calendar month in which such Interest Period is to end; and</w:t>
      </w:r>
    </w:p>
    <w:p>
      <w:pPr>
        <w:spacing w:after="0" w:line="79" w:lineRule="exact"/>
        <w:rPr>
          <w:rFonts w:ascii="Arial" w:cs="Arial" w:eastAsia="Arial" w:hAnsi="Arial"/>
          <w:sz w:val="18"/>
          <w:szCs w:val="18"/>
          <w:color w:val="auto"/>
        </w:rPr>
      </w:pPr>
    </w:p>
    <w:p>
      <w:pPr>
        <w:ind w:left="440" w:right="180" w:firstLine="948"/>
        <w:spacing w:after="0" w:line="277" w:lineRule="auto"/>
        <w:tabs>
          <w:tab w:leader="none" w:pos="1782"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 respect to Swing Loans, if the Borrower does not inform the Swing Line Lender that it intends to repay a Swing Loan on the last day of the applicable Interest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73" w:name="page74"/>
    <w:bookmarkEnd w:id="73"/>
    <w:p>
      <w:pPr>
        <w:ind w:left="444"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from its own funds, the Administrative Agent shall promptly notify each Revolving Lender of the amount of such Swing Loan, and the amount of such Revolving Lender’s Revolver Percentage thereof and the Borrower shall be deemed to have requested a Borrowing of Revolving Loans in the form of Base Rate Loans to be disbursed on the date such Swing Loan was required to be repaid in an amount equal to such Swing Loan (without regard to the minimums and multiples specified in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w:t>
      </w:r>
      <w:r>
        <w:rPr>
          <w:rFonts w:ascii="Arial" w:cs="Arial" w:eastAsia="Arial" w:hAnsi="Arial"/>
          <w:sz w:val="17"/>
          <w:szCs w:val="17"/>
          <w:color w:val="FF0000"/>
          <w:strike w:val="1"/>
        </w:rPr>
        <w:t>hereof</w:t>
      </w:r>
      <w:r>
        <w:rPr>
          <w:rFonts w:ascii="Arial" w:cs="Arial" w:eastAsia="Arial" w:hAnsi="Arial"/>
          <w:sz w:val="17"/>
          <w:szCs w:val="17"/>
          <w:color w:val="auto"/>
        </w:rPr>
        <w:t xml:space="preserve">), subject to (x) the aggregate amount of Revolving Credit Commitments available at such time and (y) the conditions set forth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w:t>
      </w:r>
      <w:r>
        <w:rPr>
          <w:rFonts w:ascii="Arial" w:cs="Arial" w:eastAsia="Arial" w:hAnsi="Arial"/>
          <w:sz w:val="17"/>
          <w:szCs w:val="17"/>
          <w:color w:val="FF0000"/>
          <w:strike w:val="1"/>
        </w:rPr>
        <w:t>hereof</w:t>
      </w:r>
      <w:r>
        <w:rPr>
          <w:rFonts w:ascii="Arial" w:cs="Arial" w:eastAsia="Arial" w:hAnsi="Arial"/>
          <w:sz w:val="17"/>
          <w:szCs w:val="17"/>
          <w:color w:val="auto"/>
        </w:rPr>
        <w:t xml:space="preserve"> (it being understood that the failure of the Borrower to repay such Swing Loan to the Swing Line Lender from its own funds at the end of the applicable Interest Period and any delay in the payment of any Swing Loan beyond the date and time when due shall not constitute a Default or an Event of Default hereunder to the extent a Base Rate Loan is disbursed in accordance with this </w:t>
      </w:r>
      <w:r>
        <w:rPr>
          <w:rFonts w:ascii="Arial" w:cs="Arial" w:eastAsia="Arial" w:hAnsi="Arial"/>
          <w:sz w:val="17"/>
          <w:szCs w:val="17"/>
          <w:u w:val="single" w:color="auto"/>
          <w:color w:val="auto"/>
        </w:rPr>
        <w:t>Section 1.7(v)</w:t>
      </w:r>
      <w:r>
        <w:rPr>
          <w:rFonts w:ascii="Arial" w:cs="Arial" w:eastAsia="Arial" w:hAnsi="Arial"/>
          <w:sz w:val="17"/>
          <w:szCs w:val="17"/>
          <w:color w:val="auto"/>
        </w:rPr>
        <w:t>).</w:t>
      </w:r>
    </w:p>
    <w:p>
      <w:pPr>
        <w:spacing w:after="0" w:line="286" w:lineRule="exact"/>
        <w:rPr>
          <w:sz w:val="20"/>
          <w:szCs w:val="20"/>
          <w:color w:val="auto"/>
        </w:rPr>
      </w:pPr>
    </w:p>
    <w:p>
      <w:pPr>
        <w:ind w:left="444"/>
        <w:spacing w:after="0"/>
        <w:tabs>
          <w:tab w:leader="none" w:pos="1404"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7"/>
          <w:szCs w:val="17"/>
          <w:i w:val="1"/>
          <w:iCs w:val="1"/>
          <w:color w:val="auto"/>
        </w:rPr>
        <w:t>Maturity of Loans</w:t>
      </w:r>
      <w:r>
        <w:rPr>
          <w:rFonts w:ascii="Arial" w:cs="Arial" w:eastAsia="Arial" w:hAnsi="Arial"/>
          <w:sz w:val="17"/>
          <w:szCs w:val="17"/>
          <w:color w:val="FF0000"/>
          <w:strike w:val="1"/>
        </w:rPr>
        <w:t>(a)</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color w:val="FF0000"/>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-53340</wp:posOffset>
            </wp:positionV>
            <wp:extent cx="1619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97" w:lineRule="exact"/>
        <w:rPr>
          <w:sz w:val="20"/>
          <w:szCs w:val="20"/>
          <w:color w:val="auto"/>
        </w:rPr>
      </w:pPr>
    </w:p>
    <w:p>
      <w:pPr>
        <w:jc w:val="both"/>
        <w:ind w:left="4" w:firstLine="987"/>
        <w:spacing w:after="0" w:line="259" w:lineRule="auto"/>
        <w:tabs>
          <w:tab w:leader="none" w:pos="1420" w:val="left"/>
        </w:tabs>
        <w:numPr>
          <w:ilvl w:val="0"/>
          <w:numId w:val="67"/>
        </w:numPr>
        <w:rPr>
          <w:rFonts w:ascii="Arial" w:cs="Arial" w:eastAsia="Arial" w:hAnsi="Arial"/>
          <w:sz w:val="18"/>
          <w:szCs w:val="18"/>
          <w:u w:val="single" w:color="auto"/>
          <w:color w:val="0000E1"/>
        </w:rPr>
      </w:pPr>
      <w:r>
        <w:rPr>
          <w:rFonts w:ascii="Arial" w:cs="Arial" w:eastAsia="Arial" w:hAnsi="Arial"/>
          <w:sz w:val="18"/>
          <w:szCs w:val="18"/>
          <w:i w:val="1"/>
          <w:iCs w:val="1"/>
          <w:color w:val="auto"/>
        </w:rPr>
        <w:t xml:space="preserve">Scheduled Payments of Term Loans. </w:t>
      </w:r>
      <w:r>
        <w:rPr>
          <w:rFonts w:ascii="Arial" w:cs="Arial" w:eastAsia="Arial" w:hAnsi="Arial"/>
          <w:sz w:val="18"/>
          <w:szCs w:val="18"/>
          <w:color w:val="auto"/>
        </w:rPr>
        <w:t>The Borrower shall make principal payments on the Term Loans in installments on the last day</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March, June, September and December in each year, commencing with the calendar quarter ending December 31, 2017, with the amount of each such principal installment to equal the amount set forth in Column B below shown opposite of the relevant due date as set forth in Column A below (as adjusted from time to time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-412115</wp:posOffset>
            </wp:positionV>
            <wp:extent cx="1289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2554605</wp:posOffset>
            </wp:positionH>
            <wp:positionV relativeFrom="paragraph">
              <wp:posOffset>-488950</wp:posOffset>
            </wp:positionV>
            <wp:extent cx="2857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7"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620" w:type="dxa"/>
            <w:vAlign w:val="bottom"/>
          </w:tcPr>
          <w:p>
            <w:pPr>
              <w:jc w:val="center"/>
              <w:ind w:left="672"/>
              <w:spacing w:after="0"/>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OLUMN</w:t>
            </w:r>
            <w:r>
              <w:rPr>
                <w:rFonts w:ascii="Arial" w:cs="Arial" w:eastAsia="Arial" w:hAnsi="Arial"/>
                <w:sz w:val="14"/>
                <w:szCs w:val="14"/>
                <w:color w:val="auto"/>
              </w:rPr>
              <w:t xml:space="preserve"> B</w:t>
            </w:r>
          </w:p>
        </w:tc>
      </w:tr>
      <w:tr>
        <w:trPr>
          <w:trHeight w:val="148"/>
        </w:trPr>
        <w:tc>
          <w:tcPr>
            <w:tcW w:w="3860" w:type="dxa"/>
            <w:vAlign w:val="bottom"/>
          </w:tcPr>
          <w:p>
            <w:pPr>
              <w:jc w:val="center"/>
              <w:ind w:left="452"/>
              <w:spacing w:after="0" w:line="149" w:lineRule="exact"/>
              <w:rPr>
                <w:sz w:val="20"/>
                <w:szCs w:val="20"/>
                <w:color w:val="auto"/>
              </w:rPr>
            </w:pPr>
            <w:r>
              <w:rPr>
                <w:rFonts w:ascii="Arial" w:cs="Arial" w:eastAsia="Arial" w:hAnsi="Arial"/>
                <w:sz w:val="14"/>
                <w:szCs w:val="14"/>
                <w:color w:val="auto"/>
              </w:rPr>
              <w:t>C</w:t>
            </w:r>
            <w:r>
              <w:rPr>
                <w:rFonts w:ascii="Arial" w:cs="Arial" w:eastAsia="Arial" w:hAnsi="Arial"/>
                <w:sz w:val="11"/>
                <w:szCs w:val="11"/>
                <w:color w:val="auto"/>
              </w:rPr>
              <w:t>OLUMN</w:t>
            </w:r>
            <w:r>
              <w:rPr>
                <w:rFonts w:ascii="Arial" w:cs="Arial" w:eastAsia="Arial" w:hAnsi="Arial"/>
                <w:sz w:val="14"/>
                <w:szCs w:val="14"/>
                <w:color w:val="auto"/>
              </w:rPr>
              <w:t xml:space="preserve"> A</w:t>
            </w:r>
          </w:p>
        </w:tc>
        <w:tc>
          <w:tcPr>
            <w:tcW w:w="3620" w:type="dxa"/>
            <w:vAlign w:val="bottom"/>
          </w:tcPr>
          <w:p>
            <w:pPr>
              <w:jc w:val="center"/>
              <w:ind w:left="672"/>
              <w:spacing w:after="0" w:line="149" w:lineRule="exact"/>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CHEDULED</w:t>
            </w:r>
            <w:r>
              <w:rPr>
                <w:rFonts w:ascii="Arial" w:cs="Arial" w:eastAsia="Arial" w:hAnsi="Arial"/>
                <w:sz w:val="14"/>
                <w:szCs w:val="14"/>
                <w:color w:val="auto"/>
              </w:rPr>
              <w:t xml:space="preserve"> P</w:t>
            </w:r>
            <w:r>
              <w:rPr>
                <w:rFonts w:ascii="Arial" w:cs="Arial" w:eastAsia="Arial" w:hAnsi="Arial"/>
                <w:sz w:val="11"/>
                <w:szCs w:val="11"/>
                <w:color w:val="auto"/>
              </w:rPr>
              <w:t>RINCIPAL</w:t>
            </w:r>
          </w:p>
        </w:tc>
      </w:tr>
      <w:tr>
        <w:trPr>
          <w:trHeight w:val="181"/>
        </w:trPr>
        <w:tc>
          <w:tcPr>
            <w:tcW w:w="3860" w:type="dxa"/>
            <w:vAlign w:val="bottom"/>
          </w:tcPr>
          <w:p>
            <w:pPr>
              <w:jc w:val="center"/>
              <w:ind w:left="472"/>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AYMENT</w:t>
            </w:r>
            <w:r>
              <w:rPr>
                <w:rFonts w:ascii="Arial" w:cs="Arial" w:eastAsia="Arial" w:hAnsi="Arial"/>
                <w:sz w:val="14"/>
                <w:szCs w:val="14"/>
                <w:color w:val="auto"/>
              </w:rPr>
              <w:t xml:space="preserve"> D</w:t>
            </w:r>
            <w:r>
              <w:rPr>
                <w:rFonts w:ascii="Arial" w:cs="Arial" w:eastAsia="Arial" w:hAnsi="Arial"/>
                <w:sz w:val="11"/>
                <w:szCs w:val="11"/>
                <w:color w:val="auto"/>
              </w:rPr>
              <w:t>ATE</w:t>
            </w:r>
          </w:p>
        </w:tc>
        <w:tc>
          <w:tcPr>
            <w:tcW w:w="3620" w:type="dxa"/>
            <w:vAlign w:val="bottom"/>
          </w:tcPr>
          <w:p>
            <w:pPr>
              <w:jc w:val="center"/>
              <w:ind w:left="672"/>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AYMENT ON</w:t>
            </w:r>
            <w:r>
              <w:rPr>
                <w:rFonts w:ascii="Arial" w:cs="Arial" w:eastAsia="Arial" w:hAnsi="Arial"/>
                <w:sz w:val="14"/>
                <w:szCs w:val="14"/>
                <w:color w:val="auto"/>
              </w:rPr>
              <w:t xml:space="preserve"> T</w:t>
            </w:r>
            <w:r>
              <w:rPr>
                <w:rFonts w:ascii="Arial" w:cs="Arial" w:eastAsia="Arial" w:hAnsi="Arial"/>
                <w:sz w:val="11"/>
                <w:szCs w:val="11"/>
                <w:color w:val="auto"/>
              </w:rPr>
              <w:t>ERM</w:t>
            </w:r>
            <w:r>
              <w:rPr>
                <w:rFonts w:ascii="Arial" w:cs="Arial" w:eastAsia="Arial" w:hAnsi="Arial"/>
                <w:sz w:val="14"/>
                <w:szCs w:val="14"/>
                <w:color w:val="auto"/>
              </w:rPr>
              <w:t xml:space="preserve"> L</w:t>
            </w:r>
            <w:r>
              <w:rPr>
                <w:rFonts w:ascii="Arial" w:cs="Arial" w:eastAsia="Arial" w:hAnsi="Arial"/>
                <w:sz w:val="11"/>
                <w:szCs w:val="11"/>
                <w:color w:val="auto"/>
              </w:rPr>
              <w:t>OANS</w:t>
            </w:r>
          </w:p>
        </w:tc>
      </w:tr>
      <w:tr>
        <w:trPr>
          <w:trHeight w:val="216"/>
        </w:trPr>
        <w:tc>
          <w:tcPr>
            <w:tcW w:w="386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9"/>
              </w:rPr>
              <w:t>December 31, 2017</w:t>
            </w:r>
          </w:p>
        </w:tc>
        <w:tc>
          <w:tcPr>
            <w:tcW w:w="3620" w:type="dxa"/>
            <w:vAlign w:val="bottom"/>
            <w:shd w:val="clear" w:color="auto" w:fill="CCEEFF"/>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16"/>
        </w:trPr>
        <w:tc>
          <w:tcPr>
            <w:tcW w:w="3860" w:type="dxa"/>
            <w:vAlign w:val="bottom"/>
          </w:tcPr>
          <w:p>
            <w:pPr>
              <w:jc w:val="center"/>
              <w:ind w:left="472"/>
              <w:spacing w:after="0"/>
              <w:rPr>
                <w:sz w:val="20"/>
                <w:szCs w:val="20"/>
                <w:color w:val="auto"/>
              </w:rPr>
            </w:pPr>
            <w:r>
              <w:rPr>
                <w:rFonts w:ascii="Arial" w:cs="Arial" w:eastAsia="Arial" w:hAnsi="Arial"/>
                <w:sz w:val="18"/>
                <w:szCs w:val="18"/>
                <w:color w:val="auto"/>
                <w:w w:val="91"/>
              </w:rPr>
              <w:t>March 31, 2018</w:t>
            </w:r>
          </w:p>
        </w:tc>
        <w:tc>
          <w:tcPr>
            <w:tcW w:w="3620" w:type="dxa"/>
            <w:vAlign w:val="bottom"/>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16"/>
        </w:trPr>
        <w:tc>
          <w:tcPr>
            <w:tcW w:w="386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87"/>
              </w:rPr>
              <w:t>June 30, 2018</w:t>
            </w:r>
          </w:p>
        </w:tc>
        <w:tc>
          <w:tcPr>
            <w:tcW w:w="3620" w:type="dxa"/>
            <w:vAlign w:val="bottom"/>
            <w:shd w:val="clear" w:color="auto" w:fill="CCEEFF"/>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16"/>
        </w:trPr>
        <w:tc>
          <w:tcPr>
            <w:tcW w:w="3860" w:type="dxa"/>
            <w:vAlign w:val="bottom"/>
          </w:tcPr>
          <w:p>
            <w:pPr>
              <w:jc w:val="center"/>
              <w:ind w:left="452"/>
              <w:spacing w:after="0"/>
              <w:rPr>
                <w:sz w:val="20"/>
                <w:szCs w:val="20"/>
                <w:color w:val="auto"/>
              </w:rPr>
            </w:pPr>
            <w:r>
              <w:rPr>
                <w:rFonts w:ascii="Arial" w:cs="Arial" w:eastAsia="Arial" w:hAnsi="Arial"/>
                <w:sz w:val="18"/>
                <w:szCs w:val="18"/>
                <w:color w:val="auto"/>
                <w:w w:val="88"/>
              </w:rPr>
              <w:t>September 30, 2018</w:t>
            </w:r>
          </w:p>
        </w:tc>
        <w:tc>
          <w:tcPr>
            <w:tcW w:w="3620" w:type="dxa"/>
            <w:vAlign w:val="bottom"/>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16"/>
        </w:trPr>
        <w:tc>
          <w:tcPr>
            <w:tcW w:w="386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9"/>
              </w:rPr>
              <w:t>December 31, 2018</w:t>
            </w:r>
          </w:p>
        </w:tc>
        <w:tc>
          <w:tcPr>
            <w:tcW w:w="3620" w:type="dxa"/>
            <w:vAlign w:val="bottom"/>
            <w:shd w:val="clear" w:color="auto" w:fill="CCEEFF"/>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16"/>
        </w:trPr>
        <w:tc>
          <w:tcPr>
            <w:tcW w:w="3860" w:type="dxa"/>
            <w:vAlign w:val="bottom"/>
          </w:tcPr>
          <w:p>
            <w:pPr>
              <w:jc w:val="center"/>
              <w:ind w:left="472"/>
              <w:spacing w:after="0"/>
              <w:rPr>
                <w:sz w:val="20"/>
                <w:szCs w:val="20"/>
                <w:color w:val="auto"/>
              </w:rPr>
            </w:pPr>
            <w:r>
              <w:rPr>
                <w:rFonts w:ascii="Arial" w:cs="Arial" w:eastAsia="Arial" w:hAnsi="Arial"/>
                <w:sz w:val="18"/>
                <w:szCs w:val="18"/>
                <w:color w:val="auto"/>
                <w:w w:val="91"/>
              </w:rPr>
              <w:t>March 31, 2019</w:t>
            </w:r>
          </w:p>
        </w:tc>
        <w:tc>
          <w:tcPr>
            <w:tcW w:w="3620" w:type="dxa"/>
            <w:vAlign w:val="bottom"/>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16"/>
        </w:trPr>
        <w:tc>
          <w:tcPr>
            <w:tcW w:w="386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87"/>
              </w:rPr>
              <w:t>June 30, 2019</w:t>
            </w:r>
          </w:p>
        </w:tc>
        <w:tc>
          <w:tcPr>
            <w:tcW w:w="3620" w:type="dxa"/>
            <w:vAlign w:val="bottom"/>
            <w:shd w:val="clear" w:color="auto" w:fill="CCEEFF"/>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16"/>
        </w:trPr>
        <w:tc>
          <w:tcPr>
            <w:tcW w:w="3860" w:type="dxa"/>
            <w:vAlign w:val="bottom"/>
          </w:tcPr>
          <w:p>
            <w:pPr>
              <w:jc w:val="center"/>
              <w:ind w:left="452"/>
              <w:spacing w:after="0"/>
              <w:rPr>
                <w:sz w:val="20"/>
                <w:szCs w:val="20"/>
                <w:color w:val="auto"/>
              </w:rPr>
            </w:pPr>
            <w:r>
              <w:rPr>
                <w:rFonts w:ascii="Arial" w:cs="Arial" w:eastAsia="Arial" w:hAnsi="Arial"/>
                <w:sz w:val="18"/>
                <w:szCs w:val="18"/>
                <w:color w:val="auto"/>
                <w:w w:val="88"/>
              </w:rPr>
              <w:t>September 30, 2019</w:t>
            </w:r>
          </w:p>
        </w:tc>
        <w:tc>
          <w:tcPr>
            <w:tcW w:w="3620" w:type="dxa"/>
            <w:vAlign w:val="bottom"/>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16"/>
        </w:trPr>
        <w:tc>
          <w:tcPr>
            <w:tcW w:w="386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9"/>
              </w:rPr>
              <w:t>December 31, 2019</w:t>
            </w:r>
          </w:p>
        </w:tc>
        <w:tc>
          <w:tcPr>
            <w:tcW w:w="3620" w:type="dxa"/>
            <w:vAlign w:val="bottom"/>
            <w:shd w:val="clear" w:color="auto" w:fill="CCEEFF"/>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16"/>
        </w:trPr>
        <w:tc>
          <w:tcPr>
            <w:tcW w:w="3860" w:type="dxa"/>
            <w:vAlign w:val="bottom"/>
          </w:tcPr>
          <w:p>
            <w:pPr>
              <w:jc w:val="center"/>
              <w:ind w:left="472"/>
              <w:spacing w:after="0"/>
              <w:rPr>
                <w:sz w:val="20"/>
                <w:szCs w:val="20"/>
                <w:color w:val="auto"/>
              </w:rPr>
            </w:pPr>
            <w:r>
              <w:rPr>
                <w:rFonts w:ascii="Arial" w:cs="Arial" w:eastAsia="Arial" w:hAnsi="Arial"/>
                <w:sz w:val="18"/>
                <w:szCs w:val="18"/>
                <w:color w:val="auto"/>
                <w:w w:val="91"/>
              </w:rPr>
              <w:t>March 31, 2020</w:t>
            </w:r>
          </w:p>
        </w:tc>
        <w:tc>
          <w:tcPr>
            <w:tcW w:w="3620" w:type="dxa"/>
            <w:vAlign w:val="bottom"/>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16"/>
        </w:trPr>
        <w:tc>
          <w:tcPr>
            <w:tcW w:w="386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87"/>
              </w:rPr>
              <w:t>June 30, 2020</w:t>
            </w:r>
          </w:p>
        </w:tc>
        <w:tc>
          <w:tcPr>
            <w:tcW w:w="3620" w:type="dxa"/>
            <w:vAlign w:val="bottom"/>
            <w:shd w:val="clear" w:color="auto" w:fill="CCEEFF"/>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16"/>
        </w:trPr>
        <w:tc>
          <w:tcPr>
            <w:tcW w:w="3860" w:type="dxa"/>
            <w:vAlign w:val="bottom"/>
          </w:tcPr>
          <w:p>
            <w:pPr>
              <w:jc w:val="center"/>
              <w:ind w:left="452"/>
              <w:spacing w:after="0"/>
              <w:rPr>
                <w:sz w:val="20"/>
                <w:szCs w:val="20"/>
                <w:color w:val="auto"/>
              </w:rPr>
            </w:pPr>
            <w:r>
              <w:rPr>
                <w:rFonts w:ascii="Arial" w:cs="Arial" w:eastAsia="Arial" w:hAnsi="Arial"/>
                <w:sz w:val="18"/>
                <w:szCs w:val="18"/>
                <w:color w:val="auto"/>
                <w:w w:val="88"/>
              </w:rPr>
              <w:t>September 30, 2020</w:t>
            </w:r>
          </w:p>
        </w:tc>
        <w:tc>
          <w:tcPr>
            <w:tcW w:w="3620" w:type="dxa"/>
            <w:vAlign w:val="bottom"/>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16"/>
        </w:trPr>
        <w:tc>
          <w:tcPr>
            <w:tcW w:w="386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9"/>
              </w:rPr>
              <w:t>December 31, 2020</w:t>
            </w:r>
          </w:p>
        </w:tc>
        <w:tc>
          <w:tcPr>
            <w:tcW w:w="3620" w:type="dxa"/>
            <w:vAlign w:val="bottom"/>
            <w:shd w:val="clear" w:color="auto" w:fill="CCEEFF"/>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16"/>
        </w:trPr>
        <w:tc>
          <w:tcPr>
            <w:tcW w:w="3860" w:type="dxa"/>
            <w:vAlign w:val="bottom"/>
          </w:tcPr>
          <w:p>
            <w:pPr>
              <w:jc w:val="center"/>
              <w:ind w:left="472"/>
              <w:spacing w:after="0"/>
              <w:rPr>
                <w:sz w:val="20"/>
                <w:szCs w:val="20"/>
                <w:color w:val="auto"/>
              </w:rPr>
            </w:pPr>
            <w:r>
              <w:rPr>
                <w:rFonts w:ascii="Arial" w:cs="Arial" w:eastAsia="Arial" w:hAnsi="Arial"/>
                <w:sz w:val="18"/>
                <w:szCs w:val="18"/>
                <w:color w:val="auto"/>
                <w:w w:val="91"/>
              </w:rPr>
              <w:t>March 31, 2021</w:t>
            </w:r>
          </w:p>
        </w:tc>
        <w:tc>
          <w:tcPr>
            <w:tcW w:w="3620" w:type="dxa"/>
            <w:vAlign w:val="bottom"/>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16"/>
        </w:trPr>
        <w:tc>
          <w:tcPr>
            <w:tcW w:w="386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87"/>
              </w:rPr>
              <w:t>June 30, 2021</w:t>
            </w:r>
          </w:p>
        </w:tc>
        <w:tc>
          <w:tcPr>
            <w:tcW w:w="3620" w:type="dxa"/>
            <w:vAlign w:val="bottom"/>
            <w:shd w:val="clear" w:color="auto" w:fill="CCEEFF"/>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16"/>
        </w:trPr>
        <w:tc>
          <w:tcPr>
            <w:tcW w:w="3860" w:type="dxa"/>
            <w:vAlign w:val="bottom"/>
          </w:tcPr>
          <w:p>
            <w:pPr>
              <w:jc w:val="center"/>
              <w:ind w:left="452"/>
              <w:spacing w:after="0"/>
              <w:rPr>
                <w:sz w:val="20"/>
                <w:szCs w:val="20"/>
                <w:color w:val="auto"/>
              </w:rPr>
            </w:pPr>
            <w:r>
              <w:rPr>
                <w:rFonts w:ascii="Arial" w:cs="Arial" w:eastAsia="Arial" w:hAnsi="Arial"/>
                <w:sz w:val="18"/>
                <w:szCs w:val="18"/>
                <w:color w:val="auto"/>
                <w:w w:val="88"/>
              </w:rPr>
              <w:t>September 30, 2021</w:t>
            </w:r>
          </w:p>
        </w:tc>
        <w:tc>
          <w:tcPr>
            <w:tcW w:w="3620" w:type="dxa"/>
            <w:vAlign w:val="bottom"/>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16"/>
        </w:trPr>
        <w:tc>
          <w:tcPr>
            <w:tcW w:w="386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9"/>
              </w:rPr>
              <w:t>December 31, 2021</w:t>
            </w:r>
          </w:p>
        </w:tc>
        <w:tc>
          <w:tcPr>
            <w:tcW w:w="3620" w:type="dxa"/>
            <w:vAlign w:val="bottom"/>
            <w:shd w:val="clear" w:color="auto" w:fill="CCEEFF"/>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16"/>
        </w:trPr>
        <w:tc>
          <w:tcPr>
            <w:tcW w:w="3860" w:type="dxa"/>
            <w:vAlign w:val="bottom"/>
          </w:tcPr>
          <w:p>
            <w:pPr>
              <w:jc w:val="center"/>
              <w:ind w:left="472"/>
              <w:spacing w:after="0"/>
              <w:rPr>
                <w:sz w:val="20"/>
                <w:szCs w:val="20"/>
                <w:color w:val="auto"/>
              </w:rPr>
            </w:pPr>
            <w:r>
              <w:rPr>
                <w:rFonts w:ascii="Arial" w:cs="Arial" w:eastAsia="Arial" w:hAnsi="Arial"/>
                <w:sz w:val="18"/>
                <w:szCs w:val="18"/>
                <w:color w:val="auto"/>
                <w:w w:val="91"/>
              </w:rPr>
              <w:t>March 31, 2022</w:t>
            </w:r>
          </w:p>
        </w:tc>
        <w:tc>
          <w:tcPr>
            <w:tcW w:w="3620" w:type="dxa"/>
            <w:vAlign w:val="bottom"/>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16"/>
        </w:trPr>
        <w:tc>
          <w:tcPr>
            <w:tcW w:w="386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87"/>
              </w:rPr>
              <w:t>June 30, 2022</w:t>
            </w:r>
          </w:p>
        </w:tc>
        <w:tc>
          <w:tcPr>
            <w:tcW w:w="3620" w:type="dxa"/>
            <w:vAlign w:val="bottom"/>
            <w:shd w:val="clear" w:color="auto" w:fill="CCEEFF"/>
          </w:tcPr>
          <w:p>
            <w:pPr>
              <w:jc w:val="center"/>
              <w:ind w:left="672"/>
              <w:spacing w:after="0"/>
              <w:rPr>
                <w:sz w:val="20"/>
                <w:szCs w:val="20"/>
                <w:color w:val="auto"/>
              </w:rPr>
            </w:pPr>
            <w:r>
              <w:rPr>
                <w:rFonts w:ascii="Arial" w:cs="Arial" w:eastAsia="Arial" w:hAnsi="Arial"/>
                <w:sz w:val="18"/>
                <w:szCs w:val="18"/>
                <w:color w:val="auto"/>
                <w:w w:val="90"/>
              </w:rPr>
              <w:t>$3,750,000</w:t>
            </w:r>
          </w:p>
        </w:tc>
      </w:tr>
      <w:tr>
        <w:trPr>
          <w:trHeight w:val="202"/>
        </w:trPr>
        <w:tc>
          <w:tcPr>
            <w:tcW w:w="3860" w:type="dxa"/>
            <w:vAlign w:val="bottom"/>
          </w:tcPr>
          <w:p>
            <w:pPr>
              <w:jc w:val="center"/>
              <w:ind w:left="452"/>
              <w:spacing w:after="0" w:line="201" w:lineRule="exact"/>
              <w:rPr>
                <w:sz w:val="20"/>
                <w:szCs w:val="20"/>
                <w:color w:val="auto"/>
              </w:rPr>
            </w:pPr>
            <w:r>
              <w:rPr>
                <w:rFonts w:ascii="Arial" w:cs="Arial" w:eastAsia="Arial" w:hAnsi="Arial"/>
                <w:sz w:val="18"/>
                <w:szCs w:val="18"/>
                <w:color w:val="auto"/>
                <w:w w:val="91"/>
              </w:rPr>
              <w:t>August 17, 2022</w:t>
            </w:r>
          </w:p>
        </w:tc>
        <w:tc>
          <w:tcPr>
            <w:tcW w:w="3620" w:type="dxa"/>
            <w:vAlign w:val="bottom"/>
          </w:tcPr>
          <w:p>
            <w:pPr>
              <w:jc w:val="center"/>
              <w:ind w:left="672"/>
              <w:spacing w:after="0" w:line="201" w:lineRule="exact"/>
              <w:rPr>
                <w:sz w:val="20"/>
                <w:szCs w:val="20"/>
                <w:color w:val="auto"/>
              </w:rPr>
            </w:pPr>
            <w:r>
              <w:rPr>
                <w:rFonts w:ascii="Arial" w:cs="Arial" w:eastAsia="Arial" w:hAnsi="Arial"/>
                <w:sz w:val="18"/>
                <w:szCs w:val="18"/>
                <w:color w:val="auto"/>
                <w:w w:val="89"/>
              </w:rPr>
              <w:t>Remaining aggregate outstanding</w:t>
            </w:r>
          </w:p>
        </w:tc>
      </w:tr>
      <w:tr>
        <w:trPr>
          <w:trHeight w:val="230"/>
        </w:trPr>
        <w:tc>
          <w:tcPr>
            <w:tcW w:w="3860" w:type="dxa"/>
            <w:vAlign w:val="bottom"/>
          </w:tcPr>
          <w:p>
            <w:pPr>
              <w:spacing w:after="0"/>
              <w:rPr>
                <w:sz w:val="20"/>
                <w:szCs w:val="20"/>
                <w:color w:val="auto"/>
              </w:rPr>
            </w:pPr>
          </w:p>
        </w:tc>
        <w:tc>
          <w:tcPr>
            <w:tcW w:w="3620" w:type="dxa"/>
            <w:vAlign w:val="bottom"/>
          </w:tcPr>
          <w:p>
            <w:pPr>
              <w:jc w:val="center"/>
              <w:ind w:left="672"/>
              <w:spacing w:after="0"/>
              <w:rPr>
                <w:sz w:val="20"/>
                <w:szCs w:val="20"/>
                <w:color w:val="auto"/>
              </w:rPr>
            </w:pPr>
            <w:r>
              <w:rPr>
                <w:rFonts w:ascii="Arial" w:cs="Arial" w:eastAsia="Arial" w:hAnsi="Arial"/>
                <w:sz w:val="18"/>
                <w:szCs w:val="18"/>
                <w:color w:val="auto"/>
                <w:w w:val="91"/>
              </w:rPr>
              <w:t>principal amount of all Term Loans</w:t>
            </w:r>
          </w:p>
        </w:tc>
      </w:tr>
    </w:tbl>
    <w:p>
      <w:pPr>
        <w:spacing w:after="0" w:line="215" w:lineRule="exact"/>
        <w:rPr>
          <w:sz w:val="20"/>
          <w:szCs w:val="20"/>
          <w:color w:val="auto"/>
        </w:rPr>
      </w:pPr>
    </w:p>
    <w:p>
      <w:pPr>
        <w:ind w:left="4" w:right="20" w:hanging="4"/>
        <w:spacing w:after="0" w:line="257" w:lineRule="auto"/>
        <w:tabs>
          <w:tab w:leader="none" w:pos="9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it being agreed that the final payment comprised of both principal and interest not sooner paid on the Term Loans shall be due and payable on August 17, 2022, the final maturity thereof. Each such principal payment shall be applied to the Lenders holding the Term Loans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upon their Term Loan Percentages of the Term Loans owed to them that are payable on such date (including exchange by the Rollover Lenders of the Existing 2015 Term Loans for Loans under this Agreement). If any New Term Loans are advanced pursuant to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the Borrower shall make principal payments on such New Term Loans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-213995</wp:posOffset>
            </wp:positionV>
            <wp:extent cx="285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74" w:name="page75"/>
    <w:bookmarkEnd w:id="74"/>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set forth in the Commitment Amount Increase Notice with respect thereto contemplated by, and as otherwise permitted by,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(and, in connection therewith, the amount of the scheduled installments payable with respect to the then existing Term Loans may be ratably increased by the aggregate principal amount of such New Term Loans and may be further increased on a pro rata basis in accordance with customary practice and to the extent necessary in the reasonable opinion of the Administrative Agent for all such Term Loans to be treated as one tranche). If any Extended Term Loans are made pursuant to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the Borrower shall make principal payments on the Extended Term Loans in installments on the dates and in the amounts set forth in the applicable Term Loan Extension Amendment. If any Refinancing Term Loans are made pursuant to </w:t>
      </w:r>
      <w:r>
        <w:rPr>
          <w:rFonts w:ascii="Arial" w:cs="Arial" w:eastAsia="Arial" w:hAnsi="Arial"/>
          <w:sz w:val="18"/>
          <w:szCs w:val="18"/>
          <w:u w:val="single" w:color="auto"/>
          <w:color w:val="auto"/>
        </w:rPr>
        <w:t>Section 1.20(a)</w:t>
      </w:r>
      <w:r>
        <w:rPr>
          <w:rFonts w:ascii="Arial" w:cs="Arial" w:eastAsia="Arial" w:hAnsi="Arial"/>
          <w:sz w:val="18"/>
          <w:szCs w:val="18"/>
          <w:color w:val="auto"/>
        </w:rPr>
        <w:t>, the Borrower shall make principal payments on Refinancing Term Loans in installments on the dates and in the amounts set forth in the applicable Refinancing Term Loan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5703570</wp:posOffset>
            </wp:positionH>
            <wp:positionV relativeFrom="paragraph">
              <wp:posOffset>-622935</wp:posOffset>
            </wp:positionV>
            <wp:extent cx="2857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3375025</wp:posOffset>
            </wp:positionH>
            <wp:positionV relativeFrom="paragraph">
              <wp:posOffset>-348615</wp:posOffset>
            </wp:positionV>
            <wp:extent cx="2857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ind w:right="220" w:firstLine="987"/>
        <w:spacing w:after="0" w:line="277" w:lineRule="auto"/>
        <w:tabs>
          <w:tab w:leader="none" w:pos="1381"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Revolving Loans. </w:t>
      </w:r>
      <w:r>
        <w:rPr>
          <w:rFonts w:ascii="Arial" w:cs="Arial" w:eastAsia="Arial" w:hAnsi="Arial"/>
          <w:sz w:val="18"/>
          <w:szCs w:val="18"/>
          <w:color w:val="auto"/>
        </w:rPr>
        <w:t>Each Class of Revolving Loan, both for principal and interest not previously paid, shall mature and become due</w:t>
      </w:r>
      <w:r>
        <w:rPr>
          <w:rFonts w:ascii="Arial" w:cs="Arial" w:eastAsia="Arial" w:hAnsi="Arial"/>
          <w:sz w:val="18"/>
          <w:szCs w:val="18"/>
          <w:i w:val="1"/>
          <w:iCs w:val="1"/>
          <w:color w:val="auto"/>
        </w:rPr>
        <w:t xml:space="preserve"> </w:t>
      </w:r>
      <w:r>
        <w:rPr>
          <w:rFonts w:ascii="Arial" w:cs="Arial" w:eastAsia="Arial" w:hAnsi="Arial"/>
          <w:sz w:val="18"/>
          <w:szCs w:val="18"/>
          <w:color w:val="auto"/>
        </w:rPr>
        <w:t>and payable by the Borrower on the Revolving Credit Termination Date for such Class.</w:t>
      </w:r>
    </w:p>
    <w:p>
      <w:pPr>
        <w:spacing w:after="0" w:line="170" w:lineRule="exact"/>
        <w:rPr>
          <w:rFonts w:ascii="Arial" w:cs="Arial" w:eastAsia="Arial" w:hAnsi="Arial"/>
          <w:sz w:val="18"/>
          <w:szCs w:val="18"/>
          <w:color w:val="auto"/>
        </w:rPr>
      </w:pPr>
    </w:p>
    <w:p>
      <w:pPr>
        <w:ind w:right="480" w:firstLine="987"/>
        <w:spacing w:after="0" w:line="277" w:lineRule="auto"/>
        <w:tabs>
          <w:tab w:leader="none" w:pos="1371"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Swing Loans</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1.7(v)</w:t>
      </w:r>
      <w:r>
        <w:rPr>
          <w:rFonts w:ascii="Arial" w:cs="Arial" w:eastAsia="Arial" w:hAnsi="Arial"/>
          <w:sz w:val="18"/>
          <w:szCs w:val="18"/>
          <w:color w:val="auto"/>
        </w:rPr>
        <w:t>, each Swing Loan, both for principal and interest not previously paid, shall mature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become due and payable by the Borrower on the date that is ten </w:t>
      </w:r>
      <w:r>
        <w:rPr>
          <w:rFonts w:ascii="Arial" w:cs="Arial" w:eastAsia="Arial" w:hAnsi="Arial"/>
          <w:sz w:val="18"/>
          <w:szCs w:val="18"/>
          <w:u w:val="single" w:color="auto"/>
          <w:color w:val="0000E1"/>
        </w:rPr>
        <w:t>(10)</w:t>
      </w:r>
      <w:r>
        <w:rPr>
          <w:rFonts w:ascii="Arial" w:cs="Arial" w:eastAsia="Arial" w:hAnsi="Arial"/>
          <w:sz w:val="18"/>
          <w:szCs w:val="18"/>
          <w:color w:val="auto"/>
        </w:rPr>
        <w:t xml:space="preserve"> Business Days after such Swing Loan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1667510</wp:posOffset>
            </wp:positionH>
            <wp:positionV relativeFrom="paragraph">
              <wp:posOffset>-636270</wp:posOffset>
            </wp:positionV>
            <wp:extent cx="2857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1483995</wp:posOffset>
            </wp:positionH>
            <wp:positionV relativeFrom="paragraph">
              <wp:posOffset>-224790</wp:posOffset>
            </wp:positionV>
            <wp:extent cx="285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-10795</wp:posOffset>
            </wp:positionV>
            <wp:extent cx="19685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58"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i w:val="1"/>
          <w:iCs w:val="1"/>
          <w:color w:val="auto"/>
        </w:rPr>
        <w:t>Prepayments</w:t>
      </w:r>
      <w:r>
        <w:rPr>
          <w:rFonts w:ascii="Arial" w:cs="Arial" w:eastAsia="Arial" w:hAnsi="Arial"/>
          <w:sz w:val="16"/>
          <w:szCs w:val="16"/>
          <w:color w:val="FF0000"/>
          <w:strike w:val="1"/>
        </w:rPr>
        <w:t>(a)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color w:val="FF0000"/>
          <w:strike w:val="1"/>
        </w:rPr>
        <w:t>(a)</w:t>
      </w:r>
    </w:p>
    <w:p>
      <w:pPr>
        <w:spacing w:after="0" w:line="117" w:lineRule="exact"/>
        <w:rPr>
          <w:sz w:val="20"/>
          <w:szCs w:val="20"/>
          <w:color w:val="auto"/>
        </w:rPr>
      </w:pPr>
    </w:p>
    <w:p>
      <w:pPr>
        <w:ind w:firstLine="987"/>
        <w:spacing w:after="0" w:line="286" w:lineRule="auto"/>
        <w:tabs>
          <w:tab w:leader="none" w:pos="1416" w:val="left"/>
        </w:tabs>
        <w:numPr>
          <w:ilvl w:val="0"/>
          <w:numId w:val="70"/>
        </w:numPr>
        <w:rPr>
          <w:rFonts w:ascii="Arial" w:cs="Arial" w:eastAsia="Arial" w:hAnsi="Arial"/>
          <w:sz w:val="16"/>
          <w:szCs w:val="16"/>
          <w:u w:val="single" w:color="auto"/>
          <w:color w:val="0000E1"/>
        </w:rPr>
      </w:pPr>
      <w:r>
        <w:rPr>
          <w:rFonts w:ascii="Arial" w:cs="Arial" w:eastAsia="Arial" w:hAnsi="Arial"/>
          <w:sz w:val="16"/>
          <w:szCs w:val="16"/>
          <w:i w:val="1"/>
          <w:iCs w:val="1"/>
          <w:color w:val="auto"/>
        </w:rPr>
        <w:t>Optional</w:t>
      </w:r>
      <w:r>
        <w:rPr>
          <w:rFonts w:ascii="Arial" w:cs="Arial" w:eastAsia="Arial" w:hAnsi="Arial"/>
          <w:sz w:val="16"/>
          <w:szCs w:val="16"/>
          <w:color w:val="auto"/>
        </w:rPr>
        <w:t>. The Borrower may prepay in whole or in part (but, if in part, then: (A) if such Borrowing is of Base Rate Loan, in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not less than $500,000 (or </w:t>
      </w:r>
      <w:r>
        <w:rPr>
          <w:rFonts w:ascii="Arial" w:cs="Arial" w:eastAsia="Arial" w:hAnsi="Arial"/>
          <w:sz w:val="16"/>
          <w:szCs w:val="16"/>
          <w:u w:val="single" w:color="auto"/>
          <w:color w:val="0000E1"/>
        </w:rPr>
        <w:t>$100,000 with respect to Swing Loans) (or, in each case,</w:t>
      </w:r>
      <w:r>
        <w:rPr>
          <w:rFonts w:ascii="Arial" w:cs="Arial" w:eastAsia="Arial" w:hAnsi="Arial"/>
          <w:sz w:val="16"/>
          <w:szCs w:val="16"/>
          <w:color w:val="auto"/>
        </w:rPr>
        <w:t xml:space="preserve"> such lesser amount then outstanding), (B) if such Borrowing is of Eurodollar Loans, in an amount not less than $2,000,000 (or such lesser amount then outstanding) and (C) in each case, in an amount such that the minimum amount required for a Borrowing pursuant to </w:t>
      </w:r>
      <w:r>
        <w:rPr>
          <w:rFonts w:ascii="Arial" w:cs="Arial" w:eastAsia="Arial" w:hAnsi="Arial"/>
          <w:sz w:val="16"/>
          <w:szCs w:val="16"/>
          <w:u w:val="single" w:color="auto"/>
          <w:color w:val="auto"/>
        </w:rPr>
        <w:t>Section</w:t>
      </w:r>
      <w:r>
        <w:rPr>
          <w:rFonts w:ascii="Arial" w:cs="Arial" w:eastAsia="Arial" w:hAnsi="Arial"/>
          <w:sz w:val="16"/>
          <w:szCs w:val="16"/>
          <w:u w:val="single" w:color="auto"/>
          <w:color w:val="0000E1"/>
        </w:rPr>
        <w:t>s</w:t>
      </w:r>
      <w:r>
        <w:rPr>
          <w:rFonts w:ascii="Arial" w:cs="Arial" w:eastAsia="Arial" w:hAnsi="Arial"/>
          <w:sz w:val="16"/>
          <w:szCs w:val="16"/>
          <w:color w:val="auto"/>
        </w:rPr>
        <w:t xml:space="preserve"> 1.5 and </w:t>
      </w:r>
      <w:r>
        <w:rPr>
          <w:rFonts w:ascii="Arial" w:cs="Arial" w:eastAsia="Arial" w:hAnsi="Arial"/>
          <w:sz w:val="16"/>
          <w:szCs w:val="16"/>
          <w:u w:val="single" w:color="auto"/>
          <w:color w:val="auto"/>
        </w:rPr>
        <w:t>1.15</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as applicable, remains outstanding) </w:t>
      </w:r>
      <w:r>
        <w:rPr>
          <w:rFonts w:ascii="Arial" w:cs="Arial" w:eastAsia="Arial" w:hAnsi="Arial"/>
          <w:sz w:val="16"/>
          <w:szCs w:val="16"/>
          <w:color w:val="0000E1"/>
        </w:rPr>
        <w:t>(x)</w:t>
      </w:r>
      <w:r>
        <w:rPr>
          <w:rFonts w:ascii="Arial" w:cs="Arial" w:eastAsia="Arial" w:hAnsi="Arial"/>
          <w:sz w:val="16"/>
          <w:szCs w:val="16"/>
          <w:color w:val="auto"/>
        </w:rPr>
        <w:t xml:space="preserve"> any Borrowing of Eurodollar Loans at any time upon at least three (3) Business Days prior notice (in a form substantially consistent with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w:t>
      </w:r>
      <w:r>
        <w:rPr>
          <w:rFonts w:ascii="Arial" w:cs="Arial" w:eastAsia="Arial" w:hAnsi="Arial"/>
          <w:sz w:val="16"/>
          <w:szCs w:val="16"/>
          <w:color w:val="FF0000"/>
          <w:strike w:val="1"/>
        </w:rPr>
        <w:t>hereto</w:t>
      </w:r>
      <w:r>
        <w:rPr>
          <w:rFonts w:ascii="Arial" w:cs="Arial" w:eastAsia="Arial" w:hAnsi="Arial"/>
          <w:sz w:val="16"/>
          <w:szCs w:val="16"/>
          <w:color w:val="auto"/>
        </w:rPr>
        <w:t xml:space="preserve"> or otherwise reasonably acceptable to the Administrative Agent), such notice shall be irrevocable (subject to the last sentence of this paragraph) and shall be given no later than 12:00 noon (New York time) on such day by the Borrower to the Administrative Agent, </w:t>
      </w:r>
      <w:r>
        <w:rPr>
          <w:rFonts w:ascii="Arial" w:cs="Arial" w:eastAsia="Arial" w:hAnsi="Arial"/>
          <w:sz w:val="16"/>
          <w:szCs w:val="16"/>
          <w:color w:val="FF0000"/>
          <w:strike w:val="1"/>
        </w:rPr>
        <w:t>and</w:t>
      </w:r>
      <w:r>
        <w:rPr>
          <w:rFonts w:ascii="Arial" w:cs="Arial" w:eastAsia="Arial" w:hAnsi="Arial"/>
          <w:sz w:val="16"/>
          <w:szCs w:val="16"/>
          <w:u w:val="single" w:color="auto"/>
          <w:color w:val="0000E1"/>
        </w:rPr>
        <w:t>(y)</w:t>
      </w:r>
      <w:r>
        <w:rPr>
          <w:rFonts w:ascii="Arial" w:cs="Arial" w:eastAsia="Arial" w:hAnsi="Arial"/>
          <w:sz w:val="16"/>
          <w:szCs w:val="16"/>
          <w:color w:val="auto"/>
        </w:rPr>
        <w:t xml:space="preserve"> any Borrowing of Base Rate Loans </w:t>
      </w:r>
      <w:r>
        <w:rPr>
          <w:rFonts w:ascii="Arial" w:cs="Arial" w:eastAsia="Arial" w:hAnsi="Arial"/>
          <w:sz w:val="16"/>
          <w:szCs w:val="16"/>
          <w:u w:val="single" w:color="auto"/>
          <w:color w:val="0000E1"/>
        </w:rPr>
        <w:t>(other than</w:t>
      </w:r>
      <w:r>
        <w:rPr>
          <w:rFonts w:ascii="Arial" w:cs="Arial" w:eastAsia="Arial" w:hAnsi="Arial"/>
          <w:sz w:val="16"/>
          <w:szCs w:val="16"/>
          <w:color w:val="auto"/>
        </w:rPr>
        <w:t xml:space="preserve"> </w:t>
      </w:r>
      <w:r>
        <w:rPr>
          <w:rFonts w:ascii="Arial" w:cs="Arial" w:eastAsia="Arial" w:hAnsi="Arial"/>
          <w:sz w:val="16"/>
          <w:szCs w:val="16"/>
          <w:u w:val="single" w:color="auto"/>
          <w:color w:val="0000E1"/>
        </w:rPr>
        <w:t>Swing Loans)</w:t>
      </w:r>
      <w:r>
        <w:rPr>
          <w:rFonts w:ascii="Arial" w:cs="Arial" w:eastAsia="Arial" w:hAnsi="Arial"/>
          <w:sz w:val="16"/>
          <w:szCs w:val="16"/>
          <w:color w:val="0000E1"/>
        </w:rPr>
        <w:t xml:space="preserve"> </w:t>
      </w:r>
      <w:r>
        <w:rPr>
          <w:rFonts w:ascii="Arial" w:cs="Arial" w:eastAsia="Arial" w:hAnsi="Arial"/>
          <w:sz w:val="16"/>
          <w:szCs w:val="16"/>
          <w:color w:val="000000"/>
        </w:rPr>
        <w:t>at any time upon at least one (1) Business Days prior notice, such notice shall be irrevocable (subject to the last sentence of this</w:t>
      </w:r>
      <w:r>
        <w:rPr>
          <w:rFonts w:ascii="Arial" w:cs="Arial" w:eastAsia="Arial" w:hAnsi="Arial"/>
          <w:sz w:val="16"/>
          <w:szCs w:val="16"/>
          <w:color w:val="0000E1"/>
        </w:rPr>
        <w:t xml:space="preserve"> </w:t>
      </w:r>
      <w:r>
        <w:rPr>
          <w:rFonts w:ascii="Arial" w:cs="Arial" w:eastAsia="Arial" w:hAnsi="Arial"/>
          <w:sz w:val="16"/>
          <w:szCs w:val="16"/>
          <w:color w:val="000000"/>
        </w:rPr>
        <w:t xml:space="preserve">paragraph) and shall be given no later than 12:00 noon (New York time) on such day by the Borrower to the Administrative Agent, </w:t>
      </w:r>
      <w:r>
        <w:rPr>
          <w:rFonts w:ascii="Arial" w:cs="Arial" w:eastAsia="Arial" w:hAnsi="Arial"/>
          <w:sz w:val="16"/>
          <w:szCs w:val="16"/>
          <w:u w:val="single" w:color="auto"/>
          <w:color w:val="0000E1"/>
        </w:rPr>
        <w:t>and (z) any</w:t>
      </w:r>
      <w:r>
        <w:rPr>
          <w:rFonts w:ascii="Arial" w:cs="Arial" w:eastAsia="Arial" w:hAnsi="Arial"/>
          <w:sz w:val="16"/>
          <w:szCs w:val="16"/>
          <w:color w:val="000000"/>
        </w:rPr>
        <w:t xml:space="preserve"> </w:t>
      </w:r>
      <w:r>
        <w:rPr>
          <w:rFonts w:ascii="Arial" w:cs="Arial" w:eastAsia="Arial" w:hAnsi="Arial"/>
          <w:sz w:val="16"/>
          <w:szCs w:val="16"/>
          <w:u w:val="single" w:color="auto"/>
          <w:color w:val="0000E1"/>
        </w:rPr>
        <w:t>Borrowing of Swing Loans at any time upon prior notice, such notice shall be irrevocable (subject to the last sentence of this paragraph) and shall be given no later than 1:00 p.m. (New York time) on the day of such prepayment by the Borrower to the Administrative Agent,</w:t>
      </w:r>
      <w:r>
        <w:rPr>
          <w:rFonts w:ascii="Arial" w:cs="Arial" w:eastAsia="Arial" w:hAnsi="Arial"/>
          <w:sz w:val="16"/>
          <w:szCs w:val="16"/>
          <w:color w:val="0000E1"/>
        </w:rPr>
        <w:t xml:space="preserve"> </w:t>
      </w:r>
      <w:r>
        <w:rPr>
          <w:rFonts w:ascii="Arial" w:cs="Arial" w:eastAsia="Arial" w:hAnsi="Arial"/>
          <w:sz w:val="16"/>
          <w:szCs w:val="16"/>
          <w:color w:val="000000"/>
        </w:rPr>
        <w:t>such prepayment to be</w:t>
      </w:r>
      <w:r>
        <w:rPr>
          <w:rFonts w:ascii="Arial" w:cs="Arial" w:eastAsia="Arial" w:hAnsi="Arial"/>
          <w:sz w:val="16"/>
          <w:szCs w:val="16"/>
          <w:color w:val="0000E1"/>
        </w:rPr>
        <w:t xml:space="preserve"> </w:t>
      </w:r>
      <w:r>
        <w:rPr>
          <w:rFonts w:ascii="Arial" w:cs="Arial" w:eastAsia="Arial" w:hAnsi="Arial"/>
          <w:sz w:val="16"/>
          <w:szCs w:val="16"/>
          <w:color w:val="000000"/>
        </w:rPr>
        <w:t xml:space="preserve">made by the payment of the principal amount to be prepaid and, in the case of the Term Loans or Eurodollar Loans or Swing Loans, accrued interest thereon to the date fixed for prepayment </w:t>
      </w:r>
      <w:r>
        <w:rPr>
          <w:rFonts w:ascii="Arial" w:cs="Arial" w:eastAsia="Arial" w:hAnsi="Arial"/>
          <w:sz w:val="16"/>
          <w:szCs w:val="16"/>
          <w:i w:val="1"/>
          <w:iCs w:val="1"/>
          <w:color w:val="000000"/>
        </w:rPr>
        <w:t>plus</w:t>
      </w:r>
      <w:r>
        <w:rPr>
          <w:rFonts w:ascii="Arial" w:cs="Arial" w:eastAsia="Arial" w:hAnsi="Arial"/>
          <w:sz w:val="16"/>
          <w:szCs w:val="16"/>
          <w:color w:val="000000"/>
        </w:rPr>
        <w:t xml:space="preserve"> any amounts due the Lenders under </w:t>
      </w:r>
      <w:r>
        <w:rPr>
          <w:rFonts w:ascii="Arial" w:cs="Arial" w:eastAsia="Arial" w:hAnsi="Arial"/>
          <w:sz w:val="16"/>
          <w:szCs w:val="16"/>
          <w:u w:val="single" w:color="auto"/>
          <w:color w:val="000000"/>
        </w:rPr>
        <w:t>Section 1.12</w:t>
      </w:r>
      <w:r>
        <w:rPr>
          <w:rFonts w:ascii="Arial" w:cs="Arial" w:eastAsia="Arial" w:hAnsi="Arial"/>
          <w:sz w:val="16"/>
          <w:szCs w:val="16"/>
          <w:color w:val="000000"/>
        </w:rPr>
        <w:t xml:space="preserve"> </w:t>
      </w:r>
      <w:r>
        <w:rPr>
          <w:rFonts w:ascii="Arial" w:cs="Arial" w:eastAsia="Arial" w:hAnsi="Arial"/>
          <w:sz w:val="16"/>
          <w:szCs w:val="16"/>
          <w:color w:val="FF0000"/>
          <w:strike w:val="1"/>
        </w:rPr>
        <w:t>hereof</w:t>
      </w:r>
      <w:r>
        <w:rPr>
          <w:rFonts w:ascii="Arial" w:cs="Arial" w:eastAsia="Arial" w:hAnsi="Arial"/>
          <w:sz w:val="16"/>
          <w:szCs w:val="16"/>
          <w:color w:val="000000"/>
        </w:rPr>
        <w:t>. Notwithstanding anything to the contrary contained in this Agreeme</w:t>
      </w:r>
      <w:r>
        <w:rPr>
          <w:rFonts w:ascii="Arial" w:cs="Arial" w:eastAsia="Arial" w:hAnsi="Arial"/>
          <w:sz w:val="16"/>
          <w:szCs w:val="16"/>
          <w:color w:val="FF0000"/>
          <w:strike w:val="1"/>
        </w:rPr>
        <w:t>f</w:t>
      </w:r>
      <w:r>
        <w:rPr>
          <w:rFonts w:ascii="Arial" w:cs="Arial" w:eastAsia="Arial" w:hAnsi="Arial"/>
          <w:sz w:val="16"/>
          <w:szCs w:val="16"/>
          <w:color w:val="000000"/>
        </w:rPr>
        <w:t xml:space="preserve">nt, the Borrower may rescind any notice of prepayment under this </w:t>
      </w:r>
      <w:r>
        <w:rPr>
          <w:rFonts w:ascii="Arial" w:cs="Arial" w:eastAsia="Arial" w:hAnsi="Arial"/>
          <w:sz w:val="16"/>
          <w:szCs w:val="16"/>
          <w:u w:val="single" w:color="auto"/>
          <w:color w:val="000000"/>
        </w:rPr>
        <w:t>Section 1.9(a)</w:t>
      </w:r>
      <w:r>
        <w:rPr>
          <w:rFonts w:ascii="Arial" w:cs="Arial" w:eastAsia="Arial" w:hAnsi="Arial"/>
          <w:sz w:val="16"/>
          <w:szCs w:val="16"/>
          <w:color w:val="000000"/>
        </w:rPr>
        <w:t xml:space="preserve"> if such prepayment would have resulted from transactions, which transactions shall not be consummated or shall otherwise be delayed.</w:t>
      </w:r>
    </w:p>
    <w:p>
      <w:pPr>
        <w:spacing w:after="0" w:line="275" w:lineRule="exact"/>
        <w:rPr>
          <w:rFonts w:ascii="Arial" w:cs="Arial" w:eastAsia="Arial" w:hAnsi="Arial"/>
          <w:sz w:val="16"/>
          <w:szCs w:val="16"/>
          <w:u w:val="single" w:color="auto"/>
          <w:color w:val="0000E1"/>
        </w:rPr>
      </w:pPr>
    </w:p>
    <w:p>
      <w:pPr>
        <w:ind w:left="1420" w:hanging="433"/>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i w:val="1"/>
          <w:iCs w:val="1"/>
          <w:u w:val="single" w:color="auto"/>
          <w:color w:val="0000E1"/>
        </w:rPr>
        <w:t>Mandatory</w:t>
      </w:r>
      <w:r>
        <w:rPr>
          <w:rFonts w:ascii="Arial" w:cs="Arial" w:eastAsia="Arial" w:hAnsi="Arial"/>
          <w:sz w:val="18"/>
          <w:szCs w:val="18"/>
          <w:u w:val="single" w:color="auto"/>
          <w:color w:val="0000E1"/>
        </w:rPr>
        <w:t>.</w:t>
      </w:r>
    </w:p>
    <w:p>
      <w:pPr>
        <w:spacing w:after="0" w:line="117" w:lineRule="exact"/>
        <w:rPr>
          <w:rFonts w:ascii="Arial" w:cs="Arial" w:eastAsia="Arial" w:hAnsi="Arial"/>
          <w:sz w:val="18"/>
          <w:szCs w:val="18"/>
          <w:color w:val="auto"/>
        </w:rPr>
      </w:pPr>
    </w:p>
    <w:p>
      <w:pPr>
        <w:jc w:val="both"/>
        <w:ind w:right="100" w:firstLine="1428"/>
        <w:spacing w:after="0" w:line="259" w:lineRule="auto"/>
        <w:tabs>
          <w:tab w:leader="none" w:pos="1872" w:val="left"/>
        </w:tabs>
        <w:numPr>
          <w:ilvl w:val="1"/>
          <w:numId w:val="70"/>
        </w:numPr>
        <w:rPr>
          <w:rFonts w:ascii="Arial" w:cs="Arial" w:eastAsia="Arial" w:hAnsi="Arial"/>
          <w:sz w:val="18"/>
          <w:szCs w:val="18"/>
          <w:u w:val="single" w:color="auto"/>
          <w:color w:val="0000E1"/>
        </w:rPr>
      </w:pPr>
      <w:r>
        <w:rPr>
          <w:rFonts w:ascii="Arial" w:cs="Arial" w:eastAsia="Arial" w:hAnsi="Arial"/>
          <w:sz w:val="18"/>
          <w:szCs w:val="18"/>
          <w:i w:val="1"/>
          <w:iCs w:val="1"/>
          <w:color w:val="FF0000"/>
          <w:strike w:val="1"/>
        </w:rPr>
        <w:t>Mandatory.</w:t>
      </w:r>
      <w:r>
        <w:rPr>
          <w:rFonts w:ascii="Arial" w:cs="Arial" w:eastAsia="Arial" w:hAnsi="Arial"/>
          <w:sz w:val="18"/>
          <w:szCs w:val="18"/>
          <w:i w:val="1"/>
          <w:iCs w:val="1"/>
          <w:color w:val="FF0000"/>
        </w:rPr>
        <w:t xml:space="preserve"> </w:t>
      </w:r>
      <w:r>
        <w:rPr>
          <w:rFonts w:ascii="Arial" w:cs="Arial" w:eastAsia="Arial" w:hAnsi="Arial"/>
          <w:sz w:val="18"/>
          <w:szCs w:val="18"/>
          <w:color w:val="FF0000"/>
          <w:strike w:val="1"/>
        </w:rPr>
        <w:t>(i)</w:t>
      </w:r>
      <w:r>
        <w:rPr>
          <w:rFonts w:ascii="Arial" w:cs="Arial" w:eastAsia="Arial" w:hAnsi="Arial"/>
          <w:sz w:val="18"/>
          <w:szCs w:val="18"/>
          <w:i w:val="1"/>
          <w:iCs w:val="1"/>
          <w:color w:val="FF0000"/>
        </w:rPr>
        <w:t xml:space="preserve"> </w:t>
      </w:r>
      <w:r>
        <w:rPr>
          <w:rFonts w:ascii="Arial" w:cs="Arial" w:eastAsia="Arial" w:hAnsi="Arial"/>
          <w:sz w:val="18"/>
          <w:szCs w:val="18"/>
          <w:color w:val="000000"/>
        </w:rPr>
        <w:t>If the Borrower or any Restricted Subsidiary shall at any time or from time to time make a Disposition (other</w:t>
      </w:r>
      <w:r>
        <w:rPr>
          <w:rFonts w:ascii="Arial" w:cs="Arial" w:eastAsia="Arial" w:hAnsi="Arial"/>
          <w:sz w:val="18"/>
          <w:szCs w:val="18"/>
          <w:i w:val="1"/>
          <w:iCs w:val="1"/>
          <w:color w:val="FF0000"/>
        </w:rPr>
        <w:t xml:space="preserve"> </w:t>
      </w:r>
      <w:r>
        <w:rPr>
          <w:rFonts w:ascii="Arial" w:cs="Arial" w:eastAsia="Arial" w:hAnsi="Arial"/>
          <w:sz w:val="18"/>
          <w:szCs w:val="18"/>
          <w:color w:val="000000"/>
        </w:rPr>
        <w:t xml:space="preserve">than a Sale/Leaseback Transaction with respect to a Principal Owned Property which shall be subject to </w:t>
      </w:r>
      <w:r>
        <w:rPr>
          <w:rFonts w:ascii="Arial" w:cs="Arial" w:eastAsia="Arial" w:hAnsi="Arial"/>
          <w:sz w:val="18"/>
          <w:szCs w:val="18"/>
          <w:u w:val="single" w:color="auto"/>
          <w:color w:val="000000"/>
        </w:rPr>
        <w:t>subsection (iii)</w:t>
      </w:r>
      <w:r>
        <w:rPr>
          <w:rFonts w:ascii="Arial" w:cs="Arial" w:eastAsia="Arial" w:hAnsi="Arial"/>
          <w:sz w:val="18"/>
          <w:szCs w:val="18"/>
          <w:color w:val="000000"/>
        </w:rPr>
        <w:t xml:space="preserve"> below) or shall suffer an Event of Loss, then the Borrower shall promptly notify the Administrative Agent of such Disposition or Event of Loss (including the amount of the estimated Net Cash Proceeds to be received by the Borrower or any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-2880995</wp:posOffset>
            </wp:positionV>
            <wp:extent cx="12890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-2957830</wp:posOffset>
            </wp:positionV>
            <wp:extent cx="2857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-2743835</wp:posOffset>
            </wp:positionV>
            <wp:extent cx="259715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-2469515</wp:posOffset>
            </wp:positionV>
            <wp:extent cx="431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-2503805</wp:posOffset>
            </wp:positionV>
            <wp:extent cx="17145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5526405</wp:posOffset>
            </wp:positionH>
            <wp:positionV relativeFrom="paragraph">
              <wp:posOffset>-2469515</wp:posOffset>
            </wp:positionV>
            <wp:extent cx="1625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5524500</wp:posOffset>
            </wp:positionH>
            <wp:positionV relativeFrom="paragraph">
              <wp:posOffset>-2503805</wp:posOffset>
            </wp:positionV>
            <wp:extent cx="1619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-2058035</wp:posOffset>
            </wp:positionV>
            <wp:extent cx="1289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-2058035</wp:posOffset>
            </wp:positionV>
            <wp:extent cx="49720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-1920875</wp:posOffset>
            </wp:positionV>
            <wp:extent cx="63436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6015355</wp:posOffset>
            </wp:positionH>
            <wp:positionV relativeFrom="paragraph">
              <wp:posOffset>-1783715</wp:posOffset>
            </wp:positionV>
            <wp:extent cx="51435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-1646555</wp:posOffset>
            </wp:positionV>
            <wp:extent cx="679767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-1509395</wp:posOffset>
            </wp:positionV>
            <wp:extent cx="566610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-617855</wp:posOffset>
            </wp:positionV>
            <wp:extent cx="53149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-412115</wp:posOffset>
            </wp:positionV>
            <wp:extent cx="1117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75" w:name="page76"/>
    <w:bookmarkEnd w:id="75"/>
    <w:p>
      <w:pPr>
        <w:ind w:left="4"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Subsidiary in respect thereof) and, within five </w:t>
      </w:r>
      <w:r>
        <w:rPr>
          <w:rFonts w:ascii="Arial" w:cs="Arial" w:eastAsia="Arial" w:hAnsi="Arial"/>
          <w:sz w:val="16"/>
          <w:szCs w:val="16"/>
          <w:u w:val="single" w:color="auto"/>
          <w:color w:val="0000E1"/>
        </w:rPr>
        <w:t>(5)</w:t>
      </w:r>
      <w:r>
        <w:rPr>
          <w:rFonts w:ascii="Arial" w:cs="Arial" w:eastAsia="Arial" w:hAnsi="Arial"/>
          <w:sz w:val="16"/>
          <w:szCs w:val="16"/>
          <w:color w:val="auto"/>
        </w:rPr>
        <w:t xml:space="preserve"> Business Days after the receipt of such Net Cash Proceeds, the Borrower shall prepay the relevant Term Loans in an aggregate amount equal to 100% of the amount of all such Net Cash Proceeds;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subsection shall not require any such prepayment with respect to Net Cash Proceeds (</w:t>
      </w:r>
      <w:r>
        <w:rPr>
          <w:rFonts w:ascii="Arial" w:cs="Arial" w:eastAsia="Arial" w:hAnsi="Arial"/>
          <w:sz w:val="16"/>
          <w:szCs w:val="16"/>
          <w:color w:val="FF0000"/>
          <w:strike w:val="1"/>
        </w:rPr>
        <w:t>y</w:t>
      </w:r>
      <w:r>
        <w:rPr>
          <w:rFonts w:ascii="Arial" w:cs="Arial" w:eastAsia="Arial" w:hAnsi="Arial"/>
          <w:sz w:val="16"/>
          <w:szCs w:val="16"/>
          <w:u w:val="single" w:color="auto"/>
          <w:color w:val="0000E1"/>
        </w:rPr>
        <w:t>x</w:t>
      </w:r>
      <w:r>
        <w:rPr>
          <w:rFonts w:ascii="Arial" w:cs="Arial" w:eastAsia="Arial" w:hAnsi="Arial"/>
          <w:sz w:val="16"/>
          <w:szCs w:val="16"/>
          <w:color w:val="auto"/>
        </w:rPr>
        <w:t>) received on account of Dispositions during any Fiscal Year of the Borrower not exceeding $2,500,000 in the aggregate or received on account of Events of Loss during any Fiscal Year of the Borrower not exceeding $2,500,000 in the aggregate and (</w:t>
      </w:r>
      <w:r>
        <w:rPr>
          <w:rFonts w:ascii="Arial" w:cs="Arial" w:eastAsia="Arial" w:hAnsi="Arial"/>
          <w:sz w:val="16"/>
          <w:szCs w:val="16"/>
          <w:color w:val="FF0000"/>
          <w:strike w:val="1"/>
        </w:rPr>
        <w:t>z</w:t>
      </w:r>
      <w:r>
        <w:rPr>
          <w:rFonts w:ascii="Arial" w:cs="Arial" w:eastAsia="Arial" w:hAnsi="Arial"/>
          <w:sz w:val="16"/>
          <w:szCs w:val="16"/>
          <w:u w:val="single" w:color="auto"/>
          <w:color w:val="0000E1"/>
        </w:rPr>
        <w:t>y</w:t>
      </w:r>
      <w:r>
        <w:rPr>
          <w:rFonts w:ascii="Arial" w:cs="Arial" w:eastAsia="Arial" w:hAnsi="Arial"/>
          <w:sz w:val="16"/>
          <w:szCs w:val="16"/>
          <w:color w:val="auto"/>
        </w:rPr>
        <w:t xml:space="preserve">) </w:t>
      </w:r>
      <w:r>
        <w:rPr>
          <w:rFonts w:ascii="Arial" w:cs="Arial" w:eastAsia="Arial" w:hAnsi="Arial"/>
          <w:sz w:val="16"/>
          <w:szCs w:val="16"/>
          <w:u w:val="single" w:color="auto"/>
          <w:color w:val="0000E1"/>
        </w:rPr>
        <w:t>other than during the Basket Suspension Period,</w:t>
      </w:r>
      <w:r>
        <w:rPr>
          <w:rFonts w:ascii="Arial" w:cs="Arial" w:eastAsia="Arial" w:hAnsi="Arial"/>
          <w:sz w:val="16"/>
          <w:szCs w:val="16"/>
          <w:color w:val="auto"/>
        </w:rPr>
        <w:t xml:space="preserve"> in the case of any Disposition or Event of Loss not covered by </w:t>
      </w:r>
      <w:r>
        <w:rPr>
          <w:rFonts w:ascii="Arial" w:cs="Arial" w:eastAsia="Arial" w:hAnsi="Arial"/>
          <w:sz w:val="16"/>
          <w:szCs w:val="16"/>
          <w:u w:val="single" w:color="auto"/>
          <w:color w:val="auto"/>
        </w:rPr>
        <w:t>clause (</w:t>
      </w:r>
      <w:r>
        <w:rPr>
          <w:rFonts w:ascii="Arial" w:cs="Arial" w:eastAsia="Arial" w:hAnsi="Arial"/>
          <w:sz w:val="16"/>
          <w:szCs w:val="16"/>
          <w:color w:val="FF0000"/>
          <w:strike w:val="1"/>
        </w:rPr>
        <w:t>y</w:t>
      </w:r>
      <w:r>
        <w:rPr>
          <w:rFonts w:ascii="Arial" w:cs="Arial" w:eastAsia="Arial" w:hAnsi="Arial"/>
          <w:sz w:val="16"/>
          <w:szCs w:val="16"/>
          <w:u w:val="single" w:color="auto"/>
          <w:color w:val="0000E1"/>
        </w:rPr>
        <w:t>x</w:t>
      </w:r>
      <w:r>
        <w:rPr>
          <w:rFonts w:ascii="Arial" w:cs="Arial" w:eastAsia="Arial" w:hAnsi="Arial"/>
          <w:sz w:val="16"/>
          <w:szCs w:val="16"/>
          <w:u w:val="single" w:color="auto"/>
          <w:color w:val="auto"/>
        </w:rPr>
        <w:t>)</w:t>
      </w:r>
      <w:r>
        <w:rPr>
          <w:rFonts w:ascii="Arial" w:cs="Arial" w:eastAsia="Arial" w:hAnsi="Arial"/>
          <w:sz w:val="16"/>
          <w:szCs w:val="16"/>
          <w:color w:val="auto"/>
        </w:rPr>
        <w:t xml:space="preserve"> above, so long as no Event of Default has occurred and is continuing, if the Borrower (A) actually reinvests such Net Cash Proceeds, within 12 months of the receipt thereof, in assets that perform the same or similar function for the Borrower or a Restricted Subsidiary, to the extent such Net Cash Proceeds are actually reinvested in such assets or (B) states in a notice delivered within 12 months of the receipt of such Net Cash Proceeds, that the Borrower or a Restricted Subsidiary has committed to reinvest such Net Cash Proceeds in assets that perform the same or similar function in the business of the Borrower or a Restricted Subsidiary, to the extent such Net Cash Proceeds are actually reinvested in such assets within 18 months following the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2125980</wp:posOffset>
            </wp:positionH>
            <wp:positionV relativeFrom="paragraph">
              <wp:posOffset>-1222375</wp:posOffset>
            </wp:positionV>
            <wp:extent cx="1371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-948055</wp:posOffset>
            </wp:positionV>
            <wp:extent cx="596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-673735</wp:posOffset>
            </wp:positionV>
            <wp:extent cx="23228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322830" cy="8255"/>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-673735</wp:posOffset>
            </wp:positionV>
            <wp:extent cx="514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ind w:left="4"/>
        <w:spacing w:after="0" w:line="253" w:lineRule="auto"/>
        <w:rPr>
          <w:sz w:val="20"/>
          <w:szCs w:val="20"/>
          <w:color w:val="auto"/>
        </w:rPr>
      </w:pPr>
      <w:r>
        <w:rPr>
          <w:rFonts w:ascii="Arial" w:cs="Arial" w:eastAsia="Arial" w:hAnsi="Arial"/>
          <w:sz w:val="18"/>
          <w:szCs w:val="18"/>
          <w:color w:val="auto"/>
        </w:rPr>
        <w:t xml:space="preserve">thereof. Promptly after the end of such 12-month or 18-month period, as applicable, the Borrower shall notify the Administrative Agent whether the Borrower or a Restricted Subsidiary has reinvested such Net Cash Proceeds in such assets, and, to the extent such Net Cash Proceeds have not been so reinvested, the Borrower shall promptly prepay the relevant Term Loans in the amount of such Net Cash Proceeds in excess of the applicable $2,500,000 basket described above not so reinvested. The amount of each such prepayment shall be applied to the relevant outstanding Term Loans in accordance with this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until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-212090</wp:posOffset>
            </wp:positionV>
            <wp:extent cx="2857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1" w:lineRule="exact"/>
        <w:rPr>
          <w:sz w:val="20"/>
          <w:szCs w:val="20"/>
          <w:color w:val="auto"/>
        </w:rPr>
      </w:pPr>
    </w:p>
    <w:p>
      <w:pPr>
        <w:ind w:left="4" w:right="40" w:firstLine="1428"/>
        <w:spacing w:after="0" w:line="272" w:lineRule="auto"/>
        <w:tabs>
          <w:tab w:leader="none" w:pos="1836"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If after the Closing Date the Borrower or any Restricted Subsidiary shall issue or incur any Indebtedness for Borrowed Money, other than Indebtedness for Borrowed Money permitted by </w:t>
      </w: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w:t>
      </w:r>
      <w:r>
        <w:rPr>
          <w:rFonts w:ascii="Arial" w:cs="Arial" w:eastAsia="Arial" w:hAnsi="Arial"/>
          <w:sz w:val="17"/>
          <w:szCs w:val="17"/>
          <w:color w:val="FF0000"/>
          <w:strike w:val="1"/>
        </w:rPr>
        <w:t>hereof</w:t>
      </w:r>
      <w:r>
        <w:rPr>
          <w:rFonts w:ascii="Arial" w:cs="Arial" w:eastAsia="Arial" w:hAnsi="Arial"/>
          <w:sz w:val="17"/>
          <w:szCs w:val="17"/>
          <w:color w:val="auto"/>
        </w:rPr>
        <w:t xml:space="preserve"> (including Indebtedness issued or incurred under </w:t>
      </w:r>
      <w:r>
        <w:rPr>
          <w:rFonts w:ascii="Arial" w:cs="Arial" w:eastAsia="Arial" w:hAnsi="Arial"/>
          <w:sz w:val="17"/>
          <w:szCs w:val="17"/>
          <w:u w:val="single" w:color="auto"/>
          <w:color w:val="auto"/>
        </w:rPr>
        <w:t>Sections 1.16</w:t>
      </w:r>
      <w:r>
        <w:rPr>
          <w:rFonts w:ascii="Arial" w:cs="Arial" w:eastAsia="Arial" w:hAnsi="Arial"/>
          <w:sz w:val="17"/>
          <w:szCs w:val="17"/>
          <w:color w:val="auto"/>
        </w:rPr>
        <w:t xml:space="preserve">, </w:t>
      </w:r>
      <w:r>
        <w:rPr>
          <w:rFonts w:ascii="Arial" w:cs="Arial" w:eastAsia="Arial" w:hAnsi="Arial"/>
          <w:sz w:val="17"/>
          <w:szCs w:val="17"/>
          <w:u w:val="single" w:color="auto"/>
          <w:color w:val="auto"/>
        </w:rPr>
        <w:t>1.18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1.19</w:t>
      </w:r>
      <w:r>
        <w:rPr>
          <w:rFonts w:ascii="Arial" w:cs="Arial" w:eastAsia="Arial" w:hAnsi="Arial"/>
          <w:sz w:val="17"/>
          <w:szCs w:val="17"/>
          <w:color w:val="auto"/>
        </w:rPr>
        <w:t xml:space="preserve"> (but excluding </w:t>
      </w:r>
      <w:r>
        <w:rPr>
          <w:rFonts w:ascii="Arial" w:cs="Arial" w:eastAsia="Arial" w:hAnsi="Arial"/>
          <w:sz w:val="17"/>
          <w:szCs w:val="17"/>
          <w:u w:val="single" w:color="auto"/>
          <w:color w:val="auto"/>
        </w:rPr>
        <w:t>Section 1.20</w:t>
      </w:r>
      <w:r>
        <w:rPr>
          <w:rFonts w:ascii="Arial" w:cs="Arial" w:eastAsia="Arial" w:hAnsi="Arial"/>
          <w:sz w:val="17"/>
          <w:szCs w:val="17"/>
          <w:color w:val="auto"/>
        </w:rPr>
        <w:t xml:space="preserve"> or any Indebtedness incurred as a Permitted Refinancing of all or a portion of existing Term Loans of any Class)), the Borrower shall promptly notify the Administrative Agent of the estimated Net Cash Proceeds of such issuance or incurrence. Within five </w:t>
      </w:r>
      <w:r>
        <w:rPr>
          <w:rFonts w:ascii="Arial" w:cs="Arial" w:eastAsia="Arial" w:hAnsi="Arial"/>
          <w:sz w:val="17"/>
          <w:szCs w:val="17"/>
          <w:u w:val="single" w:color="auto"/>
          <w:color w:val="0000E1"/>
        </w:rPr>
        <w:t>(5)</w:t>
      </w:r>
      <w:r>
        <w:rPr>
          <w:rFonts w:ascii="Arial" w:cs="Arial" w:eastAsia="Arial" w:hAnsi="Arial"/>
          <w:sz w:val="17"/>
          <w:szCs w:val="17"/>
          <w:color w:val="auto"/>
        </w:rPr>
        <w:t xml:space="preserve"> Business Days after receipt thereof, 100% of such Net Cash Proceeds shall be applied by the Borrower to prepay the relevant Term Loans in accordance with this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until paid in full. The Borrower acknowledges that its performance hereunder shall not limit the rights and remedies of the Lenders for any breach of </w:t>
      </w: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w:t>
      </w:r>
      <w:r>
        <w:rPr>
          <w:rFonts w:ascii="Arial" w:cs="Arial" w:eastAsia="Arial" w:hAnsi="Arial"/>
          <w:sz w:val="17"/>
          <w:szCs w:val="17"/>
          <w:color w:val="FF0000"/>
          <w:strike w:val="1"/>
        </w:rPr>
        <w:t>hereof</w:t>
      </w:r>
      <w:r>
        <w:rPr>
          <w:rFonts w:ascii="Arial" w:cs="Arial" w:eastAsia="Arial" w:hAnsi="Arial"/>
          <w:sz w:val="17"/>
          <w:szCs w:val="17"/>
          <w:color w:val="auto"/>
        </w:rPr>
        <w:t xml:space="preserve"> or any other terms of the Loan Documents.</w:t>
      </w:r>
    </w:p>
    <w:p>
      <w:pPr>
        <w:spacing w:after="0" w:line="177" w:lineRule="exact"/>
        <w:rPr>
          <w:rFonts w:ascii="Arial" w:cs="Arial" w:eastAsia="Arial" w:hAnsi="Arial"/>
          <w:sz w:val="17"/>
          <w:szCs w:val="17"/>
          <w:color w:val="auto"/>
        </w:rPr>
      </w:pPr>
    </w:p>
    <w:p>
      <w:pPr>
        <w:ind w:left="4" w:firstLine="1428"/>
        <w:spacing w:after="0" w:line="283" w:lineRule="auto"/>
        <w:tabs>
          <w:tab w:leader="none" w:pos="1886" w:val="left"/>
        </w:tabs>
        <w:numPr>
          <w:ilvl w:val="1"/>
          <w:numId w:val="71"/>
        </w:numPr>
        <w:rPr>
          <w:rFonts w:ascii="Arial" w:cs="Arial" w:eastAsia="Arial" w:hAnsi="Arial"/>
          <w:sz w:val="16"/>
          <w:szCs w:val="16"/>
          <w:color w:val="auto"/>
        </w:rPr>
      </w:pPr>
      <w:r>
        <w:rPr>
          <w:rFonts w:ascii="Arial" w:cs="Arial" w:eastAsia="Arial" w:hAnsi="Arial"/>
          <w:sz w:val="16"/>
          <w:szCs w:val="16"/>
          <w:color w:val="auto"/>
        </w:rPr>
        <w:t>If the Borrower or any Restricted Subsidiary shall at any time or from time to time enter into a Sale/Leaseback Transaction with respect to a Principal Owned Property or sell the Equity Interests issued by a Principal Owned Property Holdco and thereafter lease the Principal Owned Property owned by such Principal Owned Property Holdco</w:t>
      </w:r>
      <w:r>
        <w:rPr>
          <w:rFonts w:ascii="Arial" w:cs="Arial" w:eastAsia="Arial" w:hAnsi="Arial"/>
          <w:sz w:val="16"/>
          <w:szCs w:val="16"/>
          <w:u w:val="single" w:color="auto"/>
          <w:color w:val="0000E1"/>
        </w:rPr>
        <w:t>, other than any such transaction with respect to one or more Specified</w:t>
      </w:r>
      <w:r>
        <w:rPr>
          <w:rFonts w:ascii="Arial" w:cs="Arial" w:eastAsia="Arial" w:hAnsi="Arial"/>
          <w:sz w:val="16"/>
          <w:szCs w:val="16"/>
          <w:color w:val="auto"/>
        </w:rPr>
        <w:t xml:space="preserve"> </w:t>
      </w:r>
      <w:r>
        <w:rPr>
          <w:rFonts w:ascii="Arial" w:cs="Arial" w:eastAsia="Arial" w:hAnsi="Arial"/>
          <w:sz w:val="16"/>
          <w:szCs w:val="16"/>
          <w:u w:val="single" w:color="auto"/>
          <w:color w:val="0000E1"/>
        </w:rPr>
        <w:t>Sale/Leaseback Properties during the Basket Suspension Period</w:t>
      </w:r>
      <w:r>
        <w:rPr>
          <w:rFonts w:ascii="Arial" w:cs="Arial" w:eastAsia="Arial" w:hAnsi="Arial"/>
          <w:sz w:val="16"/>
          <w:szCs w:val="16"/>
          <w:color w:val="0000E1"/>
        </w:rPr>
        <w:t xml:space="preserve"> </w:t>
      </w:r>
      <w:r>
        <w:rPr>
          <w:rFonts w:ascii="Arial" w:cs="Arial" w:eastAsia="Arial" w:hAnsi="Arial"/>
          <w:sz w:val="16"/>
          <w:szCs w:val="16"/>
          <w:color w:val="000000"/>
        </w:rPr>
        <w:t>(such transaction also referred to herein as a “</w:t>
      </w:r>
      <w:r>
        <w:rPr>
          <w:rFonts w:ascii="Arial" w:cs="Arial" w:eastAsia="Arial" w:hAnsi="Arial"/>
          <w:sz w:val="16"/>
          <w:szCs w:val="16"/>
          <w:i w:val="1"/>
          <w:iCs w:val="1"/>
          <w:u w:val="single" w:color="auto"/>
          <w:color w:val="0000E1"/>
        </w:rPr>
        <w:t>Prepayment</w:t>
      </w:r>
      <w:r>
        <w:rPr>
          <w:rFonts w:ascii="Arial" w:cs="Arial" w:eastAsia="Arial" w:hAnsi="Arial"/>
          <w:sz w:val="16"/>
          <w:szCs w:val="16"/>
          <w:color w:val="0000E1"/>
        </w:rPr>
        <w:t xml:space="preserve"> </w:t>
      </w:r>
      <w:r>
        <w:rPr>
          <w:rFonts w:ascii="Arial" w:cs="Arial" w:eastAsia="Arial" w:hAnsi="Arial"/>
          <w:sz w:val="16"/>
          <w:szCs w:val="16"/>
          <w:i w:val="1"/>
          <w:iCs w:val="1"/>
          <w:color w:val="000000"/>
        </w:rPr>
        <w:t>Sale/Leaseback</w:t>
      </w:r>
      <w:r>
        <w:rPr>
          <w:rFonts w:ascii="Arial" w:cs="Arial" w:eastAsia="Arial" w:hAnsi="Arial"/>
          <w:sz w:val="16"/>
          <w:szCs w:val="16"/>
          <w:color w:val="0000E1"/>
        </w:rPr>
        <w:t xml:space="preserve"> </w:t>
      </w:r>
      <w:r>
        <w:rPr>
          <w:rFonts w:ascii="Arial" w:cs="Arial" w:eastAsia="Arial" w:hAnsi="Arial"/>
          <w:sz w:val="16"/>
          <w:szCs w:val="16"/>
          <w:i w:val="1"/>
          <w:iCs w:val="1"/>
          <w:color w:val="000000"/>
        </w:rPr>
        <w:t>Transaction</w:t>
      </w:r>
      <w:r>
        <w:rPr>
          <w:rFonts w:ascii="Arial" w:cs="Arial" w:eastAsia="Arial" w:hAnsi="Arial"/>
          <w:sz w:val="16"/>
          <w:szCs w:val="16"/>
          <w:color w:val="000000"/>
        </w:rPr>
        <w:t>”), in either case when the Total Leverage Ratio on a Pro-Forma Basis giving effect to such</w:t>
      </w:r>
      <w:r>
        <w:rPr>
          <w:rFonts w:ascii="Arial" w:cs="Arial" w:eastAsia="Arial" w:hAnsi="Arial"/>
          <w:sz w:val="16"/>
          <w:szCs w:val="16"/>
          <w:i w:val="1"/>
          <w:iCs w:val="1"/>
          <w:color w:val="000000"/>
        </w:rPr>
        <w:t xml:space="preserve"> </w:t>
      </w:r>
      <w:r>
        <w:rPr>
          <w:rFonts w:ascii="Arial" w:cs="Arial" w:eastAsia="Arial" w:hAnsi="Arial"/>
          <w:sz w:val="16"/>
          <w:szCs w:val="16"/>
          <w:u w:val="single" w:color="auto"/>
          <w:color w:val="0000E1"/>
        </w:rPr>
        <w:t>Prepayment</w:t>
      </w:r>
      <w:r>
        <w:rPr>
          <w:rFonts w:ascii="Arial" w:cs="Arial" w:eastAsia="Arial" w:hAnsi="Arial"/>
          <w:sz w:val="16"/>
          <w:szCs w:val="16"/>
          <w:i w:val="1"/>
          <w:iCs w:val="1"/>
          <w:color w:val="000000"/>
        </w:rPr>
        <w:t xml:space="preserve"> </w:t>
      </w:r>
      <w:r>
        <w:rPr>
          <w:rFonts w:ascii="Arial" w:cs="Arial" w:eastAsia="Arial" w:hAnsi="Arial"/>
          <w:sz w:val="16"/>
          <w:szCs w:val="16"/>
          <w:color w:val="000000"/>
        </w:rPr>
        <w:t>Sale/Leaseback Transaction and the</w:t>
      </w:r>
      <w:r>
        <w:rPr>
          <w:rFonts w:ascii="Arial" w:cs="Arial" w:eastAsia="Arial" w:hAnsi="Arial"/>
          <w:sz w:val="16"/>
          <w:szCs w:val="16"/>
          <w:i w:val="1"/>
          <w:iCs w:val="1"/>
          <w:color w:val="000000"/>
        </w:rPr>
        <w:t xml:space="preserve"> </w:t>
      </w:r>
      <w:r>
        <w:rPr>
          <w:rFonts w:ascii="Arial" w:cs="Arial" w:eastAsia="Arial" w:hAnsi="Arial"/>
          <w:sz w:val="16"/>
          <w:szCs w:val="16"/>
          <w:color w:val="000000"/>
        </w:rPr>
        <w:t xml:space="preserve">application of the Net Cash Proceeds thereof as of the last day of the most recently ended fiscal quarter for which financial statements are available on or prior to the date such </w:t>
      </w:r>
      <w:r>
        <w:rPr>
          <w:rFonts w:ascii="Arial" w:cs="Arial" w:eastAsia="Arial" w:hAnsi="Arial"/>
          <w:sz w:val="16"/>
          <w:szCs w:val="16"/>
          <w:u w:val="single" w:color="auto"/>
          <w:color w:val="0000E1"/>
        </w:rPr>
        <w:t>Prepayment</w:t>
      </w:r>
      <w:r>
        <w:rPr>
          <w:rFonts w:ascii="Arial" w:cs="Arial" w:eastAsia="Arial" w:hAnsi="Arial"/>
          <w:sz w:val="16"/>
          <w:szCs w:val="16"/>
          <w:color w:val="000000"/>
        </w:rPr>
        <w:t xml:space="preserve"> Sale/Leaseback Transaction is consummated exceeds 2.50 to 1.00, the Borrower shall promptly notify the Administrative Agent of such </w:t>
      </w:r>
      <w:r>
        <w:rPr>
          <w:rFonts w:ascii="Arial" w:cs="Arial" w:eastAsia="Arial" w:hAnsi="Arial"/>
          <w:sz w:val="16"/>
          <w:szCs w:val="16"/>
          <w:u w:val="single" w:color="auto"/>
          <w:color w:val="0000E1"/>
        </w:rPr>
        <w:t>Prepayment</w:t>
      </w:r>
      <w:r>
        <w:rPr>
          <w:rFonts w:ascii="Arial" w:cs="Arial" w:eastAsia="Arial" w:hAnsi="Arial"/>
          <w:sz w:val="16"/>
          <w:szCs w:val="16"/>
          <w:color w:val="000000"/>
        </w:rPr>
        <w:t xml:space="preserve"> Sale/Leaseback Transaction (including the amount of the estimated Net Cash Proceeds to be received by the Borrower or any Restricted Subsidiary in respect thereof) and, within five </w:t>
      </w:r>
      <w:r>
        <w:rPr>
          <w:rFonts w:ascii="Arial" w:cs="Arial" w:eastAsia="Arial" w:hAnsi="Arial"/>
          <w:sz w:val="16"/>
          <w:szCs w:val="16"/>
          <w:u w:val="single" w:color="auto"/>
          <w:color w:val="0000E1"/>
        </w:rPr>
        <w:t>(5)</w:t>
      </w:r>
      <w:r>
        <w:rPr>
          <w:rFonts w:ascii="Arial" w:cs="Arial" w:eastAsia="Arial" w:hAnsi="Arial"/>
          <w:sz w:val="16"/>
          <w:szCs w:val="16"/>
          <w:color w:val="000000"/>
        </w:rPr>
        <w:t xml:space="preserve"> Business Days after the receipt of such Net Cash Proceeds, the Borrower shall prepay the relevant Term Loans in an aggregate amount equal to 100% of the amount of all such Net Cash Proceeds;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this </w:t>
      </w:r>
      <w:r>
        <w:rPr>
          <w:rFonts w:ascii="Arial" w:cs="Arial" w:eastAsia="Arial" w:hAnsi="Arial"/>
          <w:sz w:val="16"/>
          <w:szCs w:val="16"/>
          <w:u w:val="single" w:color="auto"/>
          <w:color w:val="000000"/>
        </w:rPr>
        <w:t>subsection</w:t>
      </w:r>
    </w:p>
    <w:p>
      <w:pPr>
        <w:spacing w:after="0" w:line="4" w:lineRule="exact"/>
        <w:rPr>
          <w:rFonts w:ascii="Arial" w:cs="Arial" w:eastAsia="Arial" w:hAnsi="Arial"/>
          <w:sz w:val="16"/>
          <w:szCs w:val="16"/>
          <w:color w:val="auto"/>
        </w:rPr>
      </w:pPr>
    </w:p>
    <w:p>
      <w:pPr>
        <w:jc w:val="both"/>
        <w:ind w:left="4" w:right="300" w:hanging="4"/>
        <w:spacing w:after="0" w:line="277" w:lineRule="auto"/>
        <w:tabs>
          <w:tab w:leader="none" w:pos="319" w:val="left"/>
        </w:tabs>
        <w:numPr>
          <w:ilvl w:val="0"/>
          <w:numId w:val="72"/>
        </w:numPr>
        <w:rPr>
          <w:rFonts w:ascii="Arial" w:cs="Arial" w:eastAsia="Arial" w:hAnsi="Arial"/>
          <w:sz w:val="17"/>
          <w:szCs w:val="17"/>
          <w:u w:val="single" w:color="auto"/>
          <w:color w:val="auto"/>
        </w:rPr>
      </w:pPr>
      <w:r>
        <w:rPr>
          <w:rFonts w:ascii="Arial" w:cs="Arial" w:eastAsia="Arial" w:hAnsi="Arial"/>
          <w:sz w:val="17"/>
          <w:szCs w:val="17"/>
          <w:color w:val="auto"/>
        </w:rPr>
        <w:t xml:space="preserve">shall not require any prepayment of Term Loans with the Net Cash Proceeds of a </w:t>
      </w:r>
      <w:r>
        <w:rPr>
          <w:rFonts w:ascii="Arial" w:cs="Arial" w:eastAsia="Arial" w:hAnsi="Arial"/>
          <w:sz w:val="17"/>
          <w:szCs w:val="17"/>
          <w:u w:val="single" w:color="auto"/>
          <w:color w:val="0000E1"/>
        </w:rPr>
        <w:t>Prepayment</w:t>
      </w:r>
      <w:r>
        <w:rPr>
          <w:rFonts w:ascii="Arial" w:cs="Arial" w:eastAsia="Arial" w:hAnsi="Arial"/>
          <w:sz w:val="17"/>
          <w:szCs w:val="17"/>
          <w:color w:val="auto"/>
        </w:rPr>
        <w:t xml:space="preserve"> Sale/Leaseback Transaction of a Principal Owned Property if the Borrower actually reinvests such Net Cash Proceeds, within nine months of the receipt thereof, in one or more other Principal Owned Properties. Promptly after the end of such nine-month period, the Borrower shall notify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-2418080</wp:posOffset>
            </wp:positionV>
            <wp:extent cx="2857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6317615</wp:posOffset>
            </wp:positionH>
            <wp:positionV relativeFrom="paragraph">
              <wp:posOffset>-2340610</wp:posOffset>
            </wp:positionV>
            <wp:extent cx="12890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-2143760</wp:posOffset>
            </wp:positionV>
            <wp:extent cx="2857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-1380490</wp:posOffset>
            </wp:positionV>
            <wp:extent cx="32232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-1243330</wp:posOffset>
            </wp:positionV>
            <wp:extent cx="29146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-1243330</wp:posOffset>
            </wp:positionV>
            <wp:extent cx="54864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-1106170</wp:posOffset>
            </wp:positionV>
            <wp:extent cx="5486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-831850</wp:posOffset>
            </wp:positionV>
            <wp:extent cx="54864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-694690</wp:posOffset>
            </wp:positionV>
            <wp:extent cx="54864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-557530</wp:posOffset>
            </wp:positionV>
            <wp:extent cx="12890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3926205</wp:posOffset>
            </wp:positionH>
            <wp:positionV relativeFrom="paragraph">
              <wp:posOffset>-283210</wp:posOffset>
            </wp:positionV>
            <wp:extent cx="5486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-86360</wp:posOffset>
            </wp:positionV>
            <wp:extent cx="2857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8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76" w:name="page77"/>
    <w:bookmarkEnd w:id="76"/>
    <w:p>
      <w:pPr>
        <w:ind w:left="4"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Agent whether the Borrower or a Restricted Subsidiary has so reinvested such Net Cash Proceeds in such assets, and, to the extent such Net Cash Proceeds have not been so reinvested, the Borrower shall promptly prepay the relevant Term Loans in the amount of such Net Cash Proceeds received from the applicable </w:t>
      </w:r>
      <w:r>
        <w:rPr>
          <w:rFonts w:ascii="Arial" w:cs="Arial" w:eastAsia="Arial" w:hAnsi="Arial"/>
          <w:sz w:val="18"/>
          <w:szCs w:val="18"/>
          <w:u w:val="single" w:color="auto"/>
          <w:color w:val="0000E1"/>
        </w:rPr>
        <w:t>Prepayment</w:t>
      </w:r>
      <w:r>
        <w:rPr>
          <w:rFonts w:ascii="Arial" w:cs="Arial" w:eastAsia="Arial" w:hAnsi="Arial"/>
          <w:sz w:val="18"/>
          <w:szCs w:val="18"/>
          <w:color w:val="auto"/>
        </w:rPr>
        <w:t xml:space="preserve"> Sale/Leaseback Transaction. The amount of each such prepayment shall be applied to the relevant outstanding Term Loans in accordance with this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until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-137795</wp:posOffset>
            </wp:positionV>
            <wp:extent cx="54864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-214630</wp:posOffset>
            </wp:positionV>
            <wp:extent cx="2857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ind w:left="4" w:right="60" w:firstLine="1428"/>
        <w:spacing w:after="0" w:line="301" w:lineRule="auto"/>
        <w:tabs>
          <w:tab w:leader="none" w:pos="1873" w:val="left"/>
        </w:tabs>
        <w:numPr>
          <w:ilvl w:val="2"/>
          <w:numId w:val="73"/>
        </w:numPr>
        <w:rPr>
          <w:rFonts w:ascii="Arial" w:cs="Arial" w:eastAsia="Arial" w:hAnsi="Arial"/>
          <w:sz w:val="16"/>
          <w:szCs w:val="16"/>
          <w:color w:val="auto"/>
        </w:rPr>
      </w:pPr>
      <w:r>
        <w:rPr>
          <w:rFonts w:ascii="Arial" w:cs="Arial" w:eastAsia="Arial" w:hAnsi="Arial"/>
          <w:sz w:val="16"/>
          <w:szCs w:val="16"/>
          <w:color w:val="auto"/>
        </w:rPr>
        <w:t xml:space="preserve">The Borrower shall, on each date any Revolving Credit Commitments are reduced pursuant to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prepay the Revolving Loans, Swing Loans, and, if necessary, pre-fund the L/C Obligations (or make other arrangements reasonably satisfactory to the L/C Issuer) by the amount, if any, necessary to reduce the sum of the aggregate principal amount of Revolving Loans, Swing Loans, and U.S. Dollar Equivalent of all L/C Obligations then outstanding with respect to such Class to the amount to which such Revolving Credit Commitments have been so reduced.</w:t>
      </w:r>
    </w:p>
    <w:p>
      <w:pPr>
        <w:spacing w:after="0" w:line="157" w:lineRule="exact"/>
        <w:rPr>
          <w:rFonts w:ascii="Arial" w:cs="Arial" w:eastAsia="Arial" w:hAnsi="Arial"/>
          <w:sz w:val="16"/>
          <w:szCs w:val="16"/>
          <w:color w:val="auto"/>
        </w:rPr>
      </w:pPr>
    </w:p>
    <w:p>
      <w:pPr>
        <w:ind w:left="4" w:right="280" w:firstLine="1428"/>
        <w:spacing w:after="0" w:line="301" w:lineRule="auto"/>
        <w:tabs>
          <w:tab w:leader="none" w:pos="1826" w:val="left"/>
        </w:tabs>
        <w:numPr>
          <w:ilvl w:val="2"/>
          <w:numId w:val="73"/>
        </w:numPr>
        <w:rPr>
          <w:rFonts w:ascii="Arial" w:cs="Arial" w:eastAsia="Arial" w:hAnsi="Arial"/>
          <w:sz w:val="16"/>
          <w:szCs w:val="16"/>
          <w:color w:val="auto"/>
        </w:rPr>
      </w:pPr>
      <w:r>
        <w:rPr>
          <w:rFonts w:ascii="Arial" w:cs="Arial" w:eastAsia="Arial" w:hAnsi="Arial"/>
          <w:sz w:val="16"/>
          <w:szCs w:val="16"/>
          <w:color w:val="auto"/>
        </w:rPr>
        <w:t xml:space="preserve">Unless the Borrower otherwise directs, prepayments of Loans of any type under this </w:t>
      </w:r>
      <w:r>
        <w:rPr>
          <w:rFonts w:ascii="Arial" w:cs="Arial" w:eastAsia="Arial" w:hAnsi="Arial"/>
          <w:sz w:val="16"/>
          <w:szCs w:val="16"/>
          <w:u w:val="single" w:color="auto"/>
          <w:color w:val="auto"/>
        </w:rPr>
        <w:t>Section 1.9(b)</w:t>
      </w:r>
      <w:r>
        <w:rPr>
          <w:rFonts w:ascii="Arial" w:cs="Arial" w:eastAsia="Arial" w:hAnsi="Arial"/>
          <w:sz w:val="16"/>
          <w:szCs w:val="16"/>
          <w:color w:val="auto"/>
        </w:rPr>
        <w:t xml:space="preserve"> shall be applied first to Borrowings of Base Rate Loans until payment in full thereof with any balance applied to Borrowings of Eurodollar Loans in the order in which their Interest Periods expire. Each prepayment of Loans under this </w:t>
      </w:r>
      <w:r>
        <w:rPr>
          <w:rFonts w:ascii="Arial" w:cs="Arial" w:eastAsia="Arial" w:hAnsi="Arial"/>
          <w:sz w:val="16"/>
          <w:szCs w:val="16"/>
          <w:u w:val="single" w:color="auto"/>
          <w:color w:val="auto"/>
        </w:rPr>
        <w:t>Section 1.9(b)</w:t>
      </w:r>
      <w:r>
        <w:rPr>
          <w:rFonts w:ascii="Arial" w:cs="Arial" w:eastAsia="Arial" w:hAnsi="Arial"/>
          <w:sz w:val="16"/>
          <w:szCs w:val="16"/>
          <w:color w:val="auto"/>
        </w:rPr>
        <w:t xml:space="preserve"> shall be made by the payment of the principal amount to be prepaid and accrued interest thereon to the date of prepayment together with any amounts due to the Lenders under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4" w:firstLine="1428"/>
        <w:spacing w:after="0" w:line="255" w:lineRule="auto"/>
        <w:tabs>
          <w:tab w:leader="none" w:pos="1876" w:val="left"/>
        </w:tabs>
        <w:numPr>
          <w:ilvl w:val="2"/>
          <w:numId w:val="73"/>
        </w:numPr>
        <w:rPr>
          <w:rFonts w:ascii="Arial" w:cs="Arial" w:eastAsia="Arial" w:hAnsi="Arial"/>
          <w:sz w:val="18"/>
          <w:szCs w:val="18"/>
          <w:color w:val="auto"/>
        </w:rPr>
      </w:pPr>
      <w:r>
        <w:rPr>
          <w:rFonts w:ascii="Arial" w:cs="Arial" w:eastAsia="Arial" w:hAnsi="Arial"/>
          <w:sz w:val="18"/>
          <w:szCs w:val="18"/>
          <w:color w:val="auto"/>
        </w:rPr>
        <w:t>If at any time the sum of the unpaid principal balance of the Revolving Loans, Swing Loans, and the U.S. Dollar Equivalent of all L/C Obligations then outstanding of any Class shall be in excess of the Revolving Credit Commitments of such Class in effect at such time, the Borrower shall immediately and without notice or demand pay over the amount of the excess to the Administrative Agent for the account of the Revolving Lenders as and for a mandatory prepayment on such Obligations, with each such prepayment first to be applied to the Revolving Loans and Swing Loans until paid in full with any remaining balance to be held by the Administrative Agent in the Collateral Account as security for the Obligations owing with respect to the Letters of Credit.</w:t>
      </w:r>
    </w:p>
    <w:p>
      <w:pPr>
        <w:spacing w:after="0" w:line="192" w:lineRule="exact"/>
        <w:rPr>
          <w:rFonts w:ascii="Arial" w:cs="Arial" w:eastAsia="Arial" w:hAnsi="Arial"/>
          <w:sz w:val="18"/>
          <w:szCs w:val="18"/>
          <w:color w:val="auto"/>
        </w:rPr>
      </w:pPr>
    </w:p>
    <w:p>
      <w:pPr>
        <w:ind w:left="4" w:right="140" w:firstLine="987"/>
        <w:spacing w:after="0" w:line="287" w:lineRule="auto"/>
        <w:tabs>
          <w:tab w:leader="none" w:pos="1420" w:val="left"/>
        </w:tabs>
        <w:numPr>
          <w:ilvl w:val="1"/>
          <w:numId w:val="74"/>
        </w:numPr>
        <w:rPr>
          <w:rFonts w:ascii="Arial" w:cs="Arial" w:eastAsia="Arial" w:hAnsi="Arial"/>
          <w:sz w:val="16"/>
          <w:szCs w:val="16"/>
          <w:color w:val="auto"/>
        </w:rPr>
      </w:pPr>
      <w:r>
        <w:rPr>
          <w:rFonts w:ascii="Arial" w:cs="Arial" w:eastAsia="Arial" w:hAnsi="Arial"/>
          <w:sz w:val="16"/>
          <w:szCs w:val="16"/>
          <w:i w:val="1"/>
          <w:iCs w:val="1"/>
          <w:u w:val="single" w:color="auto"/>
          <w:color w:val="0000E1"/>
        </w:rPr>
        <w:t>Application of Payments</w:t>
      </w:r>
      <w:r>
        <w:rPr>
          <w:rFonts w:ascii="Arial" w:cs="Arial" w:eastAsia="Arial" w:hAnsi="Arial"/>
          <w:sz w:val="16"/>
          <w:szCs w:val="16"/>
          <w:u w:val="single" w:color="auto"/>
          <w:color w:val="0000E1"/>
        </w:rPr>
        <w:t>.</w:t>
      </w:r>
      <w:r>
        <w:rPr>
          <w:rFonts w:ascii="Arial" w:cs="Arial" w:eastAsia="Arial" w:hAnsi="Arial"/>
          <w:sz w:val="16"/>
          <w:szCs w:val="16"/>
          <w:i w:val="1"/>
          <w:iCs w:val="1"/>
          <w:color w:val="0000E1"/>
        </w:rPr>
        <w:t xml:space="preserve"> </w:t>
      </w:r>
      <w:r>
        <w:rPr>
          <w:rFonts w:ascii="Arial" w:cs="Arial" w:eastAsia="Arial" w:hAnsi="Arial"/>
          <w:sz w:val="16"/>
          <w:szCs w:val="16"/>
          <w:color w:val="000000"/>
        </w:rPr>
        <w:t>Any amount of Revolving Loans and Swing Loans paid or prepaid before the relevant Revolving Credit</w:t>
      </w:r>
      <w:r>
        <w:rPr>
          <w:rFonts w:ascii="Arial" w:cs="Arial" w:eastAsia="Arial" w:hAnsi="Arial"/>
          <w:sz w:val="16"/>
          <w:szCs w:val="16"/>
          <w:i w:val="1"/>
          <w:iCs w:val="1"/>
          <w:color w:val="0000E1"/>
        </w:rPr>
        <w:t xml:space="preserve"> </w:t>
      </w:r>
      <w:r>
        <w:rPr>
          <w:rFonts w:ascii="Arial" w:cs="Arial" w:eastAsia="Arial" w:hAnsi="Arial"/>
          <w:sz w:val="16"/>
          <w:szCs w:val="16"/>
          <w:color w:val="000000"/>
        </w:rPr>
        <w:t xml:space="preserve">Termination Date may, subject to the terms and conditions of this Agreement, be borrowed, repaid, and borrowed again. No amount of the Term Loans paid or prepaid may be reborrowed, and, in the case of any partial prepayment, (i) in the case of optional prepayments made pursuant to </w:t>
      </w:r>
      <w:r>
        <w:rPr>
          <w:rFonts w:ascii="Arial" w:cs="Arial" w:eastAsia="Arial" w:hAnsi="Arial"/>
          <w:sz w:val="16"/>
          <w:szCs w:val="16"/>
          <w:u w:val="single" w:color="auto"/>
          <w:color w:val="000000"/>
        </w:rPr>
        <w:t>subsection</w:t>
      </w:r>
    </w:p>
    <w:p>
      <w:pPr>
        <w:spacing w:after="0" w:line="2" w:lineRule="exact"/>
        <w:rPr>
          <w:rFonts w:ascii="Arial" w:cs="Arial" w:eastAsia="Arial" w:hAnsi="Arial"/>
          <w:sz w:val="16"/>
          <w:szCs w:val="16"/>
          <w:color w:val="auto"/>
        </w:rPr>
      </w:pPr>
    </w:p>
    <w:p>
      <w:pPr>
        <w:ind w:left="4" w:right="40" w:hanging="4"/>
        <w:spacing w:after="0" w:line="295" w:lineRule="auto"/>
        <w:tabs>
          <w:tab w:leader="none" w:pos="249" w:val="left"/>
        </w:tabs>
        <w:numPr>
          <w:ilvl w:val="0"/>
          <w:numId w:val="75"/>
        </w:numPr>
        <w:rPr>
          <w:rFonts w:ascii="Arial" w:cs="Arial" w:eastAsia="Arial" w:hAnsi="Arial"/>
          <w:sz w:val="16"/>
          <w:szCs w:val="16"/>
          <w:u w:val="single" w:color="auto"/>
          <w:color w:val="auto"/>
        </w:rPr>
      </w:pPr>
      <w:r>
        <w:rPr>
          <w:rFonts w:ascii="Arial" w:cs="Arial" w:eastAsia="Arial" w:hAnsi="Arial"/>
          <w:sz w:val="16"/>
          <w:szCs w:val="16"/>
          <w:color w:val="auto"/>
        </w:rPr>
        <w:t xml:space="preserve">above, such prepayment shall be applied to the remaining amortization payments on the Term Loans of such Class in accordance with instructions of the Borrower (and in the event the Borrower fails to so instruct, such prepayment shall be applied to the remaining amortization payments on the Term Loans of such Class in direct order of maturity) and (ii) in the case of mandatory prepayments made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above, such prepayment shall be applied to the remaining amortization payments on the relevant Term Loans of such Class in direct order of maturity.</w:t>
      </w:r>
    </w:p>
    <w:p>
      <w:pPr>
        <w:spacing w:after="0" w:line="161" w:lineRule="exact"/>
        <w:rPr>
          <w:rFonts w:ascii="Arial" w:cs="Arial" w:eastAsia="Arial" w:hAnsi="Arial"/>
          <w:sz w:val="16"/>
          <w:szCs w:val="16"/>
          <w:u w:val="single" w:color="auto"/>
          <w:color w:val="auto"/>
        </w:rPr>
      </w:pPr>
    </w:p>
    <w:p>
      <w:pPr>
        <w:ind w:left="1424" w:hanging="433"/>
        <w:spacing w:after="0"/>
        <w:tabs>
          <w:tab w:leader="none" w:pos="1424" w:val="left"/>
        </w:tabs>
        <w:numPr>
          <w:ilvl w:val="1"/>
          <w:numId w:val="75"/>
        </w:numPr>
        <w:rPr>
          <w:rFonts w:ascii="Arial" w:cs="Arial" w:eastAsia="Arial" w:hAnsi="Arial"/>
          <w:sz w:val="17"/>
          <w:szCs w:val="17"/>
          <w:color w:val="auto"/>
        </w:rPr>
      </w:pPr>
      <w:r>
        <w:rPr>
          <w:rFonts w:ascii="Arial" w:cs="Arial" w:eastAsia="Arial" w:hAnsi="Arial"/>
          <w:sz w:val="17"/>
          <w:szCs w:val="17"/>
          <w:i w:val="1"/>
          <w:iCs w:val="1"/>
          <w:u w:val="single" w:color="auto"/>
          <w:color w:val="0000E1"/>
        </w:rPr>
        <w:t>Restricted Amounts</w:t>
      </w:r>
      <w:r>
        <w:rPr>
          <w:rFonts w:ascii="Arial" w:cs="Arial" w:eastAsia="Arial" w:hAnsi="Arial"/>
          <w:sz w:val="17"/>
          <w:szCs w:val="17"/>
          <w:u w:val="single" w:color="auto"/>
          <w:color w:val="0000E1"/>
        </w:rPr>
        <w:t>.</w:t>
      </w:r>
      <w:r>
        <w:rPr>
          <w:rFonts w:ascii="Arial" w:cs="Arial" w:eastAsia="Arial" w:hAnsi="Arial"/>
          <w:sz w:val="17"/>
          <w:szCs w:val="17"/>
          <w:i w:val="1"/>
          <w:iCs w:val="1"/>
          <w:color w:val="0000E1"/>
        </w:rPr>
        <w:t xml:space="preserve"> </w:t>
      </w:r>
      <w:r>
        <w:rPr>
          <w:rFonts w:ascii="Arial" w:cs="Arial" w:eastAsia="Arial" w:hAnsi="Arial"/>
          <w:sz w:val="17"/>
          <w:szCs w:val="17"/>
          <w:color w:val="000000"/>
        </w:rPr>
        <w:t>Notwithstanding anything herein to the contrary, all mandatory prepayments made pursuant to</w:t>
      </w:r>
      <w:r>
        <w:rPr>
          <w:rFonts w:ascii="Arial" w:cs="Arial" w:eastAsia="Arial" w:hAnsi="Arial"/>
          <w:sz w:val="17"/>
          <w:szCs w:val="17"/>
          <w:i w:val="1"/>
          <w:iCs w:val="1"/>
          <w:color w:val="0000E1"/>
        </w:rPr>
        <w:t xml:space="preserve"> </w:t>
      </w:r>
      <w:r>
        <w:rPr>
          <w:rFonts w:ascii="Arial" w:cs="Arial" w:eastAsia="Arial" w:hAnsi="Arial"/>
          <w:sz w:val="17"/>
          <w:szCs w:val="17"/>
          <w:u w:val="single" w:color="auto"/>
          <w:color w:val="000000"/>
        </w:rPr>
        <w:t>subsection</w:t>
      </w:r>
    </w:p>
    <w:p>
      <w:pPr>
        <w:spacing w:after="0" w:line="34" w:lineRule="exact"/>
        <w:rPr>
          <w:rFonts w:ascii="Arial" w:cs="Arial" w:eastAsia="Arial" w:hAnsi="Arial"/>
          <w:sz w:val="17"/>
          <w:szCs w:val="17"/>
          <w:color w:val="auto"/>
        </w:rPr>
      </w:pPr>
    </w:p>
    <w:p>
      <w:pPr>
        <w:ind w:left="4" w:hanging="4"/>
        <w:spacing w:after="0" w:line="268" w:lineRule="auto"/>
        <w:tabs>
          <w:tab w:leader="none" w:pos="259" w:val="left"/>
        </w:tabs>
        <w:numPr>
          <w:ilvl w:val="0"/>
          <w:numId w:val="75"/>
        </w:numPr>
        <w:rPr>
          <w:rFonts w:ascii="Arial" w:cs="Arial" w:eastAsia="Arial" w:hAnsi="Arial"/>
          <w:sz w:val="17"/>
          <w:szCs w:val="17"/>
          <w:u w:val="single" w:color="auto"/>
          <w:color w:val="auto"/>
        </w:rPr>
      </w:pPr>
      <w:r>
        <w:rPr>
          <w:rFonts w:ascii="Arial" w:cs="Arial" w:eastAsia="Arial" w:hAnsi="Arial"/>
          <w:sz w:val="17"/>
          <w:szCs w:val="17"/>
          <w:color w:val="auto"/>
        </w:rPr>
        <w:t xml:space="preserve">above, to the extent attributable to Foreign Subsidiaries, are subject to restrictions under the applicable local law, including financial assistance or corporate benefit provisions, restrictions on the making of dividends or other distributions of cash in respect of the Equity Interests of such Foreign Subsidiaries and the fiduciary and statutory duties of the directors of the relevant Foreign Subsidiaries. It is understood and agreed that if the Borrower or any Restricted Subsidiary would incur a material tax liability, including a deemed dividend pursuant to Section 956 of the Code, if all or a portion of the funds required to make a mandatory prepayment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were distributed as a dividend or a distribution or otherwise transferred in cash to the Borrower (a “</w:t>
      </w:r>
      <w:r>
        <w:rPr>
          <w:rFonts w:ascii="Arial" w:cs="Arial" w:eastAsia="Arial" w:hAnsi="Arial"/>
          <w:sz w:val="17"/>
          <w:szCs w:val="17"/>
          <w:i w:val="1"/>
          <w:iCs w:val="1"/>
          <w:color w:val="auto"/>
        </w:rPr>
        <w:t>Restricted Amount</w:t>
      </w:r>
      <w:r>
        <w:rPr>
          <w:rFonts w:ascii="Arial" w:cs="Arial" w:eastAsia="Arial" w:hAnsi="Arial"/>
          <w:sz w:val="17"/>
          <w:szCs w:val="17"/>
          <w:color w:val="auto"/>
        </w:rPr>
        <w:t xml:space="preserve">”), the amount the Borrower will be required to mandatorily prepay pursuant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may, at the option of the Borrower, be reduced by the Restricted Amount until such time as such dividend, distribution or other transfer of such Restricted Amount may be made without incurring such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-3645535</wp:posOffset>
            </wp:positionV>
            <wp:extent cx="2857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-2197100</wp:posOffset>
            </wp:positionV>
            <wp:extent cx="11487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-1099820</wp:posOffset>
            </wp:positionV>
            <wp:extent cx="91694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-765175</wp:posOffset>
            </wp:positionV>
            <wp:extent cx="2857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77" w:name="page78"/>
    <w:bookmarkEnd w:id="77"/>
    <w:p>
      <w:pPr>
        <w:ind w:right="60" w:firstLine="987"/>
        <w:spacing w:after="0" w:line="286" w:lineRule="auto"/>
        <w:tabs>
          <w:tab w:leader="none" w:pos="1371" w:val="left"/>
        </w:tabs>
        <w:numPr>
          <w:ilvl w:val="0"/>
          <w:numId w:val="76"/>
        </w:numPr>
        <w:rPr>
          <w:rFonts w:ascii="Arial" w:cs="Arial" w:eastAsia="Arial" w:hAnsi="Arial"/>
          <w:sz w:val="16"/>
          <w:szCs w:val="16"/>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6"/>
          <w:szCs w:val="16"/>
          <w:color w:val="FF0000"/>
        </w:rPr>
        <w:t xml:space="preserve"> </w:t>
      </w:r>
      <w:r>
        <w:rPr>
          <w:rFonts w:ascii="Arial" w:cs="Arial" w:eastAsia="Arial" w:hAnsi="Arial"/>
          <w:sz w:val="16"/>
          <w:szCs w:val="16"/>
          <w:i w:val="1"/>
          <w:iCs w:val="1"/>
          <w:u w:val="single" w:color="auto"/>
          <w:color w:val="0000E1"/>
        </w:rPr>
        <w:t>Declined Proceeds</w:t>
      </w:r>
      <w:r>
        <w:rPr>
          <w:rFonts w:ascii="Arial" w:cs="Arial" w:eastAsia="Arial" w:hAnsi="Arial"/>
          <w:sz w:val="16"/>
          <w:szCs w:val="16"/>
          <w:u w:val="single" w:color="auto"/>
          <w:color w:val="0000E1"/>
        </w:rPr>
        <w:t>.</w:t>
      </w:r>
      <w:r>
        <w:rPr>
          <w:rFonts w:ascii="Arial" w:cs="Arial" w:eastAsia="Arial" w:hAnsi="Arial"/>
          <w:sz w:val="16"/>
          <w:szCs w:val="16"/>
          <w:color w:val="FF0000"/>
        </w:rPr>
        <w:t xml:space="preserve"> </w:t>
      </w:r>
      <w:r>
        <w:rPr>
          <w:rFonts w:ascii="Arial" w:cs="Arial" w:eastAsia="Arial" w:hAnsi="Arial"/>
          <w:sz w:val="16"/>
          <w:szCs w:val="16"/>
          <w:color w:val="000000"/>
        </w:rPr>
        <w:t>Notwithstanding anything contained herein to the contrary, in the event the Borrower is required to make any</w:t>
      </w:r>
      <w:r>
        <w:rPr>
          <w:rFonts w:ascii="Arial" w:cs="Arial" w:eastAsia="Arial" w:hAnsi="Arial"/>
          <w:sz w:val="16"/>
          <w:szCs w:val="16"/>
          <w:color w:val="FF0000"/>
        </w:rPr>
        <w:t xml:space="preserve"> </w:t>
      </w:r>
      <w:r>
        <w:rPr>
          <w:rFonts w:ascii="Arial" w:cs="Arial" w:eastAsia="Arial" w:hAnsi="Arial"/>
          <w:sz w:val="16"/>
          <w:szCs w:val="16"/>
          <w:color w:val="000000"/>
        </w:rPr>
        <w:t>mandatory prepayment (a “</w:t>
      </w:r>
      <w:r>
        <w:rPr>
          <w:rFonts w:ascii="Arial" w:cs="Arial" w:eastAsia="Arial" w:hAnsi="Arial"/>
          <w:sz w:val="16"/>
          <w:szCs w:val="16"/>
          <w:i w:val="1"/>
          <w:iCs w:val="1"/>
          <w:color w:val="000000"/>
        </w:rPr>
        <w:t>Waivable Mandatory Prepayment</w:t>
      </w:r>
      <w:r>
        <w:rPr>
          <w:rFonts w:ascii="Arial" w:cs="Arial" w:eastAsia="Arial" w:hAnsi="Arial"/>
          <w:sz w:val="16"/>
          <w:szCs w:val="16"/>
          <w:color w:val="000000"/>
        </w:rPr>
        <w:t xml:space="preserve">”) of the Term Loans pursuant to </w:t>
      </w:r>
      <w:r>
        <w:rPr>
          <w:rFonts w:ascii="Arial" w:cs="Arial" w:eastAsia="Arial" w:hAnsi="Arial"/>
          <w:sz w:val="16"/>
          <w:szCs w:val="16"/>
          <w:u w:val="single" w:color="auto"/>
          <w:color w:val="000000"/>
        </w:rPr>
        <w:t>Section 1.9(b)(i)</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(ii)</w:t>
      </w:r>
      <w:r>
        <w:rPr>
          <w:rFonts w:ascii="Arial" w:cs="Arial" w:eastAsia="Arial" w:hAnsi="Arial"/>
          <w:sz w:val="16"/>
          <w:szCs w:val="16"/>
          <w:color w:val="000000"/>
        </w:rPr>
        <w:t xml:space="preserve">, not less than two </w:t>
      </w:r>
      <w:r>
        <w:rPr>
          <w:rFonts w:ascii="Arial" w:cs="Arial" w:eastAsia="Arial" w:hAnsi="Arial"/>
          <w:sz w:val="16"/>
          <w:szCs w:val="16"/>
          <w:u w:val="single" w:color="auto"/>
          <w:color w:val="0000E1"/>
        </w:rPr>
        <w:t>(2)</w:t>
      </w:r>
      <w:r>
        <w:rPr>
          <w:rFonts w:ascii="Arial" w:cs="Arial" w:eastAsia="Arial" w:hAnsi="Arial"/>
          <w:sz w:val="16"/>
          <w:szCs w:val="16"/>
          <w:color w:val="000000"/>
        </w:rPr>
        <w:t xml:space="preserve"> Business Days prior to the date (the “</w:t>
      </w:r>
      <w:r>
        <w:rPr>
          <w:rFonts w:ascii="Arial" w:cs="Arial" w:eastAsia="Arial" w:hAnsi="Arial"/>
          <w:sz w:val="16"/>
          <w:szCs w:val="16"/>
          <w:i w:val="1"/>
          <w:iCs w:val="1"/>
          <w:color w:val="000000"/>
        </w:rPr>
        <w:t>Required Prepayment Date</w:t>
      </w:r>
      <w:r>
        <w:rPr>
          <w:rFonts w:ascii="Arial" w:cs="Arial" w:eastAsia="Arial" w:hAnsi="Arial"/>
          <w:sz w:val="16"/>
          <w:szCs w:val="16"/>
          <w:color w:val="000000"/>
        </w:rPr>
        <w:t xml:space="preserve">”) on which the Borrower elects (or is otherwise required) to make such Waivable Mandatory Prepayment, the Borrower shall notify Administrative Agent of the amount of such prepayment, and Administrative Agent will promptly thereafter notify each Lender holding an outstanding Term Loan of the amount of such Lender’s pro rata share of such Waivable Mandatory Prepayment and such Lender’s option to refuse such amount. Each such Lender may exercise such option by giving written notice to the Administrative Agent of its election to do so on or before the date that is one </w:t>
      </w:r>
      <w:r>
        <w:rPr>
          <w:rFonts w:ascii="Arial" w:cs="Arial" w:eastAsia="Arial" w:hAnsi="Arial"/>
          <w:sz w:val="16"/>
          <w:szCs w:val="16"/>
          <w:u w:val="single" w:color="auto"/>
          <w:color w:val="0000E1"/>
        </w:rPr>
        <w:t>(1)</w:t>
      </w:r>
      <w:r>
        <w:rPr>
          <w:rFonts w:ascii="Arial" w:cs="Arial" w:eastAsia="Arial" w:hAnsi="Arial"/>
          <w:sz w:val="16"/>
          <w:szCs w:val="16"/>
          <w:color w:val="000000"/>
        </w:rPr>
        <w:t xml:space="preserve"> Business Day prior to the Required Prepayment Date (it being understood that any Lender which does not notify the Administrative Agent of its election to exercise such option on or before the first Business Day prior to the Required Prepayment Date shall be deemed to have elected, as of such date, not to exercise such option). On the Required Prepayment Date, the Borrower shall pay to the Administrative Agent the amount of the Waivable Mandatory Prepayment less the amount of the Declined Proceeds (as defined below), which amount shall be applied by the Administrative Agent to prepay the Term Loans of those Lenders that have elected to accept such Waivable Mandatory Prepayment (which prepayment shall be applied to the scheduled installments of principal of the Term Loans in the applicable Class(es) of Term Loans in accordance with </w:t>
      </w:r>
      <w:r>
        <w:rPr>
          <w:rFonts w:ascii="Arial" w:cs="Arial" w:eastAsia="Arial" w:hAnsi="Arial"/>
          <w:sz w:val="16"/>
          <w:szCs w:val="16"/>
          <w:u w:val="single" w:color="auto"/>
          <w:color w:val="000000"/>
        </w:rPr>
        <w:t>clause (c)</w:t>
      </w:r>
      <w:r>
        <w:rPr>
          <w:rFonts w:ascii="Arial" w:cs="Arial" w:eastAsia="Arial" w:hAnsi="Arial"/>
          <w:sz w:val="16"/>
          <w:szCs w:val="16"/>
          <w:color w:val="000000"/>
        </w:rPr>
        <w:t xml:space="preserve"> above). The portion of the Waivable Mandatory Prepayment otherwise payable to those Lenders that have elected to exercise such option and decline such Waivable Mandatory Prepayment (such declined amounts, the “</w:t>
      </w:r>
      <w:r>
        <w:rPr>
          <w:rFonts w:ascii="Arial" w:cs="Arial" w:eastAsia="Arial" w:hAnsi="Arial"/>
          <w:sz w:val="16"/>
          <w:szCs w:val="16"/>
          <w:i w:val="1"/>
          <w:iCs w:val="1"/>
          <w:color w:val="000000"/>
        </w:rPr>
        <w:t>Declined Proceeds</w:t>
      </w:r>
      <w:r>
        <w:rPr>
          <w:rFonts w:ascii="Arial" w:cs="Arial" w:eastAsia="Arial" w:hAnsi="Arial"/>
          <w:sz w:val="16"/>
          <w:szCs w:val="16"/>
          <w:color w:val="000000"/>
        </w:rPr>
        <w:t>”) shall be retained by the Borrower for any purpose not prohibited by this Agreement.</w:t>
      </w:r>
    </w:p>
    <w:p>
      <w:pPr>
        <w:spacing w:after="0" w:line="167" w:lineRule="exact"/>
        <w:rPr>
          <w:rFonts w:ascii="Arial" w:cs="Arial" w:eastAsia="Arial" w:hAnsi="Arial"/>
          <w:sz w:val="16"/>
          <w:szCs w:val="16"/>
          <w:color w:val="auto"/>
        </w:rPr>
      </w:pPr>
    </w:p>
    <w:p>
      <w:pPr>
        <w:ind w:firstLine="987"/>
        <w:spacing w:after="0" w:line="311" w:lineRule="auto"/>
        <w:tabs>
          <w:tab w:leader="none" w:pos="1396" w:val="left"/>
        </w:tabs>
        <w:numPr>
          <w:ilvl w:val="0"/>
          <w:numId w:val="76"/>
        </w:numPr>
        <w:rPr>
          <w:rFonts w:ascii="Arial" w:cs="Arial" w:eastAsia="Arial" w:hAnsi="Arial"/>
          <w:sz w:val="16"/>
          <w:szCs w:val="16"/>
          <w:u w:val="single" w:color="auto"/>
          <w:color w:val="0000E1"/>
        </w:rPr>
      </w:pPr>
      <w:r>
        <w:rPr>
          <w:rFonts w:ascii="Arial" w:cs="Arial" w:eastAsia="Arial" w:hAnsi="Arial"/>
          <w:sz w:val="16"/>
          <w:szCs w:val="16"/>
          <w:color w:val="FF0000"/>
          <w:strike w:val="1"/>
        </w:rPr>
        <w:t>(ii)</w:t>
      </w:r>
      <w:r>
        <w:rPr>
          <w:rFonts w:ascii="Arial" w:cs="Arial" w:eastAsia="Arial" w:hAnsi="Arial"/>
          <w:sz w:val="16"/>
          <w:szCs w:val="16"/>
          <w:color w:val="FF0000"/>
        </w:rPr>
        <w:t xml:space="preserve"> </w:t>
      </w:r>
      <w:r>
        <w:rPr>
          <w:rFonts w:ascii="Arial" w:cs="Arial" w:eastAsia="Arial" w:hAnsi="Arial"/>
          <w:sz w:val="16"/>
          <w:szCs w:val="16"/>
          <w:i w:val="1"/>
          <w:iCs w:val="1"/>
          <w:u w:val="single" w:color="auto"/>
          <w:color w:val="0000E1"/>
        </w:rPr>
        <w:t>Other Indebtedness.</w:t>
      </w:r>
      <w:r>
        <w:rPr>
          <w:rFonts w:ascii="Arial" w:cs="Arial" w:eastAsia="Arial" w:hAnsi="Arial"/>
          <w:sz w:val="16"/>
          <w:szCs w:val="16"/>
          <w:color w:val="FF0000"/>
        </w:rPr>
        <w:t xml:space="preserve"> </w:t>
      </w:r>
      <w:r>
        <w:rPr>
          <w:rFonts w:ascii="Arial" w:cs="Arial" w:eastAsia="Arial" w:hAnsi="Arial"/>
          <w:sz w:val="16"/>
          <w:szCs w:val="16"/>
          <w:color w:val="000000"/>
        </w:rPr>
        <w:t>Notwithstanding anything to the contrary in this</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 1.9(b)</w:t>
      </w:r>
      <w:r>
        <w:rPr>
          <w:rFonts w:ascii="Arial" w:cs="Arial" w:eastAsia="Arial" w:hAnsi="Arial"/>
          <w:sz w:val="16"/>
          <w:szCs w:val="16"/>
          <w:color w:val="000000"/>
        </w:rPr>
        <w:t>, any amounts required to be prepaid pursuant</w:t>
      </w:r>
      <w:r>
        <w:rPr>
          <w:rFonts w:ascii="Arial" w:cs="Arial" w:eastAsia="Arial" w:hAnsi="Arial"/>
          <w:sz w:val="16"/>
          <w:szCs w:val="16"/>
          <w:color w:val="FF0000"/>
        </w:rPr>
        <w:t xml:space="preserve"> </w:t>
      </w:r>
      <w:r>
        <w:rPr>
          <w:rFonts w:ascii="Arial" w:cs="Arial" w:eastAsia="Arial" w:hAnsi="Arial"/>
          <w:sz w:val="16"/>
          <w:szCs w:val="16"/>
          <w:color w:val="000000"/>
        </w:rPr>
        <w:t xml:space="preserve">to </w:t>
      </w:r>
      <w:r>
        <w:rPr>
          <w:rFonts w:ascii="Arial" w:cs="Arial" w:eastAsia="Arial" w:hAnsi="Arial"/>
          <w:sz w:val="16"/>
          <w:szCs w:val="16"/>
          <w:u w:val="single" w:color="auto"/>
          <w:color w:val="000000"/>
        </w:rPr>
        <w:t>clause</w:t>
      </w:r>
      <w:r>
        <w:rPr>
          <w:rFonts w:ascii="Arial" w:cs="Arial" w:eastAsia="Arial" w:hAnsi="Arial"/>
          <w:sz w:val="16"/>
          <w:szCs w:val="16"/>
          <w:color w:val="FF0000"/>
          <w:strike w:val="1"/>
        </w:rPr>
        <w:t>s</w:t>
      </w:r>
      <w:r>
        <w:rPr>
          <w:rFonts w:ascii="Arial" w:cs="Arial" w:eastAsia="Arial" w:hAnsi="Arial"/>
          <w:sz w:val="16"/>
          <w:szCs w:val="16"/>
          <w:color w:val="000000"/>
        </w:rPr>
        <w:t xml:space="preserve"> (i) or </w:t>
      </w:r>
      <w:r>
        <w:rPr>
          <w:rFonts w:ascii="Arial" w:cs="Arial" w:eastAsia="Arial" w:hAnsi="Arial"/>
          <w:sz w:val="16"/>
          <w:szCs w:val="16"/>
          <w:u w:val="single" w:color="auto"/>
          <w:color w:val="000000"/>
        </w:rPr>
        <w:t>(ii)</w:t>
      </w:r>
      <w:r>
        <w:rPr>
          <w:rFonts w:ascii="Arial" w:cs="Arial" w:eastAsia="Arial" w:hAnsi="Arial"/>
          <w:sz w:val="16"/>
          <w:szCs w:val="16"/>
          <w:color w:val="000000"/>
        </w:rPr>
        <w:t xml:space="preserve"> of </w:t>
      </w:r>
      <w:r>
        <w:rPr>
          <w:rFonts w:ascii="Arial" w:cs="Arial" w:eastAsia="Arial" w:hAnsi="Arial"/>
          <w:sz w:val="16"/>
          <w:szCs w:val="16"/>
          <w:u w:val="single" w:color="auto"/>
          <w:color w:val="000000"/>
        </w:rPr>
        <w:t>Section 1.9(b)</w:t>
      </w:r>
      <w:r>
        <w:rPr>
          <w:rFonts w:ascii="Arial" w:cs="Arial" w:eastAsia="Arial" w:hAnsi="Arial"/>
          <w:sz w:val="16"/>
          <w:szCs w:val="16"/>
          <w:color w:val="000000"/>
        </w:rPr>
        <w:t xml:space="preserve"> shall be reduced pro rata by any amounts required to be prepaid under similar provisions contained in agreements governing indebtedness incurred pursuant to </w:t>
      </w:r>
      <w:r>
        <w:rPr>
          <w:rFonts w:ascii="Arial" w:cs="Arial" w:eastAsia="Arial" w:hAnsi="Arial"/>
          <w:sz w:val="16"/>
          <w:szCs w:val="16"/>
          <w:u w:val="single" w:color="auto"/>
          <w:color w:val="000000"/>
        </w:rPr>
        <w:t>Section 8.7(n)</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(o)</w:t>
      </w:r>
      <w:r>
        <w:rPr>
          <w:rFonts w:ascii="Arial" w:cs="Arial" w:eastAsia="Arial" w:hAnsi="Arial"/>
          <w:sz w:val="16"/>
          <w:szCs w:val="16"/>
          <w:color w:val="000000"/>
        </w:rPr>
        <w:t xml:space="preserve"> to the extent permitted to be paid pursuant to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-2493010</wp:posOffset>
            </wp:positionV>
            <wp:extent cx="89154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-2355850</wp:posOffset>
            </wp:positionV>
            <wp:extent cx="137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-1884680</wp:posOffset>
            </wp:positionV>
            <wp:extent cx="2857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-1670050</wp:posOffset>
            </wp:positionV>
            <wp:extent cx="137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-1473200</wp:posOffset>
            </wp:positionV>
            <wp:extent cx="2857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-924560</wp:posOffset>
            </wp:positionV>
            <wp:extent cx="2857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-298450</wp:posOffset>
            </wp:positionV>
            <wp:extent cx="134556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wp:posOffset>
            </wp:positionH>
            <wp:positionV relativeFrom="paragraph">
              <wp:posOffset>-195580</wp:posOffset>
            </wp:positionV>
            <wp:extent cx="1365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2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i w:val="1"/>
          <w:iCs w:val="1"/>
          <w:color w:val="auto"/>
        </w:rPr>
        <w:t>Default Rate</w:t>
      </w:r>
      <w:r>
        <w:rPr>
          <w:rFonts w:ascii="Arial" w:cs="Arial" w:eastAsia="Arial" w:hAnsi="Arial"/>
          <w:sz w:val="18"/>
          <w:szCs w:val="18"/>
          <w:color w:val="auto"/>
        </w:rPr>
        <w:t xml:space="preserve">. Notwithstanding anything to the contrary contained herein (and in lieu thereof), while any Event of Default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(with respect to any principal, interest or fees) </w:t>
      </w:r>
      <w:r>
        <w:rPr>
          <w:rFonts w:ascii="Arial" w:cs="Arial" w:eastAsia="Arial" w:hAnsi="Arial"/>
          <w:sz w:val="18"/>
          <w:szCs w:val="18"/>
          <w:color w:val="FF0000"/>
        </w:rPr>
        <w:t>or</w:t>
      </w:r>
      <w:r>
        <w:rPr>
          <w:rFonts w:ascii="Arial" w:cs="Arial" w:eastAsia="Arial" w:hAnsi="Arial"/>
          <w:sz w:val="18"/>
          <w:szCs w:val="18"/>
          <w:u w:val="single" w:color="auto"/>
          <w:color w:val="0000E1"/>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9.1(j</w:t>
      </w:r>
      <w:r>
        <w:rPr>
          <w:rFonts w:ascii="Arial" w:cs="Arial" w:eastAsia="Arial" w:hAnsi="Arial"/>
          <w:sz w:val="18"/>
          <w:szCs w:val="18"/>
          <w:u w:val="single" w:color="auto"/>
          <w:color w:val="0000E1"/>
        </w:rPr>
        <w:t>) or Section 9.1(k</w:t>
      </w: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r>
        <w:rPr>
          <w:rFonts w:ascii="Arial" w:cs="Arial" w:eastAsia="Arial" w:hAnsi="Arial"/>
          <w:sz w:val="18"/>
          <w:szCs w:val="18"/>
          <w:color w:val="auto"/>
        </w:rPr>
        <w:t xml:space="preserve"> has occurred and is continuing or after acceleration of the Obligations, the Borrower shall pay interest (after as well as before entry of judgment thereon and in any event to the extent permitted by law) on such overdue principal, interest or fees at a rate per annum (the “</w:t>
      </w:r>
      <w:r>
        <w:rPr>
          <w:rFonts w:ascii="Arial" w:cs="Arial" w:eastAsia="Arial" w:hAnsi="Arial"/>
          <w:sz w:val="18"/>
          <w:szCs w:val="18"/>
          <w:i w:val="1"/>
          <w:iCs w:val="1"/>
          <w:color w:val="auto"/>
        </w:rPr>
        <w:t>Default Rate</w:t>
      </w:r>
      <w:r>
        <w:rPr>
          <w:rFonts w:ascii="Arial" w:cs="Arial" w:eastAsia="Arial" w:hAnsi="Arial"/>
          <w:sz w:val="18"/>
          <w:szCs w:val="18"/>
          <w:color w:val="auto"/>
        </w:rPr>
        <w:t>”)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1571625</wp:posOffset>
            </wp:positionH>
            <wp:positionV relativeFrom="paragraph">
              <wp:posOffset>-488950</wp:posOffset>
            </wp:positionV>
            <wp:extent cx="2857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-351790</wp:posOffset>
            </wp:positionV>
            <wp:extent cx="1238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-274955</wp:posOffset>
            </wp:positionV>
            <wp:extent cx="254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-274955</wp:posOffset>
            </wp:positionV>
            <wp:extent cx="82296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7" w:lineRule="exact"/>
        <w:rPr>
          <w:sz w:val="20"/>
          <w:szCs w:val="20"/>
          <w:color w:val="auto"/>
        </w:rPr>
      </w:pPr>
    </w:p>
    <w:p>
      <w:pPr>
        <w:ind w:right="200" w:firstLine="987"/>
        <w:spacing w:after="0" w:line="277" w:lineRule="auto"/>
        <w:tabs>
          <w:tab w:leader="none" w:pos="13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for any Base Rate Loan or any Swing Loan bearing interest based on the Alternate Base Rate, the sum of 2.0%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Alternate Base Rate from time to time in effect;</w:t>
      </w:r>
    </w:p>
    <w:p>
      <w:pPr>
        <w:spacing w:after="0" w:line="170" w:lineRule="exact"/>
        <w:rPr>
          <w:rFonts w:ascii="Arial" w:cs="Arial" w:eastAsia="Arial" w:hAnsi="Arial"/>
          <w:sz w:val="18"/>
          <w:szCs w:val="18"/>
          <w:color w:val="auto"/>
        </w:rPr>
      </w:pPr>
    </w:p>
    <w:p>
      <w:pPr>
        <w:jc w:val="both"/>
        <w:ind w:right="140" w:firstLine="987"/>
        <w:spacing w:after="0" w:line="263" w:lineRule="auto"/>
        <w:tabs>
          <w:tab w:leader="none" w:pos="1381"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for any Eurodollar Loan, the sum of 2.0% </w:t>
      </w:r>
      <w:r>
        <w:rPr>
          <w:rFonts w:ascii="Arial" w:cs="Arial" w:eastAsia="Arial" w:hAnsi="Arial"/>
          <w:sz w:val="18"/>
          <w:szCs w:val="18"/>
          <w:i w:val="1"/>
          <w:iCs w:val="1"/>
          <w:color w:val="auto"/>
        </w:rPr>
        <w:t>plus</w:t>
      </w:r>
      <w:r>
        <w:rPr>
          <w:rFonts w:ascii="Arial" w:cs="Arial" w:eastAsia="Arial" w:hAnsi="Arial"/>
          <w:sz w:val="18"/>
          <w:szCs w:val="18"/>
          <w:color w:val="auto"/>
        </w:rPr>
        <w:t xml:space="preserve"> (x) until the end of the applicable Interest Period in effect immediately prior to such Event of Default, the Eurodollar Rate in effect thereon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and (y) thereafter, the sum of 2.0%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Alternate Base Rate from time to time in effect;</w:t>
      </w:r>
    </w:p>
    <w:p>
      <w:pPr>
        <w:spacing w:after="0" w:line="183" w:lineRule="exact"/>
        <w:rPr>
          <w:rFonts w:ascii="Arial" w:cs="Arial" w:eastAsia="Arial" w:hAnsi="Arial"/>
          <w:sz w:val="18"/>
          <w:szCs w:val="18"/>
          <w:color w:val="auto"/>
        </w:rPr>
      </w:pPr>
    </w:p>
    <w:p>
      <w:pPr>
        <w:ind w:right="180" w:firstLine="987"/>
        <w:spacing w:after="0" w:line="277" w:lineRule="auto"/>
        <w:tabs>
          <w:tab w:leader="none" w:pos="13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for any Reimbursement Obligation, the sum of 2.0%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for Revolving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Alternate Base Rate from time to time in effect;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78" w:name="page79"/>
    <w:bookmarkEnd w:id="78"/>
    <w:p>
      <w:pPr>
        <w:ind w:left="1380" w:hanging="393"/>
        <w:spacing w:after="0"/>
        <w:tabs>
          <w:tab w:leader="none" w:pos="1380" w:val="left"/>
        </w:tabs>
        <w:numPr>
          <w:ilvl w:val="0"/>
          <w:numId w:val="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for any Letter of Credit fee, the sum of 2.0%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Letter of Credit fee due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with respect to such Letter of Credit.</w:t>
      </w:r>
    </w:p>
    <w:p>
      <w:pPr>
        <w:spacing w:after="0" w:line="248"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While any such Event of Default has occurred and is continuing or after acceleration of the Obligations, accrued and unpaid interest having accrued at the Default Rate shall be paid on demand of the Administrative Agent at the request or with the consent of the Required Lenders.</w:t>
      </w:r>
    </w:p>
    <w:p>
      <w:pPr>
        <w:spacing w:after="0" w:line="232"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i w:val="1"/>
          <w:iCs w:val="1"/>
          <w:color w:val="auto"/>
        </w:rPr>
        <w:t>Evidence of Indebtedness</w:t>
      </w:r>
      <w:r>
        <w:rPr>
          <w:rFonts w:ascii="Arial" w:cs="Arial" w:eastAsia="Arial" w:hAnsi="Arial"/>
          <w:sz w:val="16"/>
          <w:szCs w:val="16"/>
          <w:color w:val="FF0000"/>
          <w:strike w:val="1"/>
        </w:rPr>
        <w:t>(a)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FF0000"/>
          <w:strike w:val="1"/>
        </w:rPr>
        <w:t>(a)</w:t>
      </w:r>
    </w:p>
    <w:p>
      <w:pPr>
        <w:spacing w:after="0" w:line="117" w:lineRule="exact"/>
        <w:rPr>
          <w:sz w:val="20"/>
          <w:szCs w:val="20"/>
          <w:color w:val="auto"/>
        </w:rPr>
      </w:pPr>
    </w:p>
    <w:p>
      <w:pPr>
        <w:ind w:firstLine="987"/>
        <w:spacing w:after="0" w:line="257" w:lineRule="auto"/>
        <w:tabs>
          <w:tab w:leader="none" w:pos="1371" w:val="left"/>
        </w:tabs>
        <w:numPr>
          <w:ilvl w:val="0"/>
          <w:numId w:val="79"/>
        </w:numPr>
        <w:rPr>
          <w:rFonts w:ascii="Arial" w:cs="Arial" w:eastAsia="Arial" w:hAnsi="Arial"/>
          <w:sz w:val="18"/>
          <w:szCs w:val="18"/>
          <w:u w:val="single" w:color="auto"/>
          <w:color w:val="0000E1"/>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87" w:lineRule="exact"/>
        <w:rPr>
          <w:rFonts w:ascii="Arial" w:cs="Arial" w:eastAsia="Arial" w:hAnsi="Arial"/>
          <w:sz w:val="18"/>
          <w:szCs w:val="18"/>
          <w:u w:val="single" w:color="auto"/>
          <w:color w:val="0000E1"/>
        </w:rPr>
      </w:pPr>
    </w:p>
    <w:p>
      <w:pPr>
        <w:ind w:right="120" w:firstLine="987"/>
        <w:spacing w:after="0" w:line="296" w:lineRule="auto"/>
        <w:tabs>
          <w:tab w:leader="none" w:pos="1378"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Administrative Agent shall also maintain accounts in which it will record (i) the amount of each Loan made hereunder, the type thereof and the Interest Period with respect thereto, (ii) the amount of any principal or interest due and payable or to become due and payable from the Borrower to each Lender hereunder and (iii) the amount of any sum received by the Administrative Agent hereunder from the Borrower and each Lender’s share thereof.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61" w:lineRule="exact"/>
        <w:rPr>
          <w:rFonts w:ascii="Arial" w:cs="Arial" w:eastAsia="Arial" w:hAnsi="Arial"/>
          <w:sz w:val="16"/>
          <w:szCs w:val="16"/>
          <w:color w:val="auto"/>
        </w:rPr>
      </w:pPr>
    </w:p>
    <w:p>
      <w:pPr>
        <w:ind w:right="140" w:firstLine="987"/>
        <w:spacing w:after="0" w:line="259" w:lineRule="auto"/>
        <w:tabs>
          <w:tab w:leader="none" w:pos="13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entries maintained in the accounts maintained pursuant to paragraphs (a) and (b) above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absent manifest error, of the existence and amounts of the Obligations therein recorded;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failure of the Administrative Agent or any Lender to maintain such accounts or any error therein shall not in any manner affect the obligation of the Borrower to repay the Obligations in accordance with their terms.</w:t>
      </w:r>
    </w:p>
    <w:p>
      <w:pPr>
        <w:spacing w:after="0" w:line="186" w:lineRule="exact"/>
        <w:rPr>
          <w:rFonts w:ascii="Arial" w:cs="Arial" w:eastAsia="Arial" w:hAnsi="Arial"/>
          <w:sz w:val="18"/>
          <w:szCs w:val="18"/>
          <w:color w:val="auto"/>
        </w:rPr>
      </w:pPr>
    </w:p>
    <w:p>
      <w:pPr>
        <w:ind w:right="40" w:firstLine="987"/>
        <w:spacing w:after="0" w:line="289" w:lineRule="auto"/>
        <w:tabs>
          <w:tab w:leader="none" w:pos="1371"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Any Lender may request through the Administrative Agent that its Loans be evidenced by a promissory note or notes substantially in the forms of </w:t>
      </w:r>
      <w:r>
        <w:rPr>
          <w:rFonts w:ascii="Arial" w:cs="Arial" w:eastAsia="Arial" w:hAnsi="Arial"/>
          <w:sz w:val="16"/>
          <w:szCs w:val="16"/>
          <w:u w:val="single" w:color="auto"/>
          <w:color w:val="auto"/>
        </w:rPr>
        <w:t>Exhibit D-1</w:t>
      </w:r>
      <w:r>
        <w:rPr>
          <w:rFonts w:ascii="Arial" w:cs="Arial" w:eastAsia="Arial" w:hAnsi="Arial"/>
          <w:sz w:val="16"/>
          <w:szCs w:val="16"/>
          <w:color w:val="auto"/>
        </w:rPr>
        <w:t xml:space="preserve"> (in the case of its Term Loan and referred to herein as a “</w:t>
      </w:r>
      <w:r>
        <w:rPr>
          <w:rFonts w:ascii="Arial" w:cs="Arial" w:eastAsia="Arial" w:hAnsi="Arial"/>
          <w:sz w:val="16"/>
          <w:szCs w:val="16"/>
          <w:i w:val="1"/>
          <w:iCs w:val="1"/>
          <w:color w:val="auto"/>
        </w:rPr>
        <w:t>Term Note</w:t>
      </w:r>
      <w:r>
        <w:rPr>
          <w:rFonts w:ascii="Arial" w:cs="Arial" w:eastAsia="Arial" w:hAnsi="Arial"/>
          <w:sz w:val="16"/>
          <w:szCs w:val="16"/>
          <w:color w:val="auto"/>
        </w:rPr>
        <w:t xml:space="preserve">”), </w:t>
      </w:r>
      <w:r>
        <w:rPr>
          <w:rFonts w:ascii="Arial" w:cs="Arial" w:eastAsia="Arial" w:hAnsi="Arial"/>
          <w:sz w:val="16"/>
          <w:szCs w:val="16"/>
          <w:u w:val="single" w:color="auto"/>
          <w:color w:val="0000E1"/>
        </w:rPr>
        <w:t>Exhibit</w:t>
      </w:r>
      <w:r>
        <w:rPr>
          <w:rFonts w:ascii="Arial" w:cs="Arial" w:eastAsia="Arial" w:hAnsi="Arial"/>
          <w:sz w:val="16"/>
          <w:szCs w:val="16"/>
          <w:color w:val="auto"/>
        </w:rPr>
        <w:t xml:space="preserve"> D-2 (in the case of its Revolving Loans and referred to herein as a “</w:t>
      </w:r>
      <w:r>
        <w:rPr>
          <w:rFonts w:ascii="Arial" w:cs="Arial" w:eastAsia="Arial" w:hAnsi="Arial"/>
          <w:sz w:val="16"/>
          <w:szCs w:val="16"/>
          <w:i w:val="1"/>
          <w:iCs w:val="1"/>
          <w:color w:val="auto"/>
        </w:rPr>
        <w:t>Revolving Note</w:t>
      </w:r>
      <w:r>
        <w:rPr>
          <w:rFonts w:ascii="Arial" w:cs="Arial" w:eastAsia="Arial" w:hAnsi="Arial"/>
          <w:sz w:val="16"/>
          <w:szCs w:val="16"/>
          <w:color w:val="auto"/>
        </w:rPr>
        <w:t>”)</w:t>
      </w:r>
      <w:r>
        <w:rPr>
          <w:rFonts w:ascii="Arial" w:cs="Arial" w:eastAsia="Arial" w:hAnsi="Arial"/>
          <w:sz w:val="16"/>
          <w:szCs w:val="16"/>
          <w:color w:val="FF0000"/>
          <w:strike w:val="1"/>
        </w:rPr>
        <w:t>,</w:t>
      </w:r>
      <w:r>
        <w:rPr>
          <w:rFonts w:ascii="Arial" w:cs="Arial" w:eastAsia="Arial" w:hAnsi="Arial"/>
          <w:sz w:val="16"/>
          <w:szCs w:val="16"/>
          <w:color w:val="auto"/>
        </w:rPr>
        <w:t xml:space="preserve"> or </w:t>
      </w:r>
      <w:r>
        <w:rPr>
          <w:rFonts w:ascii="Arial" w:cs="Arial" w:eastAsia="Arial" w:hAnsi="Arial"/>
          <w:sz w:val="16"/>
          <w:szCs w:val="16"/>
          <w:u w:val="single" w:color="auto"/>
          <w:color w:val="0000E1"/>
        </w:rPr>
        <w:t>Exhibit</w:t>
      </w:r>
      <w:r>
        <w:rPr>
          <w:rFonts w:ascii="Arial" w:cs="Arial" w:eastAsia="Arial" w:hAnsi="Arial"/>
          <w:sz w:val="16"/>
          <w:szCs w:val="16"/>
          <w:color w:val="auto"/>
        </w:rPr>
        <w:t xml:space="preserve"> D-3 (in the case of its Swing Loans and referred to herein as a “</w:t>
      </w:r>
      <w:r>
        <w:rPr>
          <w:rFonts w:ascii="Arial" w:cs="Arial" w:eastAsia="Arial" w:hAnsi="Arial"/>
          <w:sz w:val="16"/>
          <w:szCs w:val="16"/>
          <w:i w:val="1"/>
          <w:iCs w:val="1"/>
          <w:color w:val="auto"/>
        </w:rPr>
        <w:t>Swing Note</w:t>
      </w:r>
      <w:r>
        <w:rPr>
          <w:rFonts w:ascii="Arial" w:cs="Arial" w:eastAsia="Arial" w:hAnsi="Arial"/>
          <w:sz w:val="16"/>
          <w:szCs w:val="16"/>
          <w:color w:val="auto"/>
        </w:rPr>
        <w:t>”), as applicable (the Term Notes, Revolving Notes, and Swing Note being hereinafter referred to collectively as the “</w:t>
      </w:r>
      <w:r>
        <w:rPr>
          <w:rFonts w:ascii="Arial" w:cs="Arial" w:eastAsia="Arial" w:hAnsi="Arial"/>
          <w:sz w:val="16"/>
          <w:szCs w:val="16"/>
          <w:i w:val="1"/>
          <w:iCs w:val="1"/>
          <w:color w:val="auto"/>
        </w:rPr>
        <w:t>Notes</w:t>
      </w:r>
      <w:r>
        <w:rPr>
          <w:rFonts w:ascii="Arial" w:cs="Arial" w:eastAsia="Arial" w:hAnsi="Arial"/>
          <w:sz w:val="16"/>
          <w:szCs w:val="16"/>
          <w:color w:val="auto"/>
        </w:rPr>
        <w:t>” and individually as a “</w:t>
      </w:r>
      <w:r>
        <w:rPr>
          <w:rFonts w:ascii="Arial" w:cs="Arial" w:eastAsia="Arial" w:hAnsi="Arial"/>
          <w:sz w:val="16"/>
          <w:szCs w:val="16"/>
          <w:i w:val="1"/>
          <w:iCs w:val="1"/>
          <w:color w:val="auto"/>
        </w:rPr>
        <w:t>Note</w:t>
      </w:r>
      <w:r>
        <w:rPr>
          <w:rFonts w:ascii="Arial" w:cs="Arial" w:eastAsia="Arial" w:hAnsi="Arial"/>
          <w:sz w:val="16"/>
          <w:szCs w:val="16"/>
          <w:color w:val="auto"/>
        </w:rPr>
        <w:t xml:space="preserve">”). In such event, the Borrower shall prepare, execute and deliver to such Lender a Note payable to such Lender in the amount of the relevant Term Loan, Revolving Credit Commitment, or Swing Line Sublimit, as applicable. Thereafter, the Loans evidenced by such Note or Notes and interest thereon shall at all times (including after any assignment pursuant to </w:t>
      </w:r>
      <w:r>
        <w:rPr>
          <w:rFonts w:ascii="Arial" w:cs="Arial" w:eastAsia="Arial" w:hAnsi="Arial"/>
          <w:sz w:val="16"/>
          <w:szCs w:val="16"/>
          <w:u w:val="single" w:color="auto"/>
          <w:color w:val="auto"/>
        </w:rPr>
        <w:t>Section 13.12</w:t>
      </w:r>
      <w:r>
        <w:rPr>
          <w:rFonts w:ascii="Arial" w:cs="Arial" w:eastAsia="Arial" w:hAnsi="Arial"/>
          <w:sz w:val="16"/>
          <w:szCs w:val="16"/>
          <w:color w:val="auto"/>
        </w:rPr>
        <w:t xml:space="preserve">) be represented by one or more Notes payable to the payee named therein or any assignee pursuant to </w:t>
      </w:r>
      <w:r>
        <w:rPr>
          <w:rFonts w:ascii="Arial" w:cs="Arial" w:eastAsia="Arial" w:hAnsi="Arial"/>
          <w:sz w:val="16"/>
          <w:szCs w:val="16"/>
          <w:u w:val="single" w:color="auto"/>
          <w:color w:val="auto"/>
        </w:rPr>
        <w:t>Section 13.12</w:t>
      </w:r>
      <w:r>
        <w:rPr>
          <w:rFonts w:ascii="Arial" w:cs="Arial" w:eastAsia="Arial" w:hAnsi="Arial"/>
          <w:sz w:val="16"/>
          <w:szCs w:val="16"/>
          <w:color w:val="auto"/>
        </w:rPr>
        <w:t xml:space="preserve">, except to the extent that any such Lender or assignee subsequently returns any such Note for cancellation and requests that such Loans once again be evidenced solely as described in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-3442335</wp:posOffset>
            </wp:positionV>
            <wp:extent cx="12890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-3245485</wp:posOffset>
            </wp:positionV>
            <wp:extent cx="2857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-2285365</wp:posOffset>
            </wp:positionV>
            <wp:extent cx="2857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-973455</wp:posOffset>
            </wp:positionV>
            <wp:extent cx="33401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-1007745</wp:posOffset>
            </wp:positionV>
            <wp:extent cx="20637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06375"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-836295</wp:posOffset>
            </wp:positionV>
            <wp:extent cx="33401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-870585</wp:posOffset>
            </wp:positionV>
            <wp:extent cx="20637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0637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-776605</wp:posOffset>
            </wp:positionV>
            <wp:extent cx="2857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-502285</wp:posOffset>
            </wp:positionV>
            <wp:extent cx="2857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6"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i w:val="1"/>
          <w:iCs w:val="1"/>
          <w:color w:val="auto"/>
        </w:rPr>
        <w:t>Funding Indemnity</w:t>
      </w:r>
      <w:r>
        <w:rPr>
          <w:rFonts w:ascii="Arial" w:cs="Arial" w:eastAsia="Arial" w:hAnsi="Arial"/>
          <w:sz w:val="16"/>
          <w:szCs w:val="16"/>
          <w:color w:val="auto"/>
        </w:rPr>
        <w:t>. If any Lender shall incur any loss, cost or expense (including, without limitation, any loss, cost or expense incurred by reason of the liquidation or re-employment of deposits or other funds acquired by such Lender to fund or maintain any Eurodollar Loan or the relending or reinvesting of such deposits or amounts paid or prepaid to such Lender but excluding any loss of anticipated profit) as a result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-375920</wp:posOffset>
            </wp:positionV>
            <wp:extent cx="2857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9" w:lineRule="exact"/>
        <w:rPr>
          <w:sz w:val="20"/>
          <w:szCs w:val="20"/>
          <w:color w:val="auto"/>
        </w:rPr>
      </w:pPr>
    </w:p>
    <w:p>
      <w:pPr>
        <w:ind w:right="20" w:firstLine="987"/>
        <w:spacing w:after="0" w:line="342" w:lineRule="auto"/>
        <w:tabs>
          <w:tab w:leader="none" w:pos="1371"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payment (including any scheduled payment of principal on Term Loans), continuation, prepayment or conversion of a Eurodollar Loan on a date other than the last day of its Interest Period (whether voluntary, mandatory, automatic, by reason of acceleration, or otherwise), or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79" w:name="page80"/>
    <w:bookmarkEnd w:id="79"/>
    <w:p>
      <w:pPr>
        <w:ind w:right="20" w:firstLine="987"/>
        <w:spacing w:after="0" w:line="286" w:lineRule="auto"/>
        <w:tabs>
          <w:tab w:leader="none" w:pos="1381" w:val="left"/>
        </w:tabs>
        <w:numPr>
          <w:ilvl w:val="0"/>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any failure (because of a failure to meet the conditions of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or otherwise) by the Borrower to borrow or continue a Eurodollar Loan, or to convert a Base Rate Loan into a Eurodollar Loan on the date specified in a notice given pursuant to </w:t>
      </w:r>
      <w:r>
        <w:rPr>
          <w:rFonts w:ascii="Arial" w:cs="Arial" w:eastAsia="Arial" w:hAnsi="Arial"/>
          <w:sz w:val="16"/>
          <w:szCs w:val="16"/>
          <w:u w:val="single" w:color="auto"/>
          <w:color w:val="auto"/>
        </w:rPr>
        <w:t>Section 1.6(a)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1.15</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then, upon the demand of such Lender made within </w:t>
      </w:r>
      <w:r>
        <w:rPr>
          <w:rFonts w:ascii="Arial" w:cs="Arial" w:eastAsia="Arial" w:hAnsi="Arial"/>
          <w:sz w:val="16"/>
          <w:szCs w:val="16"/>
          <w:u w:val="single" w:color="auto"/>
          <w:color w:val="0000E1"/>
        </w:rPr>
        <w:t>thirty (</w:t>
      </w:r>
      <w:r>
        <w:rPr>
          <w:rFonts w:ascii="Arial" w:cs="Arial" w:eastAsia="Arial" w:hAnsi="Arial"/>
          <w:sz w:val="16"/>
          <w:szCs w:val="16"/>
          <w:color w:val="auto"/>
        </w:rPr>
        <w:t>30</w:t>
      </w:r>
      <w:r>
        <w:rPr>
          <w:rFonts w:ascii="Arial" w:cs="Arial" w:eastAsia="Arial" w:hAnsi="Arial"/>
          <w:sz w:val="16"/>
          <w:szCs w:val="16"/>
          <w:u w:val="single" w:color="auto"/>
          <w:color w:val="0000E1"/>
        </w:rPr>
        <w:t>)</w:t>
      </w:r>
      <w:r>
        <w:rPr>
          <w:rFonts w:ascii="Arial" w:cs="Arial" w:eastAsia="Arial" w:hAnsi="Arial"/>
          <w:sz w:val="16"/>
          <w:szCs w:val="16"/>
          <w:color w:val="auto"/>
        </w:rPr>
        <w:t xml:space="preserve"> days of the occurrence of any such loss, cost or expense, the Borrower shall pay to such Lender such amount as will reimburse such Lender for such loss, cost or expense (including any loss or expense arising from the liquidation or reemployment of funds obtained by it to maintain such Loan or from fees payable to terminate the deposits from which such funds were obtained, but excluding any loss of profit) and any customary administrative fees charged by the Lender in connection with the foregoing. Such loss, cost or expense to any Lender shall be deemed to be the amount reasonably determined by such Lender to be the excess, if any, of (i) the amount of interest which would have accrued on the principal amount of such Loan had such event not occurred, at the Adjusted Eurodollar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U.S. Dollar deposits of a comparable amount and period from other banks in the eurodollar market. If any Lender makes such a claim for compensation, it shall provide to the Borrower, with a copy to the Administrative Agent, a certificate setting forth the amount of such loss, cost or expense in reasonable detail (including an explanation of the basis for and the computation of such loss, cost or expense) in accordance with the previous sentence and the amounts shown on such certificate shall be deemed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correct,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-1658620</wp:posOffset>
            </wp:positionV>
            <wp:extent cx="46291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-1323975</wp:posOffset>
            </wp:positionV>
            <wp:extent cx="2857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-501015</wp:posOffset>
            </wp:positionV>
            <wp:extent cx="2857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i w:val="1"/>
          <w:iCs w:val="1"/>
          <w:color w:val="auto"/>
        </w:rPr>
        <w:t>Commitment Terminations</w:t>
      </w:r>
      <w:r>
        <w:rPr>
          <w:rFonts w:ascii="Arial" w:cs="Arial" w:eastAsia="Arial" w:hAnsi="Arial"/>
          <w:sz w:val="16"/>
          <w:szCs w:val="16"/>
          <w:color w:val="auto"/>
        </w:rPr>
        <w:t xml:space="preserve">. The Borrower shall have the right at any time and from time to time, upon </w:t>
      </w:r>
      <w:r>
        <w:rPr>
          <w:rFonts w:ascii="Arial" w:cs="Arial" w:eastAsia="Arial" w:hAnsi="Arial"/>
          <w:sz w:val="16"/>
          <w:szCs w:val="16"/>
          <w:color w:val="FF0000"/>
          <w:strike w:val="1"/>
        </w:rPr>
        <w:t>at least five (5) Business</w:t>
      </w:r>
      <w:r>
        <w:rPr>
          <w:rFonts w:ascii="Arial" w:cs="Arial" w:eastAsia="Arial" w:hAnsi="Arial"/>
          <w:sz w:val="16"/>
          <w:szCs w:val="16"/>
          <w:color w:val="auto"/>
        </w:rPr>
        <w:t xml:space="preserve"> </w:t>
      </w:r>
      <w:r>
        <w:rPr>
          <w:rFonts w:ascii="Arial" w:cs="Arial" w:eastAsia="Arial" w:hAnsi="Arial"/>
          <w:sz w:val="16"/>
          <w:szCs w:val="16"/>
          <w:color w:val="FF0000"/>
          <w:strike w:val="1"/>
        </w:rPr>
        <w:t>Days</w:t>
      </w:r>
      <w:r>
        <w:rPr>
          <w:rFonts w:ascii="Arial" w:cs="Arial" w:eastAsia="Arial" w:hAnsi="Arial"/>
          <w:sz w:val="16"/>
          <w:szCs w:val="16"/>
          <w:color w:val="FF0000"/>
        </w:rPr>
        <w:t xml:space="preserve"> </w:t>
      </w:r>
      <w:r>
        <w:rPr>
          <w:rFonts w:ascii="Arial" w:cs="Arial" w:eastAsia="Arial" w:hAnsi="Arial"/>
          <w:sz w:val="16"/>
          <w:szCs w:val="16"/>
          <w:color w:val="000000"/>
        </w:rPr>
        <w:t>prior irrevocable (subject to the last sentence of this paragraph) written notice to the Administrative Agent</w:t>
      </w:r>
      <w:r>
        <w:rPr>
          <w:rFonts w:ascii="Arial" w:cs="Arial" w:eastAsia="Arial" w:hAnsi="Arial"/>
          <w:sz w:val="16"/>
          <w:szCs w:val="16"/>
          <w:color w:val="FF0000"/>
        </w:rPr>
        <w:t xml:space="preserve"> </w:t>
      </w:r>
      <w:r>
        <w:rPr>
          <w:rFonts w:ascii="Arial" w:cs="Arial" w:eastAsia="Arial" w:hAnsi="Arial"/>
          <w:sz w:val="16"/>
          <w:szCs w:val="16"/>
          <w:color w:val="0000E1"/>
        </w:rPr>
        <w:t>not later than 12:00 noon (New York</w:t>
      </w:r>
      <w:r>
        <w:rPr>
          <w:rFonts w:ascii="Arial" w:cs="Arial" w:eastAsia="Arial" w:hAnsi="Arial"/>
          <w:sz w:val="16"/>
          <w:szCs w:val="16"/>
          <w:color w:val="FF0000"/>
        </w:rPr>
        <w:t xml:space="preserve"> </w:t>
      </w:r>
      <w:r>
        <w:rPr>
          <w:rFonts w:ascii="Arial" w:cs="Arial" w:eastAsia="Arial" w:hAnsi="Arial"/>
          <w:sz w:val="16"/>
          <w:szCs w:val="16"/>
          <w:u w:val="single" w:color="auto"/>
          <w:color w:val="0000E1"/>
        </w:rPr>
        <w:t>time) five (5) Business Days prior to the date of termination or reduction</w:t>
      </w:r>
      <w:r>
        <w:rPr>
          <w:rFonts w:ascii="Arial" w:cs="Arial" w:eastAsia="Arial" w:hAnsi="Arial"/>
          <w:sz w:val="16"/>
          <w:szCs w:val="16"/>
          <w:color w:val="000000"/>
        </w:rPr>
        <w:t>, to terminate the Revolving Credit Commitments without premium or penalty</w:t>
      </w:r>
      <w:r>
        <w:rPr>
          <w:rFonts w:ascii="Arial" w:cs="Arial" w:eastAsia="Arial" w:hAnsi="Arial"/>
          <w:sz w:val="16"/>
          <w:szCs w:val="16"/>
          <w:color w:val="0000E1"/>
        </w:rPr>
        <w:t xml:space="preserve"> </w:t>
      </w:r>
      <w:r>
        <w:rPr>
          <w:rFonts w:ascii="Arial" w:cs="Arial" w:eastAsia="Arial" w:hAnsi="Arial"/>
          <w:sz w:val="16"/>
          <w:szCs w:val="16"/>
          <w:color w:val="000000"/>
        </w:rPr>
        <w:t xml:space="preserve">and in whole or in part, to reduce such Revolving Credit Commitments, any partial termination to be (i) in an amount not less than $10,000,000 or any whole multiple of $1,000,000 in excess thereof and (ii) allocated ratably among the Lenders in proportion to their respective Revolver Percentages of the relevant Class, as applicable,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such Revolving Credit Commitment may not be reduced to an amount less than the sum of the aggregate principal amount of Revolving Loans, Swing Loans, and L/C Obligations then outstanding in respect of such Class, except to the extent of any prepayment of Revolving Loans and Swing Loans or cash collateralization of L/C Obligations in connection therewith. Any termination of the Revolving Credit Commitments below the L/C Sublimit or Swing Line Sublimit then in effect with respect to such Class shall reduce the L/C Sublimit and Swing Line Sublimit, as applicable, to such amount. The Administrative Agent shall give prompt notice to each applicable Lender of any such termination of the relevant Revolving Credit Commitments. Any termination of the Commitments pursuant to this </w:t>
      </w:r>
      <w:r>
        <w:rPr>
          <w:rFonts w:ascii="Arial" w:cs="Arial" w:eastAsia="Arial" w:hAnsi="Arial"/>
          <w:sz w:val="16"/>
          <w:szCs w:val="16"/>
          <w:u w:val="single" w:color="auto"/>
          <w:color w:val="000000"/>
        </w:rPr>
        <w:t>Section 1.13</w:t>
      </w:r>
      <w:r>
        <w:rPr>
          <w:rFonts w:ascii="Arial" w:cs="Arial" w:eastAsia="Arial" w:hAnsi="Arial"/>
          <w:sz w:val="16"/>
          <w:szCs w:val="16"/>
          <w:color w:val="000000"/>
        </w:rPr>
        <w:t xml:space="preserve"> may not be reinstated. Notwithstanding the foregoing, the Borrower may rescind or postpone any notice of termination of the Revolving Credit Commitments of any Class if such termination would have resulted from transactions, which transactions shall not be consummated or otherwise shall be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2202180</wp:posOffset>
            </wp:positionH>
            <wp:positionV relativeFrom="paragraph">
              <wp:posOffset>-1731645</wp:posOffset>
            </wp:positionV>
            <wp:extent cx="2857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-1517015</wp:posOffset>
            </wp:positionV>
            <wp:extent cx="17145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5118100</wp:posOffset>
            </wp:positionH>
            <wp:positionV relativeFrom="paragraph">
              <wp:posOffset>-1551305</wp:posOffset>
            </wp:positionV>
            <wp:extent cx="17113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7113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-1379855</wp:posOffset>
            </wp:positionV>
            <wp:extent cx="332613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2613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-771525</wp:posOffset>
            </wp:positionV>
            <wp:extent cx="2857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-497205</wp:posOffset>
            </wp:positionV>
            <wp:extent cx="2857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-360045</wp:posOffset>
            </wp:positionV>
            <wp:extent cx="2857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4"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i w:val="1"/>
          <w:iCs w:val="1"/>
          <w:color w:val="auto"/>
        </w:rPr>
        <w:t>Substitution of Lenders</w:t>
      </w:r>
      <w:r>
        <w:rPr>
          <w:rFonts w:ascii="Arial" w:cs="Arial" w:eastAsia="Arial" w:hAnsi="Arial"/>
          <w:sz w:val="18"/>
          <w:szCs w:val="18"/>
          <w:color w:val="auto"/>
        </w:rPr>
        <w:t xml:space="preserve">. In the event (a) any Lender fails to fund (i) its Revolver Percentage of a Borrowing of Revolving Loans at a time when all of the conditions precedent under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as applicable, have been satisfied or fails to fund its Revolver Percentage of amounts owed under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1.15</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or (ii) any portion of its Term Loans pursuant to any outstanding Term Loan Commitment at a time when all conditions precedent applicable thereto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-488950</wp:posOffset>
            </wp:positionV>
            <wp:extent cx="2857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80" w:name="page81"/>
    <w:bookmarkEnd w:id="80"/>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 the Borrower receives a claim from any Lender or any governmental authority on account of any Lender for compensation under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13.1</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(c) the Borrower receives notice from any Lender of any illegality pursuant to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(d) any Lender is a Defaulting Lender or is otherwise in default in any material respect with respect to its obligations under the Loan Documents or (e) a Lender fails to consent to an amendment, waiver or other modification requested under </w:t>
      </w:r>
      <w:r>
        <w:rPr>
          <w:rFonts w:ascii="Arial" w:cs="Arial" w:eastAsia="Arial" w:hAnsi="Arial"/>
          <w:sz w:val="16"/>
          <w:szCs w:val="16"/>
          <w:u w:val="single" w:color="auto"/>
          <w:color w:val="auto"/>
        </w:rPr>
        <w:t>Section 13.13</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at a time when the Required Lenders (or the requisite Lenders whose consent is required under </w:t>
      </w:r>
      <w:r>
        <w:rPr>
          <w:rFonts w:ascii="Arial" w:cs="Arial" w:eastAsia="Arial" w:hAnsi="Arial"/>
          <w:sz w:val="16"/>
          <w:szCs w:val="16"/>
          <w:u w:val="single" w:color="auto"/>
          <w:color w:val="auto"/>
        </w:rPr>
        <w:t>Section 13.13</w:t>
      </w:r>
      <w:r>
        <w:rPr>
          <w:rFonts w:ascii="Arial" w:cs="Arial" w:eastAsia="Arial" w:hAnsi="Arial"/>
          <w:sz w:val="16"/>
          <w:szCs w:val="16"/>
          <w:color w:val="auto"/>
        </w:rPr>
        <w:t xml:space="preserve">) have approved such amendment or waiver (any such Lender referred to in </w:t>
      </w:r>
      <w:r>
        <w:rPr>
          <w:rFonts w:ascii="Arial" w:cs="Arial" w:eastAsia="Arial" w:hAnsi="Arial"/>
          <w:sz w:val="16"/>
          <w:szCs w:val="16"/>
          <w:u w:val="single" w:color="auto"/>
          <w:color w:val="auto"/>
        </w:rPr>
        <w:t>clause</w:t>
      </w:r>
      <w:r>
        <w:rPr>
          <w:rFonts w:ascii="Arial" w:cs="Arial" w:eastAsia="Arial" w:hAnsi="Arial"/>
          <w:sz w:val="16"/>
          <w:szCs w:val="16"/>
          <w:u w:val="single" w:color="auto"/>
          <w:color w:val="FF0000"/>
          <w:strike w:val="1"/>
        </w:rPr>
        <w:t>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above, an “</w:t>
      </w:r>
      <w:r>
        <w:rPr>
          <w:rFonts w:ascii="Arial" w:cs="Arial" w:eastAsia="Arial" w:hAnsi="Arial"/>
          <w:sz w:val="16"/>
          <w:szCs w:val="16"/>
          <w:i w:val="1"/>
          <w:iCs w:val="1"/>
          <w:color w:val="auto"/>
        </w:rPr>
        <w:t>Affected Lender</w:t>
      </w:r>
      <w:r>
        <w:rPr>
          <w:rFonts w:ascii="Arial" w:cs="Arial" w:eastAsia="Arial" w:hAnsi="Arial"/>
          <w:sz w:val="16"/>
          <w:szCs w:val="16"/>
          <w:color w:val="auto"/>
        </w:rPr>
        <w:t xml:space="preserve">”), the Borrower may, in addition to any other rights the Borrower may have hereunder or under applicable law, (i) solely in the case of </w:t>
      </w:r>
      <w:r>
        <w:rPr>
          <w:rFonts w:ascii="Arial" w:cs="Arial" w:eastAsia="Arial" w:hAnsi="Arial"/>
          <w:sz w:val="16"/>
          <w:szCs w:val="16"/>
          <w:u w:val="single" w:color="auto"/>
          <w:color w:val="auto"/>
        </w:rPr>
        <w:t>clause</w:t>
      </w:r>
      <w:r>
        <w:rPr>
          <w:rFonts w:ascii="Arial" w:cs="Arial" w:eastAsia="Arial" w:hAnsi="Arial"/>
          <w:sz w:val="16"/>
          <w:szCs w:val="16"/>
          <w:u w:val="single" w:color="auto"/>
          <w:color w:val="FF0000"/>
          <w:strike w:val="1"/>
        </w:rPr>
        <w:t>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prepay the relevant Loans and/or terminate the relevant Commitments of such Affected Lender in respect of the relevant Credit Facility and the relevant Class thereunder, in any case at par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interest and fees, and additional amounts owed hereunder, but excluding any amount required by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if any or (ii) require, at the Borrower’s expense, any such Affected Lender to assign, at par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interest and fees, if any, </w:t>
      </w:r>
      <w:r>
        <w:rPr>
          <w:rFonts w:ascii="Arial" w:cs="Arial" w:eastAsia="Arial" w:hAnsi="Arial"/>
          <w:sz w:val="16"/>
          <w:szCs w:val="16"/>
          <w:u w:val="single" w:color="auto"/>
          <w:color w:val="0000E1"/>
        </w:rPr>
        <w:t>(to be paid by the assignee)</w:t>
      </w:r>
      <w:r>
        <w:rPr>
          <w:rFonts w:ascii="Arial" w:cs="Arial" w:eastAsia="Arial" w:hAnsi="Arial"/>
          <w:sz w:val="16"/>
          <w:szCs w:val="16"/>
          <w:color w:val="auto"/>
        </w:rPr>
        <w:t xml:space="preserve"> without recourse (other than as set forth in the applicable Assignment and Assumption), all of its interest, rights, and obligations hereunder in respect of the relevant Credit Facility and the relevant Class thereunder (including all of its relevant Commitments and the relevant Loans and Participating Interests in Letters of Credit and other amounts at any time owing to it hereunder and the other Loan Documents in respect of such Credit Facility and the relevant Class thereunder) to a Lender hereunder or an Eligible Assignee specified by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5612130</wp:posOffset>
            </wp:positionH>
            <wp:positionV relativeFrom="paragraph">
              <wp:posOffset>-1121410</wp:posOffset>
            </wp:positionV>
            <wp:extent cx="15494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54940" cy="8255"/>
                    </a:xfrm>
                    <a:prstGeom prst="rect">
                      <a:avLst/>
                    </a:prstGeom>
                    <a:noFill/>
                  </pic:spPr>
                </pic:pic>
              </a:graphicData>
            </a:graphic>
          </wp:anchor>
        </w:drawing>
        <w:drawing>
          <wp:anchor simplePos="0" relativeHeight="251657728" behindDoc="1" locked="0" layoutInCell="0" allowOverlap="1">
            <wp:simplePos x="0" y="0"/>
            <wp:positionH relativeFrom="column">
              <wp:posOffset>453390</wp:posOffset>
            </wp:positionH>
            <wp:positionV relativeFrom="paragraph">
              <wp:posOffset>-847090</wp:posOffset>
            </wp:positionV>
            <wp:extent cx="15494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5494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-401320</wp:posOffset>
            </wp:positionV>
            <wp:extent cx="125158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4" w:right="60" w:hanging="4"/>
        <w:spacing w:after="0" w:line="286" w:lineRule="auto"/>
        <w:tabs>
          <w:tab w:leader="none" w:pos="299"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such assignment shall not conflict with or violate any law, rule or regulation or order of any court or other governmental authority, (x) the Borrower shall have received written consent of the Administrative Agent as required by </w:t>
      </w:r>
      <w:r>
        <w:rPr>
          <w:rFonts w:ascii="Arial" w:cs="Arial" w:eastAsia="Arial" w:hAnsi="Arial"/>
          <w:sz w:val="16"/>
          <w:szCs w:val="16"/>
          <w:u w:val="single" w:color="auto"/>
          <w:color w:val="auto"/>
        </w:rPr>
        <w:t>Section 13.12</w:t>
      </w:r>
      <w:r>
        <w:rPr>
          <w:rFonts w:ascii="Arial" w:cs="Arial" w:eastAsia="Arial" w:hAnsi="Arial"/>
          <w:sz w:val="16"/>
          <w:szCs w:val="16"/>
          <w:color w:val="auto"/>
        </w:rPr>
        <w:t xml:space="preserve">, (y) the Borrower shall have paid to the Affected Lender all amounts (which, for the avoidance of doubt, shall exclude any amounts referred to under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other than such principal owing to such Affected Lender hereunder, and (z) the assignment is entered into in accordance with the other requirements of </w:t>
      </w:r>
      <w:r>
        <w:rPr>
          <w:rFonts w:ascii="Arial" w:cs="Arial" w:eastAsia="Arial" w:hAnsi="Arial"/>
          <w:sz w:val="16"/>
          <w:szCs w:val="16"/>
          <w:u w:val="single" w:color="auto"/>
          <w:color w:val="auto"/>
        </w:rPr>
        <w:t>Section 13.12</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assignment fees and reimbursable expenses due thereunder shall be paid by the assignee Lender, commercial bank or other financial institution, as the case may be. In the event that an Affected Lender does not comply with the requirements of this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within one </w:t>
      </w:r>
      <w:r>
        <w:rPr>
          <w:rFonts w:ascii="Arial" w:cs="Arial" w:eastAsia="Arial" w:hAnsi="Arial"/>
          <w:sz w:val="16"/>
          <w:szCs w:val="16"/>
          <w:u w:val="single" w:color="auto"/>
          <w:color w:val="0000E1"/>
        </w:rPr>
        <w:t>(1)</w:t>
      </w:r>
      <w:r>
        <w:rPr>
          <w:rFonts w:ascii="Arial" w:cs="Arial" w:eastAsia="Arial" w:hAnsi="Arial"/>
          <w:sz w:val="16"/>
          <w:szCs w:val="16"/>
          <w:color w:val="auto"/>
        </w:rPr>
        <w:t xml:space="preserve"> Business Day after receipt of notice of its status as an Affected Lender, each Lender hereby authorizes and directs the Administrative Agent to execute and deliver such documentation as may be required to give effect to an assignment in accordance with </w:t>
      </w:r>
      <w:r>
        <w:rPr>
          <w:rFonts w:ascii="Arial" w:cs="Arial" w:eastAsia="Arial" w:hAnsi="Arial"/>
          <w:sz w:val="16"/>
          <w:szCs w:val="16"/>
          <w:u w:val="single" w:color="auto"/>
          <w:color w:val="auto"/>
        </w:rPr>
        <w:t>Section 13.12</w:t>
      </w:r>
      <w:r>
        <w:rPr>
          <w:rFonts w:ascii="Arial" w:cs="Arial" w:eastAsia="Arial" w:hAnsi="Arial"/>
          <w:sz w:val="16"/>
          <w:szCs w:val="16"/>
          <w:color w:val="auto"/>
        </w:rPr>
        <w:t xml:space="preserve"> on behalf of an Affected Lender and any such documentation so executed by the Administrative Agent shall be effective for purposes of documenting an assignment pursuant to </w:t>
      </w:r>
      <w:r>
        <w:rPr>
          <w:rFonts w:ascii="Arial" w:cs="Arial" w:eastAsia="Arial" w:hAnsi="Arial"/>
          <w:sz w:val="16"/>
          <w:szCs w:val="16"/>
          <w:u w:val="single" w:color="auto"/>
          <w:color w:val="auto"/>
        </w:rPr>
        <w:t>Section 13.12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-497840</wp:posOffset>
            </wp:positionV>
            <wp:extent cx="2857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5537835</wp:posOffset>
            </wp:positionH>
            <wp:positionV relativeFrom="paragraph">
              <wp:posOffset>-421005</wp:posOffset>
            </wp:positionV>
            <wp:extent cx="12890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60"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6"/>
          <w:szCs w:val="16"/>
          <w:i w:val="1"/>
          <w:iCs w:val="1"/>
          <w:color w:val="auto"/>
        </w:rPr>
        <w:t>Swing Loans</w:t>
      </w:r>
      <w:r>
        <w:rPr>
          <w:rFonts w:ascii="Arial" w:cs="Arial" w:eastAsia="Arial" w:hAnsi="Arial"/>
          <w:sz w:val="16"/>
          <w:szCs w:val="16"/>
          <w:i w:val="1"/>
          <w:iCs w:val="1"/>
          <w:color w:val="FF0000"/>
          <w:strike w:val="1"/>
        </w:rPr>
        <w:t>(a)</w:t>
      </w:r>
      <w:r>
        <w:rPr>
          <w:rFonts w:ascii="Arial" w:cs="Arial" w:eastAsia="Arial" w:hAnsi="Arial"/>
          <w:sz w:val="16"/>
          <w:szCs w:val="16"/>
          <w:i w:val="1"/>
          <w:iCs w:val="1"/>
          <w:color w:val="auto"/>
        </w:rPr>
        <w:t xml:space="preserve"> . </w:t>
      </w:r>
      <w:r>
        <w:rPr>
          <w:rFonts w:ascii="Arial" w:cs="Arial" w:eastAsia="Arial" w:hAnsi="Arial"/>
          <w:sz w:val="16"/>
          <w:szCs w:val="16"/>
          <w:color w:val="FF0000"/>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-53340</wp:posOffset>
            </wp:positionV>
            <wp:extent cx="15494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54940" cy="8255"/>
                    </a:xfrm>
                    <a:prstGeom prst="rect">
                      <a:avLst/>
                    </a:prstGeom>
                    <a:noFill/>
                  </pic:spPr>
                </pic:pic>
              </a:graphicData>
            </a:graphic>
          </wp:anchor>
        </w:drawing>
      </w:r>
    </w:p>
    <w:p>
      <w:pPr>
        <w:spacing w:after="0" w:line="97" w:lineRule="exact"/>
        <w:rPr>
          <w:sz w:val="20"/>
          <w:szCs w:val="20"/>
          <w:color w:val="auto"/>
        </w:rPr>
      </w:pPr>
    </w:p>
    <w:p>
      <w:pPr>
        <w:ind w:left="4" w:right="20" w:firstLine="987"/>
        <w:spacing w:after="0" w:line="269" w:lineRule="auto"/>
        <w:tabs>
          <w:tab w:leader="none" w:pos="1420" w:val="left"/>
        </w:tabs>
        <w:numPr>
          <w:ilvl w:val="0"/>
          <w:numId w:val="83"/>
        </w:numPr>
        <w:rPr>
          <w:rFonts w:ascii="Arial" w:cs="Arial" w:eastAsia="Arial" w:hAnsi="Arial"/>
          <w:sz w:val="17"/>
          <w:szCs w:val="17"/>
          <w:u w:val="single" w:color="auto"/>
          <w:color w:val="0000E1"/>
        </w:rPr>
      </w:pPr>
      <w:r>
        <w:rPr>
          <w:rFonts w:ascii="Arial" w:cs="Arial" w:eastAsia="Arial" w:hAnsi="Arial"/>
          <w:sz w:val="17"/>
          <w:szCs w:val="17"/>
          <w:i w:val="1"/>
          <w:iCs w:val="1"/>
          <w:color w:val="auto"/>
        </w:rPr>
        <w:t xml:space="preserve">Generally. </w:t>
      </w:r>
      <w:r>
        <w:rPr>
          <w:rFonts w:ascii="Arial" w:cs="Arial" w:eastAsia="Arial" w:hAnsi="Arial"/>
          <w:sz w:val="17"/>
          <w:szCs w:val="17"/>
          <w:color w:val="auto"/>
        </w:rPr>
        <w:t>Subject to the terms and conditions hereof (with determination of satisfaction of the conditions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7.1</w:t>
      </w:r>
      <w:r>
        <w:rPr>
          <w:rFonts w:ascii="Arial" w:cs="Arial" w:eastAsia="Arial" w:hAnsi="Arial"/>
          <w:sz w:val="17"/>
          <w:szCs w:val="17"/>
          <w:i w:val="1"/>
          <w:iCs w:val="1"/>
          <w:color w:val="auto"/>
        </w:rPr>
        <w:t xml:space="preserve"> </w:t>
      </w:r>
      <w:r>
        <w:rPr>
          <w:rFonts w:ascii="Arial" w:cs="Arial" w:eastAsia="Arial" w:hAnsi="Arial"/>
          <w:sz w:val="17"/>
          <w:szCs w:val="17"/>
          <w:color w:val="auto"/>
        </w:rPr>
        <w:t>to be made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the Swing Line Lender in its sole discretion, unless otherwise directed by the Required Revolving Lenders), as part of the Revolving Credit Facility, the Swing Line Lender, in reliance upon the agreements of the other Lenders set forth in this </w:t>
      </w:r>
      <w:r>
        <w:rPr>
          <w:rFonts w:ascii="Arial" w:cs="Arial" w:eastAsia="Arial" w:hAnsi="Arial"/>
          <w:sz w:val="17"/>
          <w:szCs w:val="17"/>
          <w:u w:val="single" w:color="auto"/>
          <w:color w:val="auto"/>
        </w:rPr>
        <w:t>Section 1.15</w:t>
      </w:r>
      <w:r>
        <w:rPr>
          <w:rFonts w:ascii="Arial" w:cs="Arial" w:eastAsia="Arial" w:hAnsi="Arial"/>
          <w:sz w:val="17"/>
          <w:szCs w:val="17"/>
          <w:color w:val="auto"/>
        </w:rPr>
        <w:t>, will make loans in U.S. Dollars to the Borrower under the Swing Line Facility (individually a “</w:t>
      </w:r>
      <w:r>
        <w:rPr>
          <w:rFonts w:ascii="Arial" w:cs="Arial" w:eastAsia="Arial" w:hAnsi="Arial"/>
          <w:sz w:val="17"/>
          <w:szCs w:val="17"/>
          <w:i w:val="1"/>
          <w:iCs w:val="1"/>
          <w:color w:val="auto"/>
        </w:rPr>
        <w:t>Swing Loan</w:t>
      </w:r>
      <w:r>
        <w:rPr>
          <w:rFonts w:ascii="Arial" w:cs="Arial" w:eastAsia="Arial" w:hAnsi="Arial"/>
          <w:sz w:val="17"/>
          <w:szCs w:val="17"/>
          <w:color w:val="auto"/>
        </w:rPr>
        <w:t>” and collectively the “</w:t>
      </w:r>
      <w:r>
        <w:rPr>
          <w:rFonts w:ascii="Arial" w:cs="Arial" w:eastAsia="Arial" w:hAnsi="Arial"/>
          <w:sz w:val="17"/>
          <w:szCs w:val="17"/>
          <w:i w:val="1"/>
          <w:iCs w:val="1"/>
          <w:color w:val="auto"/>
        </w:rPr>
        <w:t>Swing Loans</w:t>
      </w:r>
      <w:r>
        <w:rPr>
          <w:rFonts w:ascii="Arial" w:cs="Arial" w:eastAsia="Arial" w:hAnsi="Arial"/>
          <w:sz w:val="17"/>
          <w:szCs w:val="17"/>
          <w:color w:val="auto"/>
        </w:rPr>
        <w:t xml:space="preserve">”) which shall not in the aggregate at any time outstanding exceed the Swing Line Sublimit, notwithstanding the fact that such Swing Loans, when aggregated with the Percentage of the aggregate outstanding principal amount of Loans and L/C Obligations of the Lender acting as Swing Line Lender, may exceed the amount of such Swing Line Lender’s Commitment. The Swing Loans may be borrowed by the Borrower from time to time </w:t>
      </w:r>
      <w:r>
        <w:rPr>
          <w:rFonts w:ascii="Arial" w:cs="Arial" w:eastAsia="Arial" w:hAnsi="Arial"/>
          <w:sz w:val="17"/>
          <w:szCs w:val="17"/>
          <w:u w:val="single" w:color="auto"/>
          <w:color w:val="0000E1"/>
        </w:rPr>
        <w:t>before the Revolving Credit Termination Date (but not</w:t>
      </w:r>
      <w:r>
        <w:rPr>
          <w:rFonts w:ascii="Arial" w:cs="Arial" w:eastAsia="Arial" w:hAnsi="Arial"/>
          <w:sz w:val="17"/>
          <w:szCs w:val="17"/>
          <w:color w:val="auto"/>
        </w:rPr>
        <w:t xml:space="preserve"> </w:t>
      </w:r>
      <w:r>
        <w:rPr>
          <w:rFonts w:ascii="Arial" w:cs="Arial" w:eastAsia="Arial" w:hAnsi="Arial"/>
          <w:sz w:val="17"/>
          <w:szCs w:val="17"/>
          <w:u w:val="single" w:color="auto"/>
          <w:color w:val="0000E1"/>
        </w:rPr>
        <w:t>during the Covenant Suspension Period)</w:t>
      </w:r>
      <w:r>
        <w:rPr>
          <w:rFonts w:ascii="Arial" w:cs="Arial" w:eastAsia="Arial" w:hAnsi="Arial"/>
          <w:sz w:val="17"/>
          <w:szCs w:val="17"/>
          <w:color w:val="0000E1"/>
        </w:rPr>
        <w:t xml:space="preserve"> </w:t>
      </w:r>
      <w:r>
        <w:rPr>
          <w:rFonts w:ascii="Arial" w:cs="Arial" w:eastAsia="Arial" w:hAnsi="Arial"/>
          <w:sz w:val="17"/>
          <w:szCs w:val="17"/>
          <w:color w:val="000000"/>
        </w:rPr>
        <w:t>and Borrowings thereunder may be repaid and</w:t>
      </w:r>
      <w:r>
        <w:rPr>
          <w:rFonts w:ascii="Arial" w:cs="Arial" w:eastAsia="Arial" w:hAnsi="Arial"/>
          <w:sz w:val="17"/>
          <w:szCs w:val="17"/>
          <w:color w:val="0000E1"/>
        </w:rPr>
        <w:t xml:space="preserve"> </w:t>
      </w:r>
      <w:r>
        <w:rPr>
          <w:rFonts w:ascii="Arial" w:cs="Arial" w:eastAsia="Arial" w:hAnsi="Arial"/>
          <w:sz w:val="17"/>
          <w:szCs w:val="17"/>
          <w:color w:val="FF0000"/>
          <w:strike w:val="1"/>
        </w:rPr>
        <w:t>used again during the period ending on</w:t>
      </w:r>
      <w:r>
        <w:rPr>
          <w:rFonts w:ascii="Arial" w:cs="Arial" w:eastAsia="Arial" w:hAnsi="Arial"/>
          <w:sz w:val="17"/>
          <w:szCs w:val="17"/>
          <w:u w:val="single" w:color="auto"/>
          <w:color w:val="0000E1"/>
        </w:rPr>
        <w:t>subsequently reborrowed</w:t>
      </w:r>
      <w:r>
        <w:rPr>
          <w:rFonts w:ascii="Arial" w:cs="Arial" w:eastAsia="Arial" w:hAnsi="Arial"/>
          <w:sz w:val="17"/>
          <w:szCs w:val="17"/>
          <w:color w:val="0000E1"/>
        </w:rPr>
        <w:t xml:space="preserve"> </w:t>
      </w:r>
      <w:r>
        <w:rPr>
          <w:rFonts w:ascii="Arial" w:cs="Arial" w:eastAsia="Arial" w:hAnsi="Arial"/>
          <w:sz w:val="17"/>
          <w:szCs w:val="17"/>
          <w:u w:val="single" w:color="auto"/>
          <w:color w:val="0000E1"/>
        </w:rPr>
        <w:t>before</w:t>
      </w:r>
      <w:r>
        <w:rPr>
          <w:rFonts w:ascii="Arial" w:cs="Arial" w:eastAsia="Arial" w:hAnsi="Arial"/>
          <w:sz w:val="17"/>
          <w:szCs w:val="17"/>
          <w:color w:val="0000E1"/>
        </w:rPr>
        <w:t xml:space="preserve"> </w:t>
      </w:r>
      <w:r>
        <w:rPr>
          <w:rFonts w:ascii="Arial" w:cs="Arial" w:eastAsia="Arial" w:hAnsi="Arial"/>
          <w:sz w:val="17"/>
          <w:szCs w:val="17"/>
          <w:color w:val="000000"/>
        </w:rPr>
        <w:t>the Revolving Credit Termination Date</w:t>
      </w:r>
      <w:r>
        <w:rPr>
          <w:rFonts w:ascii="Arial" w:cs="Arial" w:eastAsia="Arial" w:hAnsi="Arial"/>
          <w:sz w:val="17"/>
          <w:szCs w:val="17"/>
          <w:color w:val="0000E1"/>
        </w:rPr>
        <w:t xml:space="preserve"> (but not during the Covenant Suspension Period)</w:t>
      </w:r>
      <w:r>
        <w:rPr>
          <w:rFonts w:ascii="Arial" w:cs="Arial" w:eastAsia="Arial" w:hAnsi="Arial"/>
          <w:sz w:val="17"/>
          <w:szCs w:val="17"/>
          <w:color w:val="000000"/>
        </w:rPr>
        <w:t>;</w:t>
      </w:r>
      <w:r>
        <w:rPr>
          <w:rFonts w:ascii="Arial" w:cs="Arial" w:eastAsia="Arial" w:hAnsi="Arial"/>
          <w:sz w:val="17"/>
          <w:szCs w:val="17"/>
          <w:color w:val="0000E1"/>
        </w:rPr>
        <w:t xml:space="preserve"> </w:t>
      </w:r>
      <w:r>
        <w:rPr>
          <w:rFonts w:ascii="Arial" w:cs="Arial" w:eastAsia="Arial" w:hAnsi="Arial"/>
          <w:sz w:val="17"/>
          <w:szCs w:val="17"/>
          <w:i w:val="1"/>
          <w:iCs w:val="1"/>
          <w:color w:val="000000"/>
        </w:rPr>
        <w:t>provided</w:t>
      </w:r>
      <w:r>
        <w:rPr>
          <w:rFonts w:ascii="Arial" w:cs="Arial" w:eastAsia="Arial" w:hAnsi="Arial"/>
          <w:sz w:val="17"/>
          <w:szCs w:val="17"/>
          <w:color w:val="0000E1"/>
        </w:rPr>
        <w:t xml:space="preserve"> </w:t>
      </w:r>
      <w:r>
        <w:rPr>
          <w:rFonts w:ascii="Arial" w:cs="Arial" w:eastAsia="Arial" w:hAnsi="Arial"/>
          <w:sz w:val="17"/>
          <w:szCs w:val="17"/>
          <w:color w:val="000000"/>
        </w:rPr>
        <w:t>that each Swing Loan must be repaid on the</w:t>
      </w:r>
      <w:r>
        <w:rPr>
          <w:rFonts w:ascii="Arial" w:cs="Arial" w:eastAsia="Arial" w:hAnsi="Arial"/>
          <w:sz w:val="17"/>
          <w:szCs w:val="17"/>
          <w:color w:val="0000E1"/>
        </w:rPr>
        <w:t xml:space="preserve"> </w:t>
      </w:r>
      <w:r>
        <w:rPr>
          <w:rFonts w:ascii="Arial" w:cs="Arial" w:eastAsia="Arial" w:hAnsi="Arial"/>
          <w:sz w:val="17"/>
          <w:szCs w:val="17"/>
          <w:color w:val="000000"/>
        </w:rPr>
        <w:t>last day of the Interest Period applicable thereto. Each Swing Loan shall be in a minimum amount of $100,000 or such greater amount which is an integral multiple of $50,000.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-1374775</wp:posOffset>
            </wp:positionV>
            <wp:extent cx="12890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1377950</wp:posOffset>
            </wp:positionH>
            <wp:positionV relativeFrom="paragraph">
              <wp:posOffset>-1452245</wp:posOffset>
            </wp:positionV>
            <wp:extent cx="2857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-551815</wp:posOffset>
            </wp:positionV>
            <wp:extent cx="24942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4942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-414655</wp:posOffset>
            </wp:positionV>
            <wp:extent cx="18427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842770" cy="8255"/>
                    </a:xfrm>
                    <a:prstGeom prst="rect">
                      <a:avLst/>
                    </a:prstGeom>
                    <a:noFill/>
                  </pic:spPr>
                </pic:pic>
              </a:graphicData>
            </a:graphic>
          </wp:anchor>
        </w:drawing>
        <w:drawing>
          <wp:anchor simplePos="0" relativeHeight="251657728" behindDoc="1" locked="0" layoutInCell="0" allowOverlap="1">
            <wp:simplePos x="0" y="0"/>
            <wp:positionH relativeFrom="column">
              <wp:posOffset>5803265</wp:posOffset>
            </wp:positionH>
            <wp:positionV relativeFrom="paragraph">
              <wp:posOffset>-414655</wp:posOffset>
            </wp:positionV>
            <wp:extent cx="115760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1576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-277495</wp:posOffset>
            </wp:positionV>
            <wp:extent cx="29146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2108835</wp:posOffset>
            </wp:positionH>
            <wp:positionV relativeFrom="paragraph">
              <wp:posOffset>-277495</wp:posOffset>
            </wp:positionV>
            <wp:extent cx="226314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2108200</wp:posOffset>
            </wp:positionH>
            <wp:positionV relativeFrom="paragraph">
              <wp:posOffset>-311785</wp:posOffset>
            </wp:positionV>
            <wp:extent cx="226250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262505" cy="8890"/>
                    </a:xfrm>
                    <a:prstGeom prst="rect">
                      <a:avLst/>
                    </a:prstGeom>
                    <a:noFill/>
                  </pic:spPr>
                </pic:pic>
              </a:graphicData>
            </a:graphic>
          </wp:anchor>
        </w:drawing>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81" w:name="page82"/>
    <w:bookmarkEnd w:id="81"/>
    <w:p>
      <w:pPr>
        <w:ind w:right="100" w:firstLine="987"/>
        <w:spacing w:after="0" w:line="257" w:lineRule="auto"/>
        <w:tabs>
          <w:tab w:leader="none" w:pos="1381"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 on Swing Loans</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1.10</w:t>
      </w:r>
      <w:r>
        <w:rPr>
          <w:rFonts w:ascii="Arial" w:cs="Arial" w:eastAsia="Arial" w:hAnsi="Arial"/>
          <w:sz w:val="18"/>
          <w:szCs w:val="18"/>
          <w:color w:val="auto"/>
        </w:rPr>
        <w:t>, each Swing Loan shall bear interest until maturity (whether by acceleration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otherwise) at a rate per annum equal to the sum of the Alternate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for Base Rate Loans under the Revolving Credit Facility as from time to time in effect (computed on the basis of a year of 365 or 366 days, as the case may be, for the actual number of days elapsed). Interest on each Swing Loan shall be due and payable on the last day of its Interest Period and at maturity (whether by acceleration or otherwise).</w:t>
      </w:r>
    </w:p>
    <w:p>
      <w:pPr>
        <w:spacing w:after="0" w:line="187" w:lineRule="exact"/>
        <w:rPr>
          <w:rFonts w:ascii="Arial" w:cs="Arial" w:eastAsia="Arial" w:hAnsi="Arial"/>
          <w:sz w:val="18"/>
          <w:szCs w:val="18"/>
          <w:color w:val="auto"/>
        </w:rPr>
      </w:pPr>
    </w:p>
    <w:p>
      <w:pPr>
        <w:ind w:left="1360" w:hanging="373"/>
        <w:spacing w:after="0"/>
        <w:tabs>
          <w:tab w:leader="none" w:pos="136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Requests for Swing Loans</w:t>
      </w:r>
      <w:r>
        <w:rPr>
          <w:rFonts w:ascii="Arial" w:cs="Arial" w:eastAsia="Arial" w:hAnsi="Arial"/>
          <w:sz w:val="17"/>
          <w:szCs w:val="17"/>
          <w:color w:val="auto"/>
        </w:rPr>
        <w:t>. The Borrower shall give the Administrative Agent and the Swing Line Lender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0000E1"/>
        </w:rPr>
        <w:t>irrevocable</w:t>
      </w:r>
      <w:r>
        <w:rPr>
          <w:rFonts w:ascii="Arial" w:cs="Arial" w:eastAsia="Arial" w:hAnsi="Arial"/>
          <w:sz w:val="17"/>
          <w:szCs w:val="17"/>
          <w:i w:val="1"/>
          <w:iCs w:val="1"/>
          <w:color w:val="auto"/>
        </w:rPr>
        <w:t xml:space="preserve"> </w:t>
      </w:r>
      <w:r>
        <w:rPr>
          <w:rFonts w:ascii="Arial" w:cs="Arial" w:eastAsia="Arial" w:hAnsi="Arial"/>
          <w:sz w:val="17"/>
          <w:szCs w:val="17"/>
          <w:color w:val="auto"/>
        </w:rPr>
        <w:t>prior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-868680</wp:posOffset>
            </wp:positionV>
            <wp:extent cx="2857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-457200</wp:posOffset>
            </wp:positionV>
            <wp:extent cx="2857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-45720</wp:posOffset>
            </wp:positionV>
            <wp:extent cx="2857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 w:lineRule="exact"/>
        <w:rPr>
          <w:sz w:val="20"/>
          <w:szCs w:val="20"/>
          <w:color w:val="auto"/>
        </w:rPr>
      </w:pPr>
    </w:p>
    <w:p>
      <w:pPr>
        <w:spacing w:after="0" w:line="286" w:lineRule="auto"/>
        <w:rPr>
          <w:sz w:val="20"/>
          <w:szCs w:val="20"/>
          <w:color w:val="auto"/>
        </w:rPr>
      </w:pPr>
      <w:r>
        <w:rPr>
          <w:rFonts w:ascii="Arial" w:cs="Arial" w:eastAsia="Arial" w:hAnsi="Arial"/>
          <w:sz w:val="16"/>
          <w:szCs w:val="16"/>
          <w:u w:val="single" w:color="auto"/>
          <w:color w:val="0000E1"/>
        </w:rPr>
        <w:t>(</w:t>
      </w:r>
      <w:r>
        <w:rPr>
          <w:rFonts w:ascii="Arial" w:cs="Arial" w:eastAsia="Arial" w:hAnsi="Arial"/>
          <w:sz w:val="16"/>
          <w:szCs w:val="16"/>
          <w:color w:val="000000"/>
        </w:rPr>
        <w:t>A) by telephone, (B) by written notice or (C) by electronic means;</w:t>
      </w:r>
      <w:r>
        <w:rPr>
          <w:rFonts w:ascii="Arial" w:cs="Arial" w:eastAsia="Arial" w:hAnsi="Arial"/>
          <w:sz w:val="16"/>
          <w:szCs w:val="16"/>
          <w:color w:val="0000E1"/>
        </w:rPr>
        <w:t xml:space="preserve"> </w:t>
      </w:r>
      <w:r>
        <w:rPr>
          <w:rFonts w:ascii="Arial" w:cs="Arial" w:eastAsia="Arial" w:hAnsi="Arial"/>
          <w:sz w:val="16"/>
          <w:szCs w:val="16"/>
          <w:i w:val="1"/>
          <w:iCs w:val="1"/>
          <w:color w:val="000000"/>
        </w:rPr>
        <w:t>provided</w:t>
      </w:r>
      <w:r>
        <w:rPr>
          <w:rFonts w:ascii="Arial" w:cs="Arial" w:eastAsia="Arial" w:hAnsi="Arial"/>
          <w:sz w:val="16"/>
          <w:szCs w:val="16"/>
          <w:color w:val="0000E1"/>
        </w:rPr>
        <w:t xml:space="preserve"> </w:t>
      </w:r>
      <w:r>
        <w:rPr>
          <w:rFonts w:ascii="Arial" w:cs="Arial" w:eastAsia="Arial" w:hAnsi="Arial"/>
          <w:sz w:val="16"/>
          <w:szCs w:val="16"/>
          <w:color w:val="000000"/>
        </w:rPr>
        <w:t>that any telephonic notice must be confirmed promptly by delivery to the</w:t>
      </w:r>
      <w:r>
        <w:rPr>
          <w:rFonts w:ascii="Arial" w:cs="Arial" w:eastAsia="Arial" w:hAnsi="Arial"/>
          <w:sz w:val="16"/>
          <w:szCs w:val="16"/>
          <w:color w:val="0000E1"/>
        </w:rPr>
        <w:t xml:space="preserve"> </w:t>
      </w:r>
      <w:r>
        <w:rPr>
          <w:rFonts w:ascii="Arial" w:cs="Arial" w:eastAsia="Arial" w:hAnsi="Arial"/>
          <w:sz w:val="16"/>
          <w:szCs w:val="16"/>
          <w:color w:val="000000"/>
        </w:rPr>
        <w:t>Swing Line Lender and the Administrative Agent of written notice no later than 1:00 p.m. (New York time) on the date upon which the Borrower requests that any Swing Loan be made, of the amount and date of such Swing Loan, and the Interest Period requested therefor. Subject to the terms and conditions hereof, the proceeds of such Swing Loan shall be made available to the Borrower on the date so requested at the offices of the Administrative Agent in New York, New York, by depositing such proceeds to the credit of the Borrower’s operating account maintained with the Administrative Agent or as the Borrower and the Administrative Agent may otherwise agree. Anything contained in the foregoing to the contrary notwithstanding, the undertaking of the Swing Line Lender to make Swing Loans shall be subject to all of the terms and conditions of this Agreement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the Swing Line Lender shall not be obligated to make more than one Swing Loan during any one day and shall be entitled to assume that the conditions precedent to an advance of any Swing Loan have been satisfied unless notified to the contrary by the Administrative Agent or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5715000</wp:posOffset>
            </wp:positionH>
            <wp:positionV relativeFrom="paragraph">
              <wp:posOffset>-1243965</wp:posOffset>
            </wp:positionV>
            <wp:extent cx="51435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-1106805</wp:posOffset>
            </wp:positionV>
            <wp:extent cx="342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-909320</wp:posOffset>
            </wp:positionV>
            <wp:extent cx="2857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-497840</wp:posOffset>
            </wp:positionV>
            <wp:extent cx="2857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2" w:lineRule="exact"/>
        <w:rPr>
          <w:sz w:val="20"/>
          <w:szCs w:val="20"/>
          <w:color w:val="auto"/>
        </w:rPr>
      </w:pPr>
    </w:p>
    <w:p>
      <w:pPr>
        <w:ind w:right="60" w:firstLine="987"/>
        <w:spacing w:after="0" w:line="287" w:lineRule="auto"/>
        <w:tabs>
          <w:tab w:leader="none" w:pos="1381"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Refunding Loans</w:t>
      </w:r>
      <w:r>
        <w:rPr>
          <w:rFonts w:ascii="Arial" w:cs="Arial" w:eastAsia="Arial" w:hAnsi="Arial"/>
          <w:sz w:val="16"/>
          <w:szCs w:val="16"/>
          <w:color w:val="auto"/>
        </w:rPr>
        <w:t>. The Swing Line Lender (i) may, in its sole and absolute discretion (except as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 (ii)</w:t>
      </w:r>
      <w:r>
        <w:rPr>
          <w:rFonts w:ascii="Arial" w:cs="Arial" w:eastAsia="Arial" w:hAnsi="Arial"/>
          <w:sz w:val="16"/>
          <w:szCs w:val="16"/>
          <w:i w:val="1"/>
          <w:iCs w:val="1"/>
          <w:color w:val="auto"/>
        </w:rPr>
        <w:t xml:space="preserve"> </w:t>
      </w:r>
      <w:r>
        <w:rPr>
          <w:rFonts w:ascii="Arial" w:cs="Arial" w:eastAsia="Arial" w:hAnsi="Arial"/>
          <w:sz w:val="16"/>
          <w:szCs w:val="16"/>
          <w:color w:val="FF0000"/>
          <w:strike w:val="1"/>
        </w:rPr>
        <w:t>hereof</w:t>
      </w:r>
      <w:r>
        <w:rPr>
          <w:rFonts w:ascii="Arial" w:cs="Arial" w:eastAsia="Arial" w:hAnsi="Arial"/>
          <w:sz w:val="16"/>
          <w:szCs w:val="16"/>
          <w:u w:val="single" w:color="auto"/>
          <w:color w:val="0000E1"/>
        </w:rPr>
        <w:t>below</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(ii) shall, (x) upon the occurrence and continuation of an Event of Default set forth in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or after acceleration of the Obligations, at any time, or (y) if any Swing Loan shall be outstanding for more than five </w:t>
      </w:r>
      <w:r>
        <w:rPr>
          <w:rFonts w:ascii="Arial" w:cs="Arial" w:eastAsia="Arial" w:hAnsi="Arial"/>
          <w:sz w:val="16"/>
          <w:szCs w:val="16"/>
          <w:u w:val="single" w:color="auto"/>
          <w:color w:val="0000E1"/>
        </w:rPr>
        <w:t>(5)</w:t>
      </w:r>
      <w:r>
        <w:rPr>
          <w:rFonts w:ascii="Arial" w:cs="Arial" w:eastAsia="Arial" w:hAnsi="Arial"/>
          <w:sz w:val="16"/>
          <w:szCs w:val="16"/>
          <w:color w:val="auto"/>
        </w:rPr>
        <w:t xml:space="preserve"> Business Days or if any Swing Loan is or will be outstanding on a date when the Borrower requests that a Revolving Loan of such Class be made, in each case on behalf of the Borrower (which hereby irrevocably authorizes the Swing Line Lender to act on its behalf for such purpose) and with notice to the Borrower and the Administrative Agent, request each Revolving Lender of such Class to make a Revolving Loan in the form of a Base Rate Loan in an amount equal to such Lender’s Revolver Percentage of the amount of the Swing Loans outstanding on the date such notice is given. Unless an Event of Default described in </w:t>
      </w:r>
      <w:r>
        <w:rPr>
          <w:rFonts w:ascii="Arial" w:cs="Arial" w:eastAsia="Arial" w:hAnsi="Arial"/>
          <w:sz w:val="16"/>
          <w:szCs w:val="16"/>
          <w:u w:val="single" w:color="auto"/>
          <w:color w:val="auto"/>
        </w:rPr>
        <w:t>Section 9.1(j)</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9.1(k)</w:t>
      </w:r>
      <w:r>
        <w:rPr>
          <w:rFonts w:ascii="Arial" w:cs="Arial" w:eastAsia="Arial" w:hAnsi="Arial"/>
          <w:sz w:val="16"/>
          <w:szCs w:val="16"/>
          <w:color w:val="auto"/>
        </w:rPr>
        <w:t xml:space="preserve"> exists with respect to the Borrower, regardless of the existence of any other Event of Default, each such Lender shall make the proceeds of its requested Revolving Loan available to the Administrative Agent (for the account of the Swing Line Lender), in immediately available funds, at the Administrative Agent’s principal office in New York, New York, before 1:00 p.m. (New York time) on the Business Day following the day such notice is given. The Administrative Agent shall promptly remit the proceeds of such Borrowing to the Swing Line Lender to repay the outstanding Swing Loans.</w:t>
      </w:r>
    </w:p>
    <w:p>
      <w:pPr>
        <w:spacing w:after="0" w:line="171" w:lineRule="exact"/>
        <w:rPr>
          <w:rFonts w:ascii="Arial" w:cs="Arial" w:eastAsia="Arial" w:hAnsi="Arial"/>
          <w:sz w:val="16"/>
          <w:szCs w:val="16"/>
          <w:color w:val="auto"/>
        </w:rPr>
      </w:pPr>
    </w:p>
    <w:p>
      <w:pPr>
        <w:ind w:right="20" w:firstLine="987"/>
        <w:spacing w:after="0" w:line="290" w:lineRule="auto"/>
        <w:tabs>
          <w:tab w:leader="none" w:pos="1416"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Participations</w:t>
      </w:r>
      <w:r>
        <w:rPr>
          <w:rFonts w:ascii="Arial" w:cs="Arial" w:eastAsia="Arial" w:hAnsi="Arial"/>
          <w:sz w:val="16"/>
          <w:szCs w:val="16"/>
          <w:color w:val="auto"/>
        </w:rPr>
        <w:t>. If any Lender refuses or otherwise fails to make a Revolving Loan when requested by the Swing Line Lender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1.15(d)</w:t>
      </w:r>
      <w:r>
        <w:rPr>
          <w:rFonts w:ascii="Arial" w:cs="Arial" w:eastAsia="Arial" w:hAnsi="Arial"/>
          <w:sz w:val="16"/>
          <w:szCs w:val="16"/>
          <w:color w:val="auto"/>
        </w:rPr>
        <w:t xml:space="preserve"> </w:t>
      </w:r>
      <w:r>
        <w:rPr>
          <w:rFonts w:ascii="Arial" w:cs="Arial" w:eastAsia="Arial" w:hAnsi="Arial"/>
          <w:sz w:val="16"/>
          <w:szCs w:val="16"/>
          <w:color w:val="FF0000"/>
          <w:strike w:val="1"/>
        </w:rPr>
        <w:t>above</w:t>
      </w:r>
      <w:r>
        <w:rPr>
          <w:rFonts w:ascii="Arial" w:cs="Arial" w:eastAsia="Arial" w:hAnsi="Arial"/>
          <w:sz w:val="16"/>
          <w:szCs w:val="16"/>
          <w:color w:val="auto"/>
        </w:rPr>
        <w:t xml:space="preserve"> (because an Event of Default described in </w:t>
      </w:r>
      <w:r>
        <w:rPr>
          <w:rFonts w:ascii="Arial" w:cs="Arial" w:eastAsia="Arial" w:hAnsi="Arial"/>
          <w:sz w:val="16"/>
          <w:szCs w:val="16"/>
          <w:u w:val="single" w:color="auto"/>
          <w:color w:val="auto"/>
        </w:rPr>
        <w:t>Section 9.1(j)</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9.1(k)</w:t>
      </w:r>
      <w:r>
        <w:rPr>
          <w:rFonts w:ascii="Arial" w:cs="Arial" w:eastAsia="Arial" w:hAnsi="Arial"/>
          <w:sz w:val="16"/>
          <w:szCs w:val="16"/>
          <w:color w:val="auto"/>
        </w:rPr>
        <w:t xml:space="preserve"> exists with respect to the Borrower or otherwise), such Lender will, by the time and in the manner such Revolving Loan was to have been funded to the Administrative Agent, purchase from the Administrative Agent an undivided participating interest in the outstanding Swing Loans in an amount equal to its Revolver Percentage of the aggregate principal amount of Swing Loans that were to have been repaid with such Revolving Loans. Each Lender that so purchases a participation in a Swing Loan shall thereafter be entitled to receive its Revolver Percentage of each payment of principal received on the Swing Loan and of interest received thereon accruing from the date such Lender funded to the Swing Line Lender its participation in such Loan. The several obligations of the Lenders under this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shall be absolute, irrevocable and unconditional under any and all circumstances whatsoever and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-2696845</wp:posOffset>
            </wp:positionV>
            <wp:extent cx="2857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-2620010</wp:posOffset>
            </wp:positionV>
            <wp:extent cx="274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-2345690</wp:posOffset>
            </wp:positionV>
            <wp:extent cx="137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-1873885</wp:posOffset>
            </wp:positionV>
            <wp:extent cx="2857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1578610</wp:posOffset>
            </wp:positionH>
            <wp:positionV relativeFrom="paragraph">
              <wp:posOffset>-1050925</wp:posOffset>
            </wp:positionV>
            <wp:extent cx="2857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-502285</wp:posOffset>
            </wp:positionV>
            <wp:extent cx="2857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-227965</wp:posOffset>
            </wp:positionV>
            <wp:extent cx="2857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82" w:name="page83"/>
    <w:bookmarkEnd w:id="8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be subject to any set-off, counterclaim or defense to payment which any Lender may have or have had against the Borrower, any other Lender or any other Person whatsoever. Without limiting the generality of the foregoing, such obligations shall not be affected by any Default or Event of Default or by any reduction or termination of the Commitments of any Lender, and each payment made by a Lender under this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shall be made without any offset, abatement, withholding or reduction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-351790</wp:posOffset>
            </wp:positionV>
            <wp:extent cx="2857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ind w:right="140" w:firstLine="987"/>
        <w:spacing w:after="0" w:line="301" w:lineRule="auto"/>
        <w:tabs>
          <w:tab w:leader="none" w:pos="1351"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Provisions Related to New Revolving Credit Commitments and Extended Revolving Credit Commitments</w:t>
      </w:r>
      <w:r>
        <w:rPr>
          <w:rFonts w:ascii="Arial" w:cs="Arial" w:eastAsia="Arial" w:hAnsi="Arial"/>
          <w:sz w:val="16"/>
          <w:szCs w:val="16"/>
          <w:color w:val="auto"/>
        </w:rPr>
        <w:t>. If the maturity date shall</w:t>
      </w:r>
      <w:r>
        <w:rPr>
          <w:rFonts w:ascii="Arial" w:cs="Arial" w:eastAsia="Arial" w:hAnsi="Arial"/>
          <w:sz w:val="16"/>
          <w:szCs w:val="16"/>
          <w:i w:val="1"/>
          <w:iCs w:val="1"/>
          <w:color w:val="auto"/>
        </w:rPr>
        <w:t xml:space="preserve"> </w:t>
      </w:r>
      <w:r>
        <w:rPr>
          <w:rFonts w:ascii="Arial" w:cs="Arial" w:eastAsia="Arial" w:hAnsi="Arial"/>
          <w:sz w:val="16"/>
          <w:szCs w:val="16"/>
          <w:color w:val="auto"/>
        </w:rPr>
        <w:t>have occurred in respect of any Class of Revolving Credit Commitments at a time when another Class or Classes of Revolving Credit Commitments is or are in effect with a longer maturity date, then on the earliest occurring maturity date all then outstanding Swing Loans shall be repaid in full on such date (and there shall be no adjustment to the participations in such Swing Loans as a result of the occurrence of such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5666105</wp:posOffset>
            </wp:positionH>
            <wp:positionV relativeFrom="paragraph">
              <wp:posOffset>-508000</wp:posOffset>
            </wp:positionV>
            <wp:extent cx="2857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45"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1.16</w:t>
      </w:r>
      <w:r>
        <w:rPr>
          <w:sz w:val="20"/>
          <w:szCs w:val="20"/>
          <w:color w:val="auto"/>
        </w:rPr>
        <w:tab/>
      </w:r>
      <w:r>
        <w:rPr>
          <w:rFonts w:ascii="Arial" w:cs="Arial" w:eastAsia="Arial" w:hAnsi="Arial"/>
          <w:sz w:val="16"/>
          <w:szCs w:val="16"/>
          <w:i w:val="1"/>
          <w:iCs w:val="1"/>
          <w:color w:val="auto"/>
        </w:rPr>
        <w:t>Incremental Facilities</w:t>
      </w:r>
      <w:r>
        <w:rPr>
          <w:rFonts w:ascii="Arial" w:cs="Arial" w:eastAsia="Arial" w:hAnsi="Arial"/>
          <w:sz w:val="16"/>
          <w:szCs w:val="16"/>
          <w:color w:val="FF0000"/>
          <w:strike w:val="1"/>
        </w:rPr>
        <w:t>(a)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FF0000"/>
        </w:rPr>
        <w:t>(a)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-53340</wp:posOffset>
            </wp:positionV>
            <wp:extent cx="35941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59410" cy="8255"/>
                    </a:xfrm>
                    <a:prstGeom prst="rect">
                      <a:avLst/>
                    </a:prstGeom>
                    <a:noFill/>
                  </pic:spPr>
                </pic:pic>
              </a:graphicData>
            </a:graphic>
          </wp:anchor>
        </w:drawing>
      </w:r>
    </w:p>
    <w:p>
      <w:pPr>
        <w:spacing w:after="0" w:line="97" w:lineRule="exact"/>
        <w:rPr>
          <w:sz w:val="20"/>
          <w:szCs w:val="20"/>
          <w:color w:val="auto"/>
        </w:rPr>
      </w:pPr>
    </w:p>
    <w:p>
      <w:pPr>
        <w:ind w:firstLine="987"/>
        <w:spacing w:after="0" w:line="268" w:lineRule="auto"/>
        <w:tabs>
          <w:tab w:leader="none" w:pos="1371"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0000E1"/>
        </w:rPr>
        <w:t>Other than during the Basket Suspension Period, the</w:t>
      </w:r>
      <w:r>
        <w:rPr>
          <w:rFonts w:ascii="Arial" w:cs="Arial" w:eastAsia="Arial" w:hAnsi="Arial"/>
          <w:sz w:val="17"/>
          <w:szCs w:val="17"/>
          <w:color w:val="0000E1"/>
        </w:rPr>
        <w:t xml:space="preserve"> </w:t>
      </w:r>
      <w:r>
        <w:rPr>
          <w:rFonts w:ascii="Arial" w:cs="Arial" w:eastAsia="Arial" w:hAnsi="Arial"/>
          <w:sz w:val="17"/>
          <w:szCs w:val="17"/>
          <w:color w:val="000000"/>
        </w:rPr>
        <w:t>Borrower may (A) prior to the Revolving Credit Termination Date of any Class,</w:t>
      </w:r>
      <w:r>
        <w:rPr>
          <w:rFonts w:ascii="Arial" w:cs="Arial" w:eastAsia="Arial" w:hAnsi="Arial"/>
          <w:sz w:val="17"/>
          <w:szCs w:val="17"/>
          <w:color w:val="0000E1"/>
        </w:rPr>
        <w:t xml:space="preserve"> </w:t>
      </w:r>
      <w:r>
        <w:rPr>
          <w:rFonts w:ascii="Arial" w:cs="Arial" w:eastAsia="Arial" w:hAnsi="Arial"/>
          <w:sz w:val="17"/>
          <w:szCs w:val="17"/>
          <w:color w:val="000000"/>
        </w:rPr>
        <w:t>increase the aggregate outstanding amount of the existing Revolving Credit Commitments of such Class (any such increase, the “</w:t>
      </w:r>
      <w:r>
        <w:rPr>
          <w:rFonts w:ascii="Arial" w:cs="Arial" w:eastAsia="Arial" w:hAnsi="Arial"/>
          <w:sz w:val="17"/>
          <w:szCs w:val="17"/>
          <w:i w:val="1"/>
          <w:iCs w:val="1"/>
          <w:color w:val="000000"/>
        </w:rPr>
        <w:t>New Revolving Credit</w:t>
      </w:r>
      <w:r>
        <w:rPr>
          <w:rFonts w:ascii="Arial" w:cs="Arial" w:eastAsia="Arial" w:hAnsi="Arial"/>
          <w:sz w:val="17"/>
          <w:szCs w:val="17"/>
          <w:color w:val="000000"/>
        </w:rPr>
        <w:t xml:space="preserve"> </w:t>
      </w:r>
      <w:r>
        <w:rPr>
          <w:rFonts w:ascii="Arial" w:cs="Arial" w:eastAsia="Arial" w:hAnsi="Arial"/>
          <w:sz w:val="17"/>
          <w:szCs w:val="17"/>
          <w:i w:val="1"/>
          <w:iCs w:val="1"/>
          <w:color w:val="000000"/>
        </w:rPr>
        <w:t>Commitments</w:t>
      </w:r>
      <w:r>
        <w:rPr>
          <w:rFonts w:ascii="Arial" w:cs="Arial" w:eastAsia="Arial" w:hAnsi="Arial"/>
          <w:sz w:val="17"/>
          <w:szCs w:val="17"/>
          <w:color w:val="000000"/>
        </w:rPr>
        <w:t>” and the revolving loans made thereunder, the “</w:t>
      </w:r>
      <w:r>
        <w:rPr>
          <w:rFonts w:ascii="Arial" w:cs="Arial" w:eastAsia="Arial" w:hAnsi="Arial"/>
          <w:sz w:val="17"/>
          <w:szCs w:val="17"/>
          <w:i w:val="1"/>
          <w:iCs w:val="1"/>
          <w:color w:val="000000"/>
        </w:rPr>
        <w:t>New Revolving Loans</w:t>
      </w:r>
      <w:r>
        <w:rPr>
          <w:rFonts w:ascii="Arial" w:cs="Arial" w:eastAsia="Arial" w:hAnsi="Arial"/>
          <w:sz w:val="17"/>
          <w:szCs w:val="17"/>
          <w:color w:val="000000"/>
        </w:rPr>
        <w:t>”) and/or (B) increase the aggregate outstanding principal amount of</w:t>
      </w:r>
      <w:r>
        <w:rPr>
          <w:rFonts w:ascii="Arial" w:cs="Arial" w:eastAsia="Arial" w:hAnsi="Arial"/>
          <w:sz w:val="17"/>
          <w:szCs w:val="17"/>
          <w:i w:val="1"/>
          <w:iCs w:val="1"/>
          <w:color w:val="000000"/>
        </w:rPr>
        <w:t xml:space="preserve"> </w:t>
      </w:r>
      <w:r>
        <w:rPr>
          <w:rFonts w:ascii="Arial" w:cs="Arial" w:eastAsia="Arial" w:hAnsi="Arial"/>
          <w:sz w:val="17"/>
          <w:szCs w:val="17"/>
          <w:color w:val="000000"/>
        </w:rPr>
        <w:t>the Term Loans of any Class and/or establish one or more Classes of new term loan commitments (any such increase or new term loan commitment, the “</w:t>
      </w:r>
      <w:r>
        <w:rPr>
          <w:rFonts w:ascii="Arial" w:cs="Arial" w:eastAsia="Arial" w:hAnsi="Arial"/>
          <w:sz w:val="17"/>
          <w:szCs w:val="17"/>
          <w:i w:val="1"/>
          <w:iCs w:val="1"/>
          <w:color w:val="000000"/>
        </w:rPr>
        <w:t>New Term Loan Commitments</w:t>
      </w:r>
      <w:r>
        <w:rPr>
          <w:rFonts w:ascii="Arial" w:cs="Arial" w:eastAsia="Arial" w:hAnsi="Arial"/>
          <w:sz w:val="17"/>
          <w:szCs w:val="17"/>
          <w:color w:val="000000"/>
        </w:rPr>
        <w:t>” and the term loans made thereunder, the “</w:t>
      </w:r>
      <w:r>
        <w:rPr>
          <w:rFonts w:ascii="Arial" w:cs="Arial" w:eastAsia="Arial" w:hAnsi="Arial"/>
          <w:sz w:val="17"/>
          <w:szCs w:val="17"/>
          <w:i w:val="1"/>
          <w:iCs w:val="1"/>
          <w:color w:val="000000"/>
        </w:rPr>
        <w:t>New Term Loans</w:t>
      </w:r>
      <w:r>
        <w:rPr>
          <w:rFonts w:ascii="Arial" w:cs="Arial" w:eastAsia="Arial" w:hAnsi="Arial"/>
          <w:sz w:val="17"/>
          <w:szCs w:val="17"/>
          <w:color w:val="000000"/>
        </w:rPr>
        <w:t>”), in each case by delivering a Commitment Amount Increase Notice (a “</w:t>
      </w:r>
      <w:r>
        <w:rPr>
          <w:rFonts w:ascii="Arial" w:cs="Arial" w:eastAsia="Arial" w:hAnsi="Arial"/>
          <w:sz w:val="17"/>
          <w:szCs w:val="17"/>
          <w:i w:val="1"/>
          <w:iCs w:val="1"/>
          <w:color w:val="000000"/>
        </w:rPr>
        <w:t>Commitment Amount Increase Notice</w:t>
      </w:r>
      <w:r>
        <w:rPr>
          <w:rFonts w:ascii="Arial" w:cs="Arial" w:eastAsia="Arial" w:hAnsi="Arial"/>
          <w:sz w:val="17"/>
          <w:szCs w:val="17"/>
          <w:color w:val="000000"/>
        </w:rPr>
        <w:t xml:space="preserve">”) substantially in the form attached hereto as </w:t>
      </w:r>
      <w:r>
        <w:rPr>
          <w:rFonts w:ascii="Arial" w:cs="Arial" w:eastAsia="Arial" w:hAnsi="Arial"/>
          <w:sz w:val="17"/>
          <w:szCs w:val="17"/>
          <w:u w:val="single" w:color="auto"/>
          <w:color w:val="000000"/>
        </w:rPr>
        <w:t>Exhibit H</w:t>
      </w:r>
      <w:r>
        <w:rPr>
          <w:rFonts w:ascii="Arial" w:cs="Arial" w:eastAsia="Arial" w:hAnsi="Arial"/>
          <w:sz w:val="17"/>
          <w:szCs w:val="17"/>
          <w:color w:val="000000"/>
        </w:rPr>
        <w:t xml:space="preserve"> or in such other form reasonably acceptable to the Administrative Agent at least three (3) Business Days prior to the stated effective date, unless the Administrative Agent shall have determined in its sole discretion to accept such Commitment Amount Increase Notice on such effective date (the “</w:t>
      </w:r>
      <w:r>
        <w:rPr>
          <w:rFonts w:ascii="Arial" w:cs="Arial" w:eastAsia="Arial" w:hAnsi="Arial"/>
          <w:sz w:val="17"/>
          <w:szCs w:val="17"/>
          <w:i w:val="1"/>
          <w:iCs w:val="1"/>
          <w:color w:val="000000"/>
        </w:rPr>
        <w:t>Increased Amount Date</w:t>
      </w:r>
      <w:r>
        <w:rPr>
          <w:rFonts w:ascii="Arial" w:cs="Arial" w:eastAsia="Arial" w:hAnsi="Arial"/>
          <w:sz w:val="17"/>
          <w:szCs w:val="17"/>
          <w:color w:val="000000"/>
        </w:rPr>
        <w:t>”) such increase or new commitment (the “</w:t>
      </w:r>
      <w:r>
        <w:rPr>
          <w:rFonts w:ascii="Arial" w:cs="Arial" w:eastAsia="Arial" w:hAnsi="Arial"/>
          <w:sz w:val="17"/>
          <w:szCs w:val="17"/>
          <w:i w:val="1"/>
          <w:iCs w:val="1"/>
          <w:color w:val="000000"/>
        </w:rPr>
        <w:t>Commitment Amount Increase</w:t>
      </w:r>
      <w:r>
        <w:rPr>
          <w:rFonts w:ascii="Arial" w:cs="Arial" w:eastAsia="Arial" w:hAnsi="Arial"/>
          <w:sz w:val="17"/>
          <w:szCs w:val="17"/>
          <w:color w:val="000000"/>
        </w:rPr>
        <w:t>”) identifying (i) any existing Lenders and/or any new lender(s) (each, a “</w:t>
      </w:r>
      <w:r>
        <w:rPr>
          <w:rFonts w:ascii="Arial" w:cs="Arial" w:eastAsia="Arial" w:hAnsi="Arial"/>
          <w:sz w:val="17"/>
          <w:szCs w:val="17"/>
          <w:i w:val="1"/>
          <w:iCs w:val="1"/>
          <w:color w:val="000000"/>
        </w:rPr>
        <w:t>New</w:t>
      </w:r>
      <w:r>
        <w:rPr>
          <w:rFonts w:ascii="Arial" w:cs="Arial" w:eastAsia="Arial" w:hAnsi="Arial"/>
          <w:sz w:val="17"/>
          <w:szCs w:val="17"/>
          <w:color w:val="000000"/>
        </w:rPr>
        <w:t xml:space="preserve"> </w:t>
      </w:r>
      <w:r>
        <w:rPr>
          <w:rFonts w:ascii="Arial" w:cs="Arial" w:eastAsia="Arial" w:hAnsi="Arial"/>
          <w:sz w:val="17"/>
          <w:szCs w:val="17"/>
          <w:i w:val="1"/>
          <w:iCs w:val="1"/>
          <w:color w:val="000000"/>
        </w:rPr>
        <w:t>Revolving Lender</w:t>
      </w:r>
      <w:r>
        <w:rPr>
          <w:rFonts w:ascii="Arial" w:cs="Arial" w:eastAsia="Arial" w:hAnsi="Arial"/>
          <w:sz w:val="17"/>
          <w:szCs w:val="17"/>
          <w:color w:val="000000"/>
        </w:rPr>
        <w:t>” or “</w:t>
      </w:r>
      <w:r>
        <w:rPr>
          <w:rFonts w:ascii="Arial" w:cs="Arial" w:eastAsia="Arial" w:hAnsi="Arial"/>
          <w:sz w:val="17"/>
          <w:szCs w:val="17"/>
          <w:i w:val="1"/>
          <w:iCs w:val="1"/>
          <w:color w:val="000000"/>
        </w:rPr>
        <w:t>New Term Lender</w:t>
      </w:r>
      <w:r>
        <w:rPr>
          <w:rFonts w:ascii="Arial" w:cs="Arial" w:eastAsia="Arial" w:hAnsi="Arial"/>
          <w:sz w:val="17"/>
          <w:szCs w:val="17"/>
          <w:color w:val="000000"/>
        </w:rPr>
        <w:t>,” as applicable), subject, in the case of New Revolving Lenders and New Term Lenders, to the reasonable</w:t>
      </w:r>
      <w:r>
        <w:rPr>
          <w:rFonts w:ascii="Arial" w:cs="Arial" w:eastAsia="Arial" w:hAnsi="Arial"/>
          <w:sz w:val="17"/>
          <w:szCs w:val="17"/>
          <w:i w:val="1"/>
          <w:iCs w:val="1"/>
          <w:color w:val="000000"/>
        </w:rPr>
        <w:t xml:space="preserve"> </w:t>
      </w:r>
      <w:r>
        <w:rPr>
          <w:rFonts w:ascii="Arial" w:cs="Arial" w:eastAsia="Arial" w:hAnsi="Arial"/>
          <w:sz w:val="17"/>
          <w:szCs w:val="17"/>
          <w:color w:val="000000"/>
        </w:rPr>
        <w:t xml:space="preserve">consent of the Administrative Agent (and in the case of any New Revolving Lenders, the Swing Line Lender and L/C Issuer) to the extent such consent would be required under </w:t>
      </w:r>
      <w:r>
        <w:rPr>
          <w:rFonts w:ascii="Arial" w:cs="Arial" w:eastAsia="Arial" w:hAnsi="Arial"/>
          <w:sz w:val="17"/>
          <w:szCs w:val="17"/>
          <w:u w:val="single" w:color="auto"/>
          <w:color w:val="000000"/>
        </w:rPr>
        <w:t>Section 13.12</w:t>
      </w:r>
      <w:r>
        <w:rPr>
          <w:rFonts w:ascii="Arial" w:cs="Arial" w:eastAsia="Arial" w:hAnsi="Arial"/>
          <w:sz w:val="17"/>
          <w:szCs w:val="17"/>
          <w:color w:val="000000"/>
        </w:rPr>
        <w:t xml:space="preserve"> in respect of an assignment hereunder and (ii) the amount of such Lender’s New Revolving Credit Commitment or New Term Loan Commitments and in the case of New Term Loans that are part of an existing Class of Term Loans, identifying such existing Class of Term Loans; </w:t>
      </w:r>
      <w:r>
        <w:rPr>
          <w:rFonts w:ascii="Arial" w:cs="Arial" w:eastAsia="Arial" w:hAnsi="Arial"/>
          <w:sz w:val="17"/>
          <w:szCs w:val="17"/>
          <w:i w:val="1"/>
          <w:iCs w:val="1"/>
          <w:color w:val="000000"/>
        </w:rPr>
        <w:t>provided, however,</w:t>
      </w:r>
      <w:r>
        <w:rPr>
          <w:rFonts w:ascii="Arial" w:cs="Arial" w:eastAsia="Arial" w:hAnsi="Arial"/>
          <w:sz w:val="17"/>
          <w:szCs w:val="17"/>
          <w:color w:val="000000"/>
        </w:rPr>
        <w:t xml:space="preserve"> that</w:t>
      </w:r>
      <w:r>
        <w:rPr>
          <w:rFonts w:ascii="Arial" w:cs="Arial" w:eastAsia="Arial" w:hAnsi="Arial"/>
          <w:sz w:val="17"/>
          <w:szCs w:val="17"/>
          <w:u w:val="single" w:color="auto"/>
          <w:color w:val="0000E1"/>
        </w:rPr>
        <w:t>:</w:t>
      </w:r>
    </w:p>
    <w:p>
      <w:pPr>
        <w:spacing w:after="0" w:line="184" w:lineRule="exact"/>
        <w:rPr>
          <w:rFonts w:ascii="Arial" w:cs="Arial" w:eastAsia="Arial" w:hAnsi="Arial"/>
          <w:sz w:val="17"/>
          <w:szCs w:val="17"/>
          <w:color w:val="auto"/>
        </w:rPr>
      </w:pPr>
    </w:p>
    <w:p>
      <w:pPr>
        <w:ind w:right="20" w:firstLine="1428"/>
        <w:spacing w:after="0" w:line="269" w:lineRule="auto"/>
        <w:tabs>
          <w:tab w:leader="none" w:pos="1782"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any Commitment Amount Increase shall be in an amount not less than $5,000,000 (or such lesser amount which shall be approved by the Administrative Agent or represents all remaining availability under the limit set forth in this </w:t>
      </w:r>
      <w:r>
        <w:rPr>
          <w:rFonts w:ascii="Arial" w:cs="Arial" w:eastAsia="Arial" w:hAnsi="Arial"/>
          <w:sz w:val="17"/>
          <w:szCs w:val="17"/>
          <w:u w:val="single" w:color="auto"/>
          <w:color w:val="auto"/>
        </w:rPr>
        <w:t>clause (i)</w:t>
      </w:r>
      <w:r>
        <w:rPr>
          <w:rFonts w:ascii="Arial" w:cs="Arial" w:eastAsia="Arial" w:hAnsi="Arial"/>
          <w:sz w:val="17"/>
          <w:szCs w:val="17"/>
          <w:color w:val="auto"/>
        </w:rPr>
        <w:t>) and in the aggregate for all such increases not greater than (A) $150,000,000 (</w:t>
      </w:r>
      <w:r>
        <w:rPr>
          <w:rFonts w:ascii="Arial" w:cs="Arial" w:eastAsia="Arial" w:hAnsi="Arial"/>
          <w:sz w:val="17"/>
          <w:szCs w:val="17"/>
          <w:i w:val="1"/>
          <w:iCs w:val="1"/>
          <w:color w:val="auto"/>
        </w:rPr>
        <w:t>less</w:t>
      </w:r>
      <w:r>
        <w:rPr>
          <w:rFonts w:ascii="Arial" w:cs="Arial" w:eastAsia="Arial" w:hAnsi="Arial"/>
          <w:sz w:val="17"/>
          <w:szCs w:val="17"/>
          <w:color w:val="auto"/>
        </w:rPr>
        <w:t xml:space="preserve"> the aggregate amount outstanding of Incremental Equivalent Debt incurred pursuant to </w:t>
      </w:r>
      <w:r>
        <w:rPr>
          <w:rFonts w:ascii="Arial" w:cs="Arial" w:eastAsia="Arial" w:hAnsi="Arial"/>
          <w:sz w:val="17"/>
          <w:szCs w:val="17"/>
          <w:u w:val="single" w:color="auto"/>
          <w:color w:val="auto"/>
        </w:rPr>
        <w:t>clause (i)(x)</w:t>
      </w:r>
      <w:r>
        <w:rPr>
          <w:rFonts w:ascii="Arial" w:cs="Arial" w:eastAsia="Arial" w:hAnsi="Arial"/>
          <w:sz w:val="17"/>
          <w:szCs w:val="17"/>
          <w:color w:val="auto"/>
        </w:rPr>
        <w:t xml:space="preserve"> of the proviso to </w:t>
      </w:r>
      <w:r>
        <w:rPr>
          <w:rFonts w:ascii="Arial" w:cs="Arial" w:eastAsia="Arial" w:hAnsi="Arial"/>
          <w:sz w:val="17"/>
          <w:szCs w:val="17"/>
          <w:u w:val="single" w:color="auto"/>
          <w:color w:val="auto"/>
        </w:rPr>
        <w:t>Section 8.7(o)</w:t>
      </w:r>
      <w:r>
        <w:rPr>
          <w:rFonts w:ascii="Arial" w:cs="Arial" w:eastAsia="Arial" w:hAnsi="Arial"/>
          <w:sz w:val="17"/>
          <w:szCs w:val="17"/>
          <w:color w:val="auto"/>
        </w:rPr>
        <w:t xml:space="preserve">), </w:t>
      </w:r>
      <w:r>
        <w:rPr>
          <w:rFonts w:ascii="Arial" w:cs="Arial" w:eastAsia="Arial" w:hAnsi="Arial"/>
          <w:sz w:val="17"/>
          <w:szCs w:val="17"/>
          <w:i w:val="1"/>
          <w:iCs w:val="1"/>
          <w:color w:val="auto"/>
        </w:rPr>
        <w:t>plus</w:t>
      </w:r>
      <w:r>
        <w:rPr>
          <w:rFonts w:ascii="Arial" w:cs="Arial" w:eastAsia="Arial" w:hAnsi="Arial"/>
          <w:sz w:val="17"/>
          <w:szCs w:val="17"/>
          <w:color w:val="auto"/>
        </w:rPr>
        <w:t xml:space="preserve"> (B) in the case of any Commitment Amount Increase that effectively extends the Revolving Credit Termination Date or any maturity date with respect to any Class of Loans or commitments hereunder, an amount equal to the prepayment to be made with respect to any Term Loans and/or the permanent commitment reduction to be made with respect to the Revolving Credit Facility, in each case to be replaced with such Commitment Amount Increase, </w:t>
      </w:r>
      <w:r>
        <w:rPr>
          <w:rFonts w:ascii="Arial" w:cs="Arial" w:eastAsia="Arial" w:hAnsi="Arial"/>
          <w:sz w:val="17"/>
          <w:szCs w:val="17"/>
          <w:i w:val="1"/>
          <w:iCs w:val="1"/>
          <w:color w:val="auto"/>
        </w:rPr>
        <w:t>plus</w:t>
      </w:r>
      <w:r>
        <w:rPr>
          <w:rFonts w:ascii="Arial" w:cs="Arial" w:eastAsia="Arial" w:hAnsi="Arial"/>
          <w:sz w:val="17"/>
          <w:szCs w:val="17"/>
          <w:color w:val="auto"/>
        </w:rPr>
        <w:t xml:space="preserve"> (C) additional amounts in U.S. Dollars so long as, after giving effect to such additional amounts, the Secured Leverage Ratio does not exceed 2.75:1.00, calculated on a Pro Forma Basis (which (i) if in connection with an Acquisition, as of the last day of the most recent fiscal quarter for which financial statements are available on or prior to the date of the definitive documentation for such Acquisition (or, if earlier, the applicable Increased Amount Date), (ii) shall assume that all debt incurred pursuant to this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clause (i)(y)</w:t>
      </w:r>
      <w:r>
        <w:rPr>
          <w:rFonts w:ascii="Arial" w:cs="Arial" w:eastAsia="Arial" w:hAnsi="Arial"/>
          <w:sz w:val="17"/>
          <w:szCs w:val="17"/>
          <w:color w:val="auto"/>
        </w:rPr>
        <w:t xml:space="preserve"> of the proviso to </w:t>
      </w:r>
      <w:r>
        <w:rPr>
          <w:rFonts w:ascii="Arial" w:cs="Arial" w:eastAsia="Arial" w:hAnsi="Arial"/>
          <w:sz w:val="17"/>
          <w:szCs w:val="17"/>
          <w:u w:val="single" w:color="auto"/>
          <w:color w:val="auto"/>
        </w:rPr>
        <w:t>Section 8.7(o)</w:t>
      </w:r>
      <w:r>
        <w:rPr>
          <w:rFonts w:ascii="Arial" w:cs="Arial" w:eastAsia="Arial" w:hAnsi="Arial"/>
          <w:sz w:val="17"/>
          <w:szCs w:val="17"/>
          <w:color w:val="auto"/>
        </w:rPr>
        <w:t xml:space="preserve"> is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Credit Facilities and, if consisting of revolving commitments, is fully drawn, and (iii) shall exclude from the “net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-3571240</wp:posOffset>
            </wp:positionV>
            <wp:extent cx="239141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39141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-1788160</wp:posOffset>
            </wp:positionV>
            <wp:extent cx="254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83" w:name="page84"/>
    <w:bookmarkEnd w:id="83"/>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portion of such </w:t>
      </w:r>
      <w:r>
        <w:rPr>
          <w:rFonts w:ascii="Arial" w:cs="Arial" w:eastAsia="Arial" w:hAnsi="Arial"/>
          <w:sz w:val="18"/>
          <w:szCs w:val="18"/>
          <w:color w:val="FF0000"/>
          <w:strike w:val="1"/>
        </w:rPr>
        <w:t>P</w:t>
      </w:r>
      <w:r>
        <w:rPr>
          <w:rFonts w:ascii="Arial" w:cs="Arial" w:eastAsia="Arial" w:hAnsi="Arial"/>
          <w:sz w:val="18"/>
          <w:szCs w:val="18"/>
          <w:i w:val="1"/>
          <w:iCs w:val="1"/>
          <w:u w:val="single" w:color="auto"/>
          <w:color w:val="0000E1"/>
        </w:rPr>
        <w:t>p</w:t>
      </w:r>
      <w:r>
        <w:rPr>
          <w:rFonts w:ascii="Arial" w:cs="Arial" w:eastAsia="Arial" w:hAnsi="Arial"/>
          <w:sz w:val="18"/>
          <w:szCs w:val="18"/>
          <w:i w:val="1"/>
          <w:iCs w:val="1"/>
          <w:color w:val="auto"/>
        </w:rPr>
        <w:t>ro</w:t>
      </w:r>
      <w:r>
        <w:rPr>
          <w:rFonts w:ascii="Arial" w:cs="Arial" w:eastAsia="Arial" w:hAnsi="Arial"/>
          <w:sz w:val="18"/>
          <w:szCs w:val="18"/>
          <w:color w:val="auto"/>
        </w:rPr>
        <w:t xml:space="preserve"> </w:t>
      </w:r>
      <w:r>
        <w:rPr>
          <w:rFonts w:ascii="Arial" w:cs="Arial" w:eastAsia="Arial" w:hAnsi="Arial"/>
          <w:sz w:val="18"/>
          <w:szCs w:val="18"/>
          <w:color w:val="FF0000"/>
          <w:strike w:val="1"/>
        </w:rPr>
        <w:t>F</w:t>
      </w:r>
      <w:r>
        <w:rPr>
          <w:rFonts w:ascii="Arial" w:cs="Arial" w:eastAsia="Arial" w:hAnsi="Arial"/>
          <w:sz w:val="18"/>
          <w:szCs w:val="18"/>
          <w:i w:val="1"/>
          <w:iCs w:val="1"/>
          <w:u w:val="single" w:color="auto"/>
          <w:color w:val="0000E1"/>
        </w:rPr>
        <w:t>f</w:t>
      </w:r>
      <w:r>
        <w:rPr>
          <w:rFonts w:ascii="Arial" w:cs="Arial" w:eastAsia="Arial" w:hAnsi="Arial"/>
          <w:sz w:val="18"/>
          <w:szCs w:val="18"/>
          <w:i w:val="1"/>
          <w:iCs w:val="1"/>
          <w:color w:val="auto"/>
        </w:rPr>
        <w:t>orma</w:t>
      </w:r>
      <w:r>
        <w:rPr>
          <w:rFonts w:ascii="Arial" w:cs="Arial" w:eastAsia="Arial" w:hAnsi="Arial"/>
          <w:sz w:val="18"/>
          <w:szCs w:val="18"/>
          <w:color w:val="auto"/>
        </w:rPr>
        <w:t xml:space="preserve"> calculation the cash proceeds from the borrowing of the Commitment Amount Increase) (with the Borrower to select, on the date such Commitment Amount Increase is obtained, utilization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-147955</wp:posOffset>
            </wp:positionV>
            <wp:extent cx="596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1026160</wp:posOffset>
            </wp:positionH>
            <wp:positionV relativeFrom="paragraph">
              <wp:posOffset>-147955</wp:posOffset>
            </wp:positionV>
            <wp:extent cx="342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0" w:lineRule="exact"/>
        <w:rPr>
          <w:sz w:val="20"/>
          <w:szCs w:val="20"/>
          <w:color w:val="auto"/>
        </w:rPr>
      </w:pPr>
    </w:p>
    <w:p>
      <w:pPr>
        <w:ind w:firstLine="1428"/>
        <w:spacing w:after="0" w:line="255" w:lineRule="auto"/>
        <w:tabs>
          <w:tab w:leader="none" w:pos="1832"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except in connection with an Acquisition or other </w:t>
      </w:r>
      <w:r>
        <w:rPr>
          <w:rFonts w:ascii="Arial" w:cs="Arial" w:eastAsia="Arial" w:hAnsi="Arial"/>
          <w:sz w:val="18"/>
          <w:szCs w:val="18"/>
          <w:color w:val="FF0000"/>
          <w:strike w:val="1"/>
        </w:rPr>
        <w:t>I</w:t>
      </w:r>
      <w:r>
        <w:rPr>
          <w:rFonts w:ascii="Arial" w:cs="Arial" w:eastAsia="Arial" w:hAnsi="Arial"/>
          <w:sz w:val="18"/>
          <w:szCs w:val="18"/>
          <w:u w:val="single" w:color="auto"/>
          <w:color w:val="0000E1"/>
        </w:rPr>
        <w:t>i</w:t>
      </w:r>
      <w:r>
        <w:rPr>
          <w:rFonts w:ascii="Arial" w:cs="Arial" w:eastAsia="Arial" w:hAnsi="Arial"/>
          <w:sz w:val="18"/>
          <w:szCs w:val="18"/>
          <w:color w:val="auto"/>
        </w:rPr>
        <w:t xml:space="preserve">nvestment permitted hereunder on the applicable Increased Amount Date (in which case, </w:t>
      </w:r>
      <w:r>
        <w:rPr>
          <w:rFonts w:ascii="Arial" w:cs="Arial" w:eastAsia="Arial" w:hAnsi="Arial"/>
          <w:sz w:val="18"/>
          <w:szCs w:val="18"/>
          <w:u w:val="single" w:color="auto"/>
          <w:color w:val="auto"/>
        </w:rPr>
        <w:t>Section 1.16(g)</w:t>
      </w:r>
      <w:r>
        <w:rPr>
          <w:rFonts w:ascii="Arial" w:cs="Arial" w:eastAsia="Arial" w:hAnsi="Arial"/>
          <w:sz w:val="18"/>
          <w:szCs w:val="18"/>
          <w:color w:val="auto"/>
        </w:rPr>
        <w:t xml:space="preserve"> shall be applicable), (x) no Default or Event of Default shall have occurred and be continuing on the Increased Amount Date (both prior to and after giving effect to such Commitment Amount Increase) and (y) each of the representations and warranties set forth herein and in the other Loan Documents shall be true and correct in all material respects (or in all respects if otherwise qualified by “material” or “material adverse effect”) as of said time, except to the extent the same expressly relate to an earlier date (in which case, such representation and warranty shall be true and correct in all material respects as of such earlier date),</w:t>
      </w:r>
    </w:p>
    <w:p>
      <w:pPr>
        <w:spacing w:after="0" w:line="192" w:lineRule="exact"/>
        <w:rPr>
          <w:rFonts w:ascii="Arial" w:cs="Arial" w:eastAsia="Arial" w:hAnsi="Arial"/>
          <w:sz w:val="18"/>
          <w:szCs w:val="18"/>
          <w:color w:val="auto"/>
        </w:rPr>
      </w:pPr>
    </w:p>
    <w:p>
      <w:pPr>
        <w:ind w:right="320" w:firstLine="1428"/>
        <w:spacing w:after="0" w:line="342" w:lineRule="auto"/>
        <w:tabs>
          <w:tab w:leader="none" w:pos="1882" w:val="left"/>
        </w:tabs>
        <w:numPr>
          <w:ilvl w:val="0"/>
          <w:numId w:val="88"/>
        </w:numPr>
        <w:rPr>
          <w:rFonts w:ascii="Arial" w:cs="Arial" w:eastAsia="Arial" w:hAnsi="Arial"/>
          <w:sz w:val="16"/>
          <w:szCs w:val="16"/>
          <w:color w:val="auto"/>
        </w:rPr>
      </w:pPr>
      <w:r>
        <w:rPr>
          <w:rFonts w:ascii="Arial" w:cs="Arial" w:eastAsia="Arial" w:hAnsi="Arial"/>
          <w:sz w:val="16"/>
          <w:szCs w:val="16"/>
          <w:color w:val="auto"/>
        </w:rPr>
        <w:t>with respect to any Commitment Amount Increase in respect of New Revolving Credit Commitments, the New Revolving Credit Commitments material terms shall have all of the same terms and conditions as such existing Revolving Credit Commitments,</w:t>
      </w:r>
    </w:p>
    <w:p>
      <w:pPr>
        <w:spacing w:after="0" w:line="123" w:lineRule="exact"/>
        <w:rPr>
          <w:rFonts w:ascii="Arial" w:cs="Arial" w:eastAsia="Arial" w:hAnsi="Arial"/>
          <w:sz w:val="16"/>
          <w:szCs w:val="16"/>
          <w:color w:val="auto"/>
        </w:rPr>
      </w:pPr>
    </w:p>
    <w:p>
      <w:pPr>
        <w:ind w:right="200" w:firstLine="1428"/>
        <w:spacing w:after="0" w:line="296" w:lineRule="auto"/>
        <w:tabs>
          <w:tab w:leader="none" w:pos="1872"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New Term Loans borrowed hereunder may be part of an existing Class of Term Loans, in which case such New Term Loans shall have all of the same terms and conditions as such existing Term Loans, or may constitute a new Class of Term Loans, in which case such New Term Loans shall have such terms and conditions as the Borrower and the applicable New Term Lenders shall agree (and which are satisfactory to the Administrative Agent (it being understood that terms not substantially consistent with the then-existing applicable Class of Term Loans which are applicable only after the maturity and payment in full of such Term Loans are acceptable to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r>
        <w:rPr>
          <w:rFonts w:ascii="Arial" w:cs="Arial" w:eastAsia="Arial" w:hAnsi="Arial"/>
          <w:sz w:val="16"/>
          <w:szCs w:val="16"/>
          <w:color w:val="FF0000"/>
          <w:strike w:val="1"/>
        </w:rPr>
        <w:t>,</w:t>
      </w:r>
      <w:r>
        <w:rPr>
          <w:rFonts w:ascii="Arial" w:cs="Arial" w:eastAsia="Arial" w:hAnsi="Arial"/>
          <w:sz w:val="16"/>
          <w:szCs w:val="16"/>
          <w:u w:val="single" w:color="auto"/>
          <w:color w:val="0000E1"/>
        </w:rPr>
        <w:t>:</w:t>
      </w:r>
    </w:p>
    <w:p>
      <w:pPr>
        <w:spacing w:after="0" w:line="53" w:lineRule="exact"/>
        <w:rPr>
          <w:rFonts w:ascii="Arial" w:cs="Arial" w:eastAsia="Arial" w:hAnsi="Arial"/>
          <w:sz w:val="16"/>
          <w:szCs w:val="16"/>
          <w:color w:val="auto"/>
        </w:rPr>
      </w:pPr>
    </w:p>
    <w:p>
      <w:pPr>
        <w:ind w:left="980" w:right="380" w:firstLine="910"/>
        <w:spacing w:after="0" w:line="277" w:lineRule="auto"/>
        <w:tabs>
          <w:tab w:leader="none" w:pos="2312"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applicable maturity date of any such New Term Loans shall be no earlier than the final maturity date of the then outstanding Term Loans,</w:t>
      </w:r>
    </w:p>
    <w:p>
      <w:pPr>
        <w:spacing w:after="0" w:line="62" w:lineRule="exact"/>
        <w:rPr>
          <w:rFonts w:ascii="Arial" w:cs="Arial" w:eastAsia="Arial" w:hAnsi="Arial"/>
          <w:sz w:val="18"/>
          <w:szCs w:val="18"/>
          <w:color w:val="auto"/>
        </w:rPr>
      </w:pPr>
    </w:p>
    <w:p>
      <w:pPr>
        <w:ind w:left="980" w:right="300" w:firstLine="910"/>
        <w:spacing w:after="0" w:line="277" w:lineRule="auto"/>
        <w:tabs>
          <w:tab w:leader="none" w:pos="2302"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Weighted Average Life to Maturity of all New Term Loans shall be no shorter than the Weighted Average Life to Maturity of the existing Term Loans,</w:t>
      </w:r>
    </w:p>
    <w:p>
      <w:pPr>
        <w:spacing w:after="0" w:line="62" w:lineRule="exact"/>
        <w:rPr>
          <w:rFonts w:ascii="Arial" w:cs="Arial" w:eastAsia="Arial" w:hAnsi="Arial"/>
          <w:sz w:val="18"/>
          <w:szCs w:val="18"/>
          <w:color w:val="auto"/>
        </w:rPr>
      </w:pPr>
    </w:p>
    <w:p>
      <w:pPr>
        <w:ind w:left="980" w:firstLine="910"/>
        <w:spacing w:after="0" w:line="268" w:lineRule="auto"/>
        <w:tabs>
          <w:tab w:leader="none" w:pos="2302" w:val="left"/>
        </w:tabs>
        <w:numPr>
          <w:ilvl w:val="1"/>
          <w:numId w:val="88"/>
        </w:numPr>
        <w:rPr>
          <w:rFonts w:ascii="Arial" w:cs="Arial" w:eastAsia="Arial" w:hAnsi="Arial"/>
          <w:sz w:val="17"/>
          <w:szCs w:val="17"/>
          <w:color w:val="auto"/>
        </w:rPr>
      </w:pPr>
      <w:r>
        <w:rPr>
          <w:rFonts w:ascii="Arial" w:cs="Arial" w:eastAsia="Arial" w:hAnsi="Arial"/>
          <w:sz w:val="17"/>
          <w:szCs w:val="17"/>
          <w:color w:val="auto"/>
        </w:rPr>
        <w:t xml:space="preserve">the interest rate applicable to the New Term Loans shall be determined by the Borrower and the applicable New Term Lenders; provided, however, that the interest rate (as determined by the Administrative Agent in accordance with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and in consultation with the Borrower) applicable to any such New Term Loans shall not be greater than 50 basis points above the applicable interest rate (including the Applicable Margin) payable pursuant to the terms of this Agreement as amended through the date of such calculation with respect to any existing Term Loans unless the interest rate applicable to the existing Term Loans is increased (which increase shall not require the consent of any Lender or the Borrower) to the extent necessary so that the interest rate applicable to such New Term Loans is no greater than 50 basis points above the interest rates of the existing Term Loans; </w:t>
      </w:r>
      <w:r>
        <w:rPr>
          <w:rFonts w:ascii="Arial" w:cs="Arial" w:eastAsia="Arial" w:hAnsi="Arial"/>
          <w:sz w:val="17"/>
          <w:szCs w:val="17"/>
          <w:i w:val="1"/>
          <w:iCs w:val="1"/>
          <w:color w:val="auto"/>
        </w:rPr>
        <w:t>provided</w:t>
      </w:r>
      <w:r>
        <w:rPr>
          <w:rFonts w:ascii="Arial" w:cs="Arial" w:eastAsia="Arial" w:hAnsi="Arial"/>
          <w:sz w:val="17"/>
          <w:szCs w:val="17"/>
          <w:color w:val="FF0000"/>
          <w:strike w:val="1"/>
        </w:rPr>
        <w:t>,</w:t>
      </w:r>
      <w:r>
        <w:rPr>
          <w:rFonts w:ascii="Arial" w:cs="Arial" w:eastAsia="Arial" w:hAnsi="Arial"/>
          <w:sz w:val="17"/>
          <w:szCs w:val="17"/>
          <w:color w:val="auto"/>
        </w:rPr>
        <w:t xml:space="preserve"> that in determining the applicable interest rate: (x) margins as well as all upfront and similar fees and original issue discount paid in the primary syndication of the Commitment Amount Increase or the existing Term Loans (based on an assumed four year average life to maturity for the applicable facilities), and any amendments to the Applicable Margin under this Agreement that became effective subsequent to the Closing Date but prior to the time of such Commitment Amount Increase shall be included in such calculation, (</w:t>
      </w:r>
      <w:r>
        <w:rPr>
          <w:rFonts w:ascii="Arial" w:cs="Arial" w:eastAsia="Arial" w:hAnsi="Arial"/>
          <w:sz w:val="17"/>
          <w:szCs w:val="17"/>
          <w:color w:val="FF0000"/>
          <w:strike w:val="1"/>
        </w:rPr>
        <w:t>b</w:t>
      </w:r>
      <w:r>
        <w:rPr>
          <w:rFonts w:ascii="Arial" w:cs="Arial" w:eastAsia="Arial" w:hAnsi="Arial"/>
          <w:sz w:val="17"/>
          <w:szCs w:val="17"/>
          <w:u w:val="single" w:color="auto"/>
          <w:color w:val="0000E1"/>
        </w:rPr>
        <w:t>y</w:t>
      </w:r>
      <w:r>
        <w:rPr>
          <w:rFonts w:ascii="Arial" w:cs="Arial" w:eastAsia="Arial" w:hAnsi="Arial"/>
          <w:sz w:val="17"/>
          <w:szCs w:val="17"/>
          <w:color w:val="auto"/>
        </w:rPr>
        <w:t>) arrangement, commitment, structuring and underwriting fees and any amendment fees paid or payable to the Arrangers (or their affiliates) in its capacity as such in connection with any of the existing Term Loans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-4458335</wp:posOffset>
            </wp:positionV>
            <wp:extent cx="342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-2538095</wp:posOffset>
            </wp:positionV>
            <wp:extent cx="342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5012055</wp:posOffset>
            </wp:positionH>
            <wp:positionV relativeFrom="paragraph">
              <wp:posOffset>-274955</wp:posOffset>
            </wp:positionV>
            <wp:extent cx="603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84" w:name="page85"/>
    <w:bookmarkEnd w:id="84"/>
    <w:p>
      <w:pPr>
        <w:jc w:val="both"/>
        <w:ind w:left="984" w:right="2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one or more arrangers (or their affiliates) in their capacities as applicable to any Commitment Amount Increase shall be excluded from such calculation and (</w:t>
      </w:r>
      <w:r>
        <w:rPr>
          <w:rFonts w:ascii="Arial" w:cs="Arial" w:eastAsia="Arial" w:hAnsi="Arial"/>
          <w:sz w:val="16"/>
          <w:szCs w:val="16"/>
          <w:color w:val="FF0000"/>
          <w:strike w:val="1"/>
        </w:rPr>
        <w:t>c</w:t>
      </w:r>
      <w:r>
        <w:rPr>
          <w:rFonts w:ascii="Arial" w:cs="Arial" w:eastAsia="Arial" w:hAnsi="Arial"/>
          <w:sz w:val="16"/>
          <w:szCs w:val="16"/>
          <w:u w:val="single" w:color="auto"/>
          <w:color w:val="0000E1"/>
        </w:rPr>
        <w:t>z</w:t>
      </w:r>
      <w:r>
        <w:rPr>
          <w:rFonts w:ascii="Arial" w:cs="Arial" w:eastAsia="Arial" w:hAnsi="Arial"/>
          <w:sz w:val="16"/>
          <w:szCs w:val="16"/>
          <w:color w:val="auto"/>
        </w:rPr>
        <w:t>) if the New Term Loans include an interest rate floor greater than that applicable to the existing Term Loans or Revolving Credit Commitments, such excess amount shall be equated to interest margin for determining the increase,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-161290</wp:posOffset>
            </wp:positionV>
            <wp:extent cx="514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 w:lineRule="exact"/>
        <w:rPr>
          <w:sz w:val="20"/>
          <w:szCs w:val="20"/>
          <w:color w:val="auto"/>
        </w:rPr>
      </w:pPr>
    </w:p>
    <w:p>
      <w:pPr>
        <w:ind w:left="984" w:right="320" w:firstLine="910"/>
        <w:spacing w:after="0" w:line="277" w:lineRule="auto"/>
        <w:tabs>
          <w:tab w:leader="none" w:pos="2316" w:val="left"/>
        </w:tabs>
        <w:numPr>
          <w:ilvl w:val="3"/>
          <w:numId w:val="89"/>
        </w:numPr>
        <w:rPr>
          <w:rFonts w:ascii="Arial" w:cs="Arial" w:eastAsia="Arial" w:hAnsi="Arial"/>
          <w:sz w:val="18"/>
          <w:szCs w:val="18"/>
          <w:color w:val="auto"/>
        </w:rPr>
      </w:pPr>
      <w:r>
        <w:rPr>
          <w:rFonts w:ascii="Arial" w:cs="Arial" w:eastAsia="Arial" w:hAnsi="Arial"/>
          <w:sz w:val="18"/>
          <w:szCs w:val="18"/>
          <w:color w:val="auto"/>
        </w:rPr>
        <w:t>the New Term Loans shall share ratably in any prepayments of the existing Term Loans unless the Borrower and the Lenders in respect of the New Term Loans elect lesser payments; and</w:t>
      </w:r>
    </w:p>
    <w:p>
      <w:pPr>
        <w:spacing w:after="0" w:line="170" w:lineRule="exact"/>
        <w:rPr>
          <w:rFonts w:ascii="Arial" w:cs="Arial" w:eastAsia="Arial" w:hAnsi="Arial"/>
          <w:sz w:val="18"/>
          <w:szCs w:val="18"/>
          <w:color w:val="auto"/>
        </w:rPr>
      </w:pPr>
    </w:p>
    <w:p>
      <w:pPr>
        <w:ind w:left="4" w:right="200" w:firstLine="1428"/>
        <w:spacing w:after="0" w:line="308" w:lineRule="auto"/>
        <w:tabs>
          <w:tab w:leader="none" w:pos="1826" w:val="left"/>
        </w:tabs>
        <w:numPr>
          <w:ilvl w:val="2"/>
          <w:numId w:val="90"/>
        </w:numPr>
        <w:rPr>
          <w:rFonts w:ascii="Arial" w:cs="Arial" w:eastAsia="Arial" w:hAnsi="Arial"/>
          <w:sz w:val="17"/>
          <w:szCs w:val="17"/>
          <w:color w:val="auto"/>
        </w:rPr>
      </w:pPr>
      <w:r>
        <w:rPr>
          <w:rFonts w:ascii="Arial" w:cs="Arial" w:eastAsia="Arial" w:hAnsi="Arial"/>
          <w:sz w:val="17"/>
          <w:szCs w:val="17"/>
          <w:color w:val="auto"/>
        </w:rPr>
        <w:t xml:space="preserve">the New Revolving Credit Commitments and/or New Term Loan Commitments will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and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with respect to Liens on any Collateral with the existing Revolving Credit Commitments or existing Term Loans.</w:t>
      </w:r>
    </w:p>
    <w:p>
      <w:pPr>
        <w:spacing w:after="0" w:line="146" w:lineRule="exact"/>
        <w:rPr>
          <w:rFonts w:ascii="Arial" w:cs="Arial" w:eastAsia="Arial" w:hAnsi="Arial"/>
          <w:sz w:val="17"/>
          <w:szCs w:val="17"/>
          <w:color w:val="auto"/>
        </w:rPr>
      </w:pPr>
    </w:p>
    <w:p>
      <w:pPr>
        <w:ind w:left="4" w:right="320" w:firstLine="987"/>
        <w:spacing w:after="0" w:line="277" w:lineRule="auto"/>
        <w:tabs>
          <w:tab w:leader="none" w:pos="1375"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New Term Loans effected through the establishment of one or more new series of Term Loans on an Increased Amount Date shall be designated a separate Class of Term Loans for all purposes of this Agreement.</w:t>
      </w:r>
    </w:p>
    <w:p>
      <w:pPr>
        <w:spacing w:after="0" w:line="170" w:lineRule="exact"/>
        <w:rPr>
          <w:rFonts w:ascii="Arial" w:cs="Arial" w:eastAsia="Arial" w:hAnsi="Arial"/>
          <w:sz w:val="18"/>
          <w:szCs w:val="18"/>
          <w:color w:val="auto"/>
        </w:rPr>
      </w:pPr>
    </w:p>
    <w:p>
      <w:pPr>
        <w:ind w:left="4" w:right="200" w:firstLine="987"/>
        <w:spacing w:after="0" w:line="291" w:lineRule="auto"/>
        <w:tabs>
          <w:tab w:leader="none" w:pos="1375" w:val="left"/>
        </w:tabs>
        <w:numPr>
          <w:ilvl w:val="1"/>
          <w:numId w:val="91"/>
        </w:numPr>
        <w:rPr>
          <w:rFonts w:ascii="Arial" w:cs="Arial" w:eastAsia="Arial" w:hAnsi="Arial"/>
          <w:sz w:val="16"/>
          <w:szCs w:val="16"/>
          <w:color w:val="auto"/>
        </w:rPr>
      </w:pPr>
      <w:r>
        <w:rPr>
          <w:rFonts w:ascii="Arial" w:cs="Arial" w:eastAsia="Arial" w:hAnsi="Arial"/>
          <w:sz w:val="16"/>
          <w:szCs w:val="16"/>
          <w:color w:val="auto"/>
        </w:rPr>
        <w:t>On any Increased Amount Date on which New Term Loans are made that constitute an increase to an existing Class of Term Loans (with all of the same terms and conditions as such existing Class of Term Loans), subject to the satisfaction of the foregoing terms and conditions,</w:t>
      </w:r>
    </w:p>
    <w:p>
      <w:pPr>
        <w:ind w:left="4" w:right="40" w:hanging="4"/>
        <w:spacing w:after="0" w:line="292" w:lineRule="auto"/>
        <w:tabs>
          <w:tab w:leader="none" w:pos="219" w:val="left"/>
        </w:tabs>
        <w:numPr>
          <w:ilvl w:val="0"/>
          <w:numId w:val="92"/>
        </w:numPr>
        <w:rPr>
          <w:rFonts w:ascii="Arial" w:cs="Arial" w:eastAsia="Arial" w:hAnsi="Arial"/>
          <w:sz w:val="16"/>
          <w:szCs w:val="16"/>
          <w:color w:val="auto"/>
        </w:rPr>
      </w:pPr>
      <w:r>
        <w:rPr>
          <w:rFonts w:ascii="Arial" w:cs="Arial" w:eastAsia="Arial" w:hAnsi="Arial"/>
          <w:sz w:val="16"/>
          <w:szCs w:val="16"/>
          <w:color w:val="auto"/>
        </w:rPr>
        <w:t>each applicable existing Term Loan Lender and New Term Lender of such Class shall make a New Term Loan to the Borrower in an amount equal to its New Term Loan Commitment of such Class (it being understood that any New Term Loan Facility may provide for delayed draw term loans to be made on a date after the Increased Amount Date), (ii) any New Term Loan made by an existing Term Loan Lender and/or a New Term Lender pursuant to a Commitment Amount Increase shall be deemed a “Term Loan” for all purposes of this Agreement and (iii) each New Term Lender with a New Term Loan shall become a Lender with respect to such Class of New Term Loans and New Term Loan Facility and all matters relating thereto.</w:t>
      </w:r>
    </w:p>
    <w:p>
      <w:pPr>
        <w:spacing w:after="0" w:line="162" w:lineRule="exact"/>
        <w:rPr>
          <w:rFonts w:ascii="Arial" w:cs="Arial" w:eastAsia="Arial" w:hAnsi="Arial"/>
          <w:sz w:val="16"/>
          <w:szCs w:val="16"/>
          <w:color w:val="auto"/>
        </w:rPr>
      </w:pPr>
    </w:p>
    <w:p>
      <w:pPr>
        <w:ind w:left="4" w:right="40" w:firstLine="987"/>
        <w:spacing w:after="0" w:line="291" w:lineRule="auto"/>
        <w:tabs>
          <w:tab w:leader="none" w:pos="1385" w:val="left"/>
        </w:tabs>
        <w:numPr>
          <w:ilvl w:val="1"/>
          <w:numId w:val="92"/>
        </w:numPr>
        <w:rPr>
          <w:rFonts w:ascii="Arial" w:cs="Arial" w:eastAsia="Arial" w:hAnsi="Arial"/>
          <w:sz w:val="16"/>
          <w:szCs w:val="16"/>
          <w:color w:val="auto"/>
        </w:rPr>
      </w:pPr>
      <w:r>
        <w:rPr>
          <w:rFonts w:ascii="Arial" w:cs="Arial" w:eastAsia="Arial" w:hAnsi="Arial"/>
          <w:sz w:val="16"/>
          <w:szCs w:val="16"/>
          <w:color w:val="auto"/>
        </w:rPr>
        <w:t>On any Increased Amount Date (or such later date as shall be applicable to any delayed draw Term Loan) on which any New Term Loans are made that constitute a new Class of Term Loans, subject to the satisfaction of the foregoing terms and conditions, (i) each applicable existing Term Loan Lender and New Term Lender of such Class shall make a New Term Loan to the Borrower in an amount equal to its New Term Loan Commitment (or, in the case of any delayed draw Term Loan, relevant portion thereof) of such Class, (ii) any New Term Loan of such Class made by an existing Term Loan Lender and/or a New Term Lender pursuant to a Commitment Amount Increase shall be deemed a “Term Loan” made pursuant to a separate Class of Term Credit Facility for all purposes of this Agreement and (iii) each New Term Lender with a New Term Loan shall become a Lender with respect to such Class of New Term Loans and New Term Loan Facility and all matters relating thereto.</w:t>
      </w:r>
    </w:p>
    <w:p>
      <w:pPr>
        <w:spacing w:after="0" w:line="166" w:lineRule="exact"/>
        <w:rPr>
          <w:rFonts w:ascii="Arial" w:cs="Arial" w:eastAsia="Arial" w:hAnsi="Arial"/>
          <w:sz w:val="16"/>
          <w:szCs w:val="16"/>
          <w:color w:val="auto"/>
        </w:rPr>
      </w:pPr>
    </w:p>
    <w:p>
      <w:pPr>
        <w:ind w:left="4" w:firstLine="987"/>
        <w:spacing w:after="0" w:line="271" w:lineRule="auto"/>
        <w:tabs>
          <w:tab w:leader="none" w:pos="1375" w:val="left"/>
        </w:tabs>
        <w:numPr>
          <w:ilvl w:val="1"/>
          <w:numId w:val="92"/>
        </w:numPr>
        <w:rPr>
          <w:rFonts w:ascii="Arial" w:cs="Arial" w:eastAsia="Arial" w:hAnsi="Arial"/>
          <w:sz w:val="17"/>
          <w:szCs w:val="17"/>
          <w:color w:val="auto"/>
        </w:rPr>
      </w:pPr>
      <w:r>
        <w:rPr>
          <w:rFonts w:ascii="Arial" w:cs="Arial" w:eastAsia="Arial" w:hAnsi="Arial"/>
          <w:sz w:val="17"/>
          <w:szCs w:val="17"/>
          <w:color w:val="auto"/>
        </w:rPr>
        <w:t>On any Increased Amount Date on which any New Revolving Credit Commitments are effected as an increase to one or more existing Classes of Revolving Credit Commitments, subject to the satisfaction of the foregoing terms and conditions, (i) at such time and in such manner as the Borrower and the Administrative Agent shall agree, each of the existing Revolving Lender’s shall assign to each New Revolving Lender, and each New Revolving Lender shall purchase from each of the existing Revolving Lenders, at the principal amount thereof (together with accrued interest), such interests in the Revolving Loans of such Class outstanding on the date of such Increased Amount Date as shall be necessary such that, after giving effect to all such assignments and purchases, such Revolving Loans will be held by existing Revolving Lenders and New Revolving Lenders ratably in accordance with their Revolving Credit Commitments of such Class after giving effect to such Commitment Amount Increase, (ii) each New Revolving Credit Commitment obtained by a Revolving Lender pursuant to a</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85" w:name="page86"/>
    <w:bookmarkEnd w:id="85"/>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Commitment Amount Increase shall be deemed for all purposes a Revolving Credit Commitment of such Class and each Loan made thereunder shall be deemed, for all purposes of this Agreement, a “Revolving Loan” and (iii) each Lender with a New Revolving Credit Commitment shall become a Lender with respect to such Class of New Revolving Credit Commitment and all matters relating thereto.</w:t>
      </w:r>
    </w:p>
    <w:p>
      <w:pPr>
        <w:spacing w:after="0" w:line="184" w:lineRule="exact"/>
        <w:rPr>
          <w:sz w:val="20"/>
          <w:szCs w:val="20"/>
          <w:color w:val="auto"/>
        </w:rPr>
      </w:pPr>
    </w:p>
    <w:p>
      <w:pPr>
        <w:ind w:right="160" w:firstLine="987"/>
        <w:spacing w:after="0" w:line="269" w:lineRule="auto"/>
        <w:tabs>
          <w:tab w:leader="none" w:pos="1348"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The Borrower agrees to pay the reasonable documented out-of-pocket expenses of the Administrative Agent relating to any Commitment Amount Increase. Notwithstanding anything herein to the contrary, no Lender shall have any obligation to increase its Revolving Credit Commitment or advance New Term Loans and no Lender’s Revolving Credit Commitment shall be increased without its consent thereto, and each Lender may at its option, unconditionally and without cause, decline to increase its Revolving Credit Commitment or advance New Term Loans. Each Commitment Amount Increase Notice entered into in connection with any Commitment Amount Increase may, without the consent of any other Lenders, effect such amendments to this Agreement and the other Loan Documents as may be necessary or appropriate, in the opinion of the Administrative Agent, to effect the provisions of this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and, for the avoidance of doubt, this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shall supersede any provisions of this Agreement (including, without limitation,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13.7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13.13</w:t>
      </w:r>
      <w:r>
        <w:rPr>
          <w:rFonts w:ascii="Arial" w:cs="Arial" w:eastAsia="Arial" w:hAnsi="Arial"/>
          <w:sz w:val="17"/>
          <w:szCs w:val="17"/>
          <w:color w:val="auto"/>
        </w:rPr>
        <w:t>) or any other Loan Document that may otherwise prohibit or conflict with any New Revolving Credit Commitment, New Term Loan Commitments or other increases in Term Loans or Revolving Credit Commitments as contemplated by this Section.</w:t>
      </w:r>
    </w:p>
    <w:p>
      <w:pPr>
        <w:spacing w:after="0" w:line="185" w:lineRule="exact"/>
        <w:rPr>
          <w:rFonts w:ascii="Arial" w:cs="Arial" w:eastAsia="Arial" w:hAnsi="Arial"/>
          <w:sz w:val="17"/>
          <w:szCs w:val="17"/>
          <w:color w:val="auto"/>
        </w:rPr>
      </w:pPr>
    </w:p>
    <w:p>
      <w:pPr>
        <w:ind w:right="300" w:firstLine="987"/>
        <w:spacing w:after="0" w:line="275" w:lineRule="auto"/>
        <w:tabs>
          <w:tab w:leader="none" w:pos="1381"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or any other provision of any Loan Document, if the proceeds of any New Term Loans are intended to be applied to finance an Acquisition or other </w:t>
      </w:r>
      <w:r>
        <w:rPr>
          <w:rFonts w:ascii="Arial" w:cs="Arial" w:eastAsia="Arial" w:hAnsi="Arial"/>
          <w:sz w:val="17"/>
          <w:szCs w:val="17"/>
          <w:color w:val="FF0000"/>
          <w:strike w:val="1"/>
        </w:rPr>
        <w:t>I</w:t>
      </w:r>
      <w:r>
        <w:rPr>
          <w:rFonts w:ascii="Arial" w:cs="Arial" w:eastAsia="Arial" w:hAnsi="Arial"/>
          <w:sz w:val="17"/>
          <w:szCs w:val="17"/>
          <w:u w:val="single" w:color="auto"/>
          <w:color w:val="0000E1"/>
        </w:rPr>
        <w:t>i</w:t>
      </w:r>
      <w:r>
        <w:rPr>
          <w:rFonts w:ascii="Arial" w:cs="Arial" w:eastAsia="Arial" w:hAnsi="Arial"/>
          <w:sz w:val="17"/>
          <w:szCs w:val="17"/>
          <w:color w:val="auto"/>
        </w:rPr>
        <w:t xml:space="preserve">nvestment permitted hereunder (x) with the consent of the Lenders providing such New Term Loans, the availability thereof </w:t>
      </w:r>
      <w:r>
        <w:rPr>
          <w:rFonts w:ascii="Arial" w:cs="Arial" w:eastAsia="Arial" w:hAnsi="Arial"/>
          <w:sz w:val="17"/>
          <w:szCs w:val="17"/>
          <w:color w:val="FF0000"/>
          <w:strike w:val="1"/>
        </w:rPr>
        <w:t>shall</w:t>
      </w:r>
      <w:r>
        <w:rPr>
          <w:rFonts w:ascii="Arial" w:cs="Arial" w:eastAsia="Arial" w:hAnsi="Arial"/>
          <w:sz w:val="17"/>
          <w:szCs w:val="17"/>
          <w:u w:val="single" w:color="auto"/>
          <w:color w:val="0000E1"/>
        </w:rPr>
        <w:t>may</w:t>
      </w:r>
      <w:r>
        <w:rPr>
          <w:rFonts w:ascii="Arial" w:cs="Arial" w:eastAsia="Arial" w:hAnsi="Arial"/>
          <w:sz w:val="17"/>
          <w:szCs w:val="17"/>
          <w:color w:val="auto"/>
        </w:rPr>
        <w:t xml:space="preserve"> be subject to customary “SunGard” or “certain funds” conditionality, (y) the availability thereof </w:t>
      </w:r>
      <w:r>
        <w:rPr>
          <w:rFonts w:ascii="Arial" w:cs="Arial" w:eastAsia="Arial" w:hAnsi="Arial"/>
          <w:sz w:val="17"/>
          <w:szCs w:val="17"/>
          <w:color w:val="FF0000"/>
          <w:strike w:val="1"/>
        </w:rPr>
        <w:t>shall</w:t>
      </w:r>
      <w:r>
        <w:rPr>
          <w:rFonts w:ascii="Arial" w:cs="Arial" w:eastAsia="Arial" w:hAnsi="Arial"/>
          <w:sz w:val="17"/>
          <w:szCs w:val="17"/>
          <w:u w:val="single" w:color="auto"/>
          <w:color w:val="0000E1"/>
        </w:rPr>
        <w:t>may</w:t>
      </w:r>
      <w:r>
        <w:rPr>
          <w:rFonts w:ascii="Arial" w:cs="Arial" w:eastAsia="Arial" w:hAnsi="Arial"/>
          <w:sz w:val="17"/>
          <w:szCs w:val="17"/>
          <w:color w:val="auto"/>
        </w:rPr>
        <w:t xml:space="preserve"> be subject to the existence of no Event of Default under </w:t>
      </w:r>
      <w:r>
        <w:rPr>
          <w:rFonts w:ascii="Arial" w:cs="Arial" w:eastAsia="Arial" w:hAnsi="Arial"/>
          <w:sz w:val="17"/>
          <w:szCs w:val="17"/>
          <w:u w:val="single" w:color="auto"/>
          <w:color w:val="auto"/>
        </w:rPr>
        <w:t>Section</w:t>
      </w:r>
      <w:r>
        <w:rPr>
          <w:rFonts w:ascii="Arial" w:cs="Arial" w:eastAsia="Arial" w:hAnsi="Arial"/>
          <w:sz w:val="17"/>
          <w:szCs w:val="17"/>
          <w:u w:val="single" w:color="auto"/>
          <w:color w:val="FF0000"/>
          <w:strike w:val="1"/>
        </w:rPr>
        <w:t>s</w:t>
      </w:r>
      <w:r>
        <w:rPr>
          <w:rFonts w:ascii="Arial" w:cs="Arial" w:eastAsia="Arial" w:hAnsi="Arial"/>
          <w:sz w:val="17"/>
          <w:szCs w:val="17"/>
          <w:color w:val="auto"/>
        </w:rPr>
        <w:t xml:space="preserve"> 9.1(a),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(k)</w:t>
      </w:r>
      <w:r>
        <w:rPr>
          <w:rFonts w:ascii="Arial" w:cs="Arial" w:eastAsia="Arial" w:hAnsi="Arial"/>
          <w:sz w:val="17"/>
          <w:szCs w:val="17"/>
          <w:color w:val="auto"/>
        </w:rPr>
        <w:t xml:space="preserve"> and (z) compliance with the Secured Leverage Ratio will be determined as of the date of the execution of the definitive agreement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6611620</wp:posOffset>
            </wp:positionH>
            <wp:positionV relativeFrom="paragraph">
              <wp:posOffset>-1730375</wp:posOffset>
            </wp:positionV>
            <wp:extent cx="2857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-418465</wp:posOffset>
            </wp:positionV>
            <wp:extent cx="342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-281305</wp:posOffset>
            </wp:positionV>
            <wp:extent cx="19685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-144145</wp:posOffset>
            </wp:positionV>
            <wp:extent cx="18859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-178435</wp:posOffset>
            </wp:positionV>
            <wp:extent cx="29845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156"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i w:val="1"/>
          <w:iCs w:val="1"/>
          <w:color w:val="auto"/>
        </w:rPr>
        <w:t>Defaulting Lenders</w:t>
      </w:r>
      <w:r>
        <w:rPr>
          <w:rFonts w:ascii="Arial" w:cs="Arial" w:eastAsia="Arial" w:hAnsi="Arial"/>
          <w:sz w:val="18"/>
          <w:szCs w:val="18"/>
          <w:color w:val="auto"/>
        </w:rPr>
        <w:t>. Notwithstanding anything to the contrary contained in this Agreement, if any Lender becomes a Defaulting Lender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1876425</wp:posOffset>
            </wp:positionH>
            <wp:positionV relativeFrom="paragraph">
              <wp:posOffset>-224790</wp:posOffset>
            </wp:positionV>
            <wp:extent cx="2857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0" w:lineRule="exact"/>
        <w:rPr>
          <w:sz w:val="20"/>
          <w:szCs w:val="20"/>
          <w:color w:val="auto"/>
        </w:rPr>
      </w:pPr>
    </w:p>
    <w:p>
      <w:pPr>
        <w:ind w:right="60" w:firstLine="987"/>
        <w:spacing w:after="0" w:line="308" w:lineRule="auto"/>
        <w:tabs>
          <w:tab w:leader="none" w:pos="1371" w:val="left"/>
        </w:tabs>
        <w:numPr>
          <w:ilvl w:val="0"/>
          <w:numId w:val="94"/>
        </w:numPr>
        <w:rPr>
          <w:rFonts w:ascii="Arial" w:cs="Arial" w:eastAsia="Arial" w:hAnsi="Arial"/>
          <w:sz w:val="17"/>
          <w:szCs w:val="17"/>
          <w:color w:val="auto"/>
        </w:rPr>
      </w:pPr>
      <w:r>
        <w:rPr>
          <w:rFonts w:ascii="Arial" w:cs="Arial" w:eastAsia="Arial" w:hAnsi="Arial"/>
          <w:sz w:val="17"/>
          <w:szCs w:val="17"/>
          <w:color w:val="FF0000"/>
          <w:strike w:val="1"/>
        </w:rPr>
        <w:t>S</w:t>
      </w:r>
      <w:r>
        <w:rPr>
          <w:rFonts w:ascii="Arial" w:cs="Arial" w:eastAsia="Arial" w:hAnsi="Arial"/>
          <w:sz w:val="17"/>
          <w:szCs w:val="17"/>
          <w:u w:val="single" w:color="auto"/>
          <w:color w:val="0000E1"/>
        </w:rPr>
        <w:t>s</w:t>
      </w:r>
      <w:r>
        <w:rPr>
          <w:rFonts w:ascii="Arial" w:cs="Arial" w:eastAsia="Arial" w:hAnsi="Arial"/>
          <w:sz w:val="17"/>
          <w:szCs w:val="17"/>
          <w:color w:val="000000"/>
        </w:rPr>
        <w:t>uch Defaulting Lender’s right to approve or disapprove any amendment, waiver or consent with respect to this Agreement shall be</w:t>
      </w:r>
      <w:r>
        <w:rPr>
          <w:rFonts w:ascii="Arial" w:cs="Arial" w:eastAsia="Arial" w:hAnsi="Arial"/>
          <w:sz w:val="17"/>
          <w:szCs w:val="17"/>
          <w:color w:val="FF0000"/>
        </w:rPr>
        <w:t xml:space="preserve"> </w:t>
      </w:r>
      <w:r>
        <w:rPr>
          <w:rFonts w:ascii="Arial" w:cs="Arial" w:eastAsia="Arial" w:hAnsi="Arial"/>
          <w:sz w:val="17"/>
          <w:szCs w:val="17"/>
          <w:color w:val="000000"/>
        </w:rPr>
        <w:t xml:space="preserve">restricted as set forth in the definition of “Required Lenders” </w:t>
      </w:r>
      <w:r>
        <w:rPr>
          <w:rFonts w:ascii="Arial" w:cs="Arial" w:eastAsia="Arial" w:hAnsi="Arial"/>
          <w:sz w:val="17"/>
          <w:szCs w:val="17"/>
          <w:color w:val="FF0000"/>
        </w:rPr>
        <w:t>and</w:t>
      </w:r>
      <w:r>
        <w:rPr>
          <w:rFonts w:ascii="Arial" w:cs="Arial" w:eastAsia="Arial" w:hAnsi="Arial"/>
          <w:sz w:val="17"/>
          <w:szCs w:val="17"/>
          <w:u w:val="single" w:color="auto"/>
          <w:color w:val="0000E1"/>
        </w:rPr>
        <w:t>,</w:t>
      </w:r>
      <w:r>
        <w:rPr>
          <w:rFonts w:ascii="Arial" w:cs="Arial" w:eastAsia="Arial" w:hAnsi="Arial"/>
          <w:sz w:val="17"/>
          <w:szCs w:val="17"/>
          <w:color w:val="000000"/>
        </w:rPr>
        <w:t xml:space="preserve"> “Required Revolving Lenders” </w:t>
      </w:r>
      <w:r>
        <w:rPr>
          <w:rFonts w:ascii="Arial" w:cs="Arial" w:eastAsia="Arial" w:hAnsi="Arial"/>
          <w:sz w:val="17"/>
          <w:szCs w:val="17"/>
          <w:color w:val="0000E1"/>
        </w:rPr>
        <w:t>and “Required Term Lenders”</w:t>
      </w:r>
      <w:r>
        <w:rPr>
          <w:rFonts w:ascii="Arial" w:cs="Arial" w:eastAsia="Arial" w:hAnsi="Arial"/>
          <w:sz w:val="17"/>
          <w:szCs w:val="17"/>
          <w:color w:val="000000"/>
        </w:rPr>
        <w:t>;</w:t>
      </w:r>
    </w:p>
    <w:p>
      <w:pPr>
        <w:spacing w:after="0" w:line="146" w:lineRule="exact"/>
        <w:rPr>
          <w:rFonts w:ascii="Arial" w:cs="Arial" w:eastAsia="Arial" w:hAnsi="Arial"/>
          <w:sz w:val="17"/>
          <w:szCs w:val="17"/>
          <w:color w:val="auto"/>
        </w:rPr>
      </w:pPr>
    </w:p>
    <w:p>
      <w:pPr>
        <w:ind w:right="40" w:firstLine="987"/>
        <w:spacing w:after="0" w:line="271" w:lineRule="auto"/>
        <w:tabs>
          <w:tab w:leader="none" w:pos="1381"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all obligations of any such Defaulting Revolving Lender to purchase participations in or otherwise refinance or support such Swing Loans and Letters of Credit shall be reallocated among the non-Defaulting Revolving Lenders in accordance with their respective Revolver Percentages thereof, but only to the extent (i) the sum of the non-Defaulting Revolving Lenders’ Revolver Percentages of the aggregate outstanding amount of all Revolving Loans and all L/C Obligations do not exceed the total of all non-Defaulting Lenders’ Revolving Credit Commitments and (ii) no non-Defaulting Revolving Lender’s Revolving Loans and L/C Obligations exceeds such Revolving Lender’s Revolving Credit Commitments;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reallocation under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r>
        <w:rPr>
          <w:rFonts w:ascii="Arial" w:cs="Arial" w:eastAsia="Arial" w:hAnsi="Arial"/>
          <w:sz w:val="17"/>
          <w:szCs w:val="17"/>
          <w:color w:val="FF0000"/>
          <w:strike w:val="1"/>
        </w:rPr>
        <w:t>.</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firstLine="987"/>
        <w:spacing w:after="0" w:line="263" w:lineRule="auto"/>
        <w:tabs>
          <w:tab w:leader="none" w:pos="1371"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if the reallocation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cannot, or can only partially, be effected, and the Administrative Agent shall not have sufficient cash collateral pursuant to </w:t>
      </w:r>
      <w:r>
        <w:rPr>
          <w:rFonts w:ascii="Arial" w:cs="Arial" w:eastAsia="Arial" w:hAnsi="Arial"/>
          <w:sz w:val="18"/>
          <w:szCs w:val="18"/>
          <w:u w:val="single" w:color="auto"/>
          <w:color w:val="auto"/>
        </w:rPr>
        <w:t>Section 1.17(e)</w:t>
      </w:r>
      <w:r>
        <w:rPr>
          <w:rFonts w:ascii="Arial" w:cs="Arial" w:eastAsia="Arial" w:hAnsi="Arial"/>
          <w:sz w:val="18"/>
          <w:szCs w:val="18"/>
          <w:color w:val="auto"/>
        </w:rPr>
        <w:t xml:space="preserve"> to secure the obligations of such Lender the Borrower shall, within three (3) Business Days following written notice by the Administrative Agent, at the Borrower’s option, (i) in the case of any Swing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-1922780</wp:posOffset>
            </wp:positionV>
            <wp:extent cx="431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2780030</wp:posOffset>
            </wp:positionH>
            <wp:positionV relativeFrom="paragraph">
              <wp:posOffset>-1862455</wp:posOffset>
            </wp:positionV>
            <wp:extent cx="19367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-1785620</wp:posOffset>
            </wp:positionV>
            <wp:extent cx="2540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-1785620</wp:posOffset>
            </wp:positionV>
            <wp:extent cx="1405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405890" cy="8890"/>
                    </a:xfrm>
                    <a:prstGeom prst="rect">
                      <a:avLst/>
                    </a:prstGeom>
                    <a:noFill/>
                  </pic:spPr>
                </pic:pic>
              </a:graphicData>
            </a:graphic>
          </wp:anchor>
        </w:drawing>
        <w:drawing>
          <wp:anchor simplePos="0" relativeHeight="251657728" behindDoc="1" locked="0" layoutInCell="0" allowOverlap="1">
            <wp:simplePos x="0" y="0"/>
            <wp:positionH relativeFrom="column">
              <wp:posOffset>4451350</wp:posOffset>
            </wp:positionH>
            <wp:positionV relativeFrom="paragraph">
              <wp:posOffset>-1819910</wp:posOffset>
            </wp:positionV>
            <wp:extent cx="14065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86" w:name="page87"/>
    <w:bookmarkEnd w:id="86"/>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prepay any outstanding Swing Loans to the extent the obligations of the applicable Defaulting Lender to purchase participations in or otherwise refinance or support Swing Loans have not been reallocated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(ii) cash collateralize such Defaulting Lender’s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obligations to purchase participations in or otherwise refinance or support Letters of Credit (after giving effect to any partial reallocation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for so long as such obligations are outstanding or (iii) make other arrangements reasonably satisfactory to the Administrative Agent to protect the L/C Issuer or the Swing Line Lender, as the case may be, from the risk of non-payment by such Defaulting Lender;</w:t>
      </w:r>
    </w:p>
    <w:p>
      <w:pPr>
        <w:spacing w:after="0" w:line="161" w:lineRule="exact"/>
        <w:rPr>
          <w:sz w:val="20"/>
          <w:szCs w:val="20"/>
          <w:color w:val="auto"/>
        </w:rPr>
      </w:pPr>
    </w:p>
    <w:p>
      <w:pPr>
        <w:ind w:right="80" w:firstLine="987"/>
        <w:spacing w:after="0" w:line="286" w:lineRule="auto"/>
        <w:tabs>
          <w:tab w:leader="none" w:pos="1381"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if the obligations of the applicable Defaulting Revolving Lender to purchase Participating Interests in or otherwise refinance or support Letters of Credit are reallocated among the Non-Defaulting Lenders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then the fees payable to the Lenders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shall be adjusted in accordance with such non-Defaulting Revolving Lender’s Revolver Percentages;</w:t>
      </w:r>
    </w:p>
    <w:p>
      <w:pPr>
        <w:spacing w:after="0" w:line="165" w:lineRule="exact"/>
        <w:rPr>
          <w:rFonts w:ascii="Arial" w:cs="Arial" w:eastAsia="Arial" w:hAnsi="Arial"/>
          <w:sz w:val="17"/>
          <w:szCs w:val="17"/>
          <w:color w:val="auto"/>
        </w:rPr>
      </w:pPr>
    </w:p>
    <w:p>
      <w:pPr>
        <w:ind w:firstLine="987"/>
        <w:spacing w:after="0" w:line="284" w:lineRule="auto"/>
        <w:tabs>
          <w:tab w:leader="none" w:pos="1371"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any payment of principal, interest, fees, indemnity payments or other amounts received by the Administrative Agent for the account of such Defaulting Lender under the Loan Documents (whether voluntary or mandatory, at maturity,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shall be applied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any L/C Issuer or Swing 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the L/C Issuer’s exposure and Swing Line Lender’s exposure with respect to such Defaulting Lender in accordance with </w:t>
      </w:r>
      <w:r>
        <w:rPr>
          <w:rFonts w:ascii="Arial" w:cs="Arial" w:eastAsia="Arial" w:hAnsi="Arial"/>
          <w:sz w:val="16"/>
          <w:szCs w:val="16"/>
          <w:u w:val="single" w:color="auto"/>
          <w:color w:val="auto"/>
        </w:rPr>
        <w:t>Section 1.17(c)</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and the Swing Line Lender’s future exposure with respect to such Defaulting Lender with respect to future Letters of Credit issued and Swing Loans, as applicable, under this Agreement;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any L/C Issuer or Swing Line Lender as a result of any judgment of a court of competent jurisdiction obtained by any Lender, any L/C Issuer or Swing 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(x) such payment is a payment of the principal amount of any Loans or Reimbursement Obligations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were satisfied and waived, such payment shall be applied solely to pay the Loans of, and Reimbursement Obligations with respect to Letters of Credit owed to, all Non-Defaulting Lenders on a pro rata basis prior to being applied to the payment of any Loans of, or Reimbursement Obligations with respect to Letters of Credit owed to, such Defaulting Lender until such time as all Loans and funded and unfunded Participating Interests in Letters of Credit and Swing Loans are held by the Lenders pro rata in accordance with the applicable Commitments without giving effect to </w:t>
      </w:r>
      <w:r>
        <w:rPr>
          <w:rFonts w:ascii="Arial" w:cs="Arial" w:eastAsia="Arial" w:hAnsi="Arial"/>
          <w:sz w:val="16"/>
          <w:szCs w:val="16"/>
          <w:u w:val="single" w:color="auto"/>
          <w:color w:val="auto"/>
        </w:rPr>
        <w:t>Section 1.17(b)</w:t>
      </w:r>
      <w:r>
        <w:rPr>
          <w:rFonts w:ascii="Arial" w:cs="Arial" w:eastAsia="Arial" w:hAnsi="Arial"/>
          <w:sz w:val="16"/>
          <w:szCs w:val="16"/>
          <w:color w:val="auto"/>
        </w:rPr>
        <w:t>;</w:t>
      </w:r>
    </w:p>
    <w:p>
      <w:pPr>
        <w:spacing w:after="0" w:line="395" w:lineRule="exact"/>
        <w:rPr>
          <w:rFonts w:ascii="Arial" w:cs="Arial" w:eastAsia="Arial" w:hAnsi="Arial"/>
          <w:sz w:val="16"/>
          <w:szCs w:val="16"/>
          <w:color w:val="auto"/>
        </w:rPr>
      </w:pPr>
    </w:p>
    <w:p>
      <w:pPr>
        <w:ind w:right="120" w:firstLine="987"/>
        <w:spacing w:after="0" w:line="263" w:lineRule="auto"/>
        <w:tabs>
          <w:tab w:leader="none" w:pos="1351"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87" w:name="page88"/>
    <w:bookmarkEnd w:id="87"/>
    <w:p>
      <w:pPr>
        <w:ind w:right="360" w:firstLine="987"/>
        <w:spacing w:after="0" w:line="257" w:lineRule="auto"/>
        <w:tabs>
          <w:tab w:leader="none" w:pos="1381"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such Defaulting Lender shall be entitled to receive any fee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for any period during which that Lender is a Defaulting Lender (and no fees shall accrue for the account of such Defaulting Lender during the period that such Lender is a Defaulting Lender); </w:t>
      </w:r>
      <w:r>
        <w:rPr>
          <w:rFonts w:ascii="Arial" w:cs="Arial" w:eastAsia="Arial" w:hAnsi="Arial"/>
          <w:sz w:val="18"/>
          <w:szCs w:val="18"/>
          <w:i w:val="1"/>
          <w:iCs w:val="1"/>
          <w:color w:val="auto"/>
        </w:rPr>
        <w:t xml:space="preserve">provided </w:t>
      </w:r>
      <w:r>
        <w:rPr>
          <w:rFonts w:ascii="Arial" w:cs="Arial" w:eastAsia="Arial" w:hAnsi="Arial"/>
          <w:sz w:val="18"/>
          <w:szCs w:val="18"/>
          <w:u w:val="single" w:color="auto"/>
          <w:color w:val="0000E1"/>
        </w:rPr>
        <w:t>that</w:t>
      </w:r>
      <w:r>
        <w:rPr>
          <w:rFonts w:ascii="Arial" w:cs="Arial" w:eastAsia="Arial" w:hAnsi="Arial"/>
          <w:sz w:val="18"/>
          <w:szCs w:val="18"/>
          <w:i w:val="1"/>
          <w:iCs w:val="1"/>
          <w:color w:val="auto"/>
        </w:rPr>
        <w:t xml:space="preserve"> </w:t>
      </w:r>
      <w:r>
        <w:rPr>
          <w:rFonts w:ascii="Arial" w:cs="Arial" w:eastAsia="Arial" w:hAnsi="Arial"/>
          <w:sz w:val="18"/>
          <w:szCs w:val="18"/>
          <w:color w:val="auto"/>
        </w:rPr>
        <w:t>such Defaulting Lender shall be entitled to receive fees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2.1(a)</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period during which that Lender is a</w:t>
      </w:r>
      <w:r>
        <w:rPr>
          <w:rFonts w:ascii="Arial" w:cs="Arial" w:eastAsia="Arial" w:hAnsi="Arial"/>
          <w:sz w:val="18"/>
          <w:szCs w:val="18"/>
          <w:i w:val="1"/>
          <w:iCs w:val="1"/>
          <w:color w:val="auto"/>
        </w:rPr>
        <w:t xml:space="preserve"> </w:t>
      </w:r>
      <w:r>
        <w:rPr>
          <w:rFonts w:ascii="Arial" w:cs="Arial" w:eastAsia="Arial" w:hAnsi="Arial"/>
          <w:sz w:val="18"/>
          <w:szCs w:val="18"/>
          <w:color w:val="auto"/>
        </w:rPr>
        <w:t>Defaulting Lender only to the extent allocable to its Revolver Percentage of the stated amount of Letters of Credit for which it has provided cash collateral in respect thereof; and</w:t>
      </w:r>
    </w:p>
    <w:p>
      <w:pPr>
        <w:spacing w:after="0" w:line="187" w:lineRule="exact"/>
        <w:rPr>
          <w:rFonts w:ascii="Arial" w:cs="Arial" w:eastAsia="Arial" w:hAnsi="Arial"/>
          <w:sz w:val="18"/>
          <w:szCs w:val="18"/>
          <w:color w:val="auto"/>
        </w:rPr>
      </w:pPr>
    </w:p>
    <w:p>
      <w:pPr>
        <w:ind w:firstLine="987"/>
        <w:spacing w:after="0" w:line="253" w:lineRule="auto"/>
        <w:tabs>
          <w:tab w:leader="none" w:pos="1381"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if the Borrower, the Administrative Agent,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Loans to be held on a pro rata basis by the Lenders in accordance with their Revolver Percentages (without giving effect to </w:t>
      </w:r>
      <w:r>
        <w:rPr>
          <w:rFonts w:ascii="Arial" w:cs="Arial" w:eastAsia="Arial" w:hAnsi="Arial"/>
          <w:sz w:val="18"/>
          <w:szCs w:val="18"/>
          <w:u w:val="single" w:color="auto"/>
          <w:color w:val="auto"/>
        </w:rPr>
        <w:t>Section 1.17(b)</w:t>
      </w:r>
      <w:r>
        <w:rPr>
          <w:rFonts w:ascii="Arial" w:cs="Arial" w:eastAsia="Arial" w:hAnsi="Arial"/>
          <w:sz w:val="18"/>
          <w:szCs w:val="18"/>
          <w:color w:val="auto"/>
        </w:rPr>
        <w:t xml:space="preserve">), whereupon such Lender will cease to be a Defaulting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8"/>
          <w:szCs w:val="18"/>
          <w:color w:val="FF0000"/>
          <w:strike w:val="1"/>
        </w:rPr>
        <w:t>^</w:t>
      </w:r>
      <w:r>
        <w:rPr>
          <w:rFonts w:ascii="Arial" w:cs="Arial" w:eastAsia="Arial" w:hAnsi="Arial"/>
          <w:sz w:val="18"/>
          <w:szCs w:val="18"/>
          <w:i w:val="1"/>
          <w:iCs w:val="1"/>
          <w:color w:val="auto"/>
        </w:rPr>
        <w:t>provided, 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-1778635</wp:posOffset>
            </wp:positionV>
            <wp:extent cx="17145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8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1.18</w:t>
      </w:r>
      <w:r>
        <w:rPr>
          <w:sz w:val="20"/>
          <w:szCs w:val="20"/>
          <w:color w:val="auto"/>
        </w:rPr>
        <w:tab/>
      </w:r>
      <w:r>
        <w:rPr>
          <w:rFonts w:ascii="Arial" w:cs="Arial" w:eastAsia="Arial" w:hAnsi="Arial"/>
          <w:sz w:val="16"/>
          <w:szCs w:val="16"/>
          <w:i w:val="1"/>
          <w:iCs w:val="1"/>
          <w:color w:val="auto"/>
        </w:rPr>
        <w:t>Term Loan Maturity Extensions</w:t>
      </w:r>
      <w:r>
        <w:rPr>
          <w:rFonts w:ascii="Arial" w:cs="Arial" w:eastAsia="Arial" w:hAnsi="Arial"/>
          <w:sz w:val="16"/>
          <w:szCs w:val="16"/>
          <w:color w:val="FF0000"/>
          <w:strike w:val="1"/>
        </w:rPr>
        <w:t>(a)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FF0000"/>
        </w:rPr>
        <w:t>(a)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-53340</wp:posOffset>
            </wp:positionV>
            <wp:extent cx="38798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7985" cy="8255"/>
                    </a:xfrm>
                    <a:prstGeom prst="rect">
                      <a:avLst/>
                    </a:prstGeom>
                    <a:noFill/>
                  </pic:spPr>
                </pic:pic>
              </a:graphicData>
            </a:graphic>
          </wp:anchor>
        </w:drawing>
      </w:r>
    </w:p>
    <w:p>
      <w:pPr>
        <w:spacing w:after="0" w:line="97" w:lineRule="exact"/>
        <w:rPr>
          <w:sz w:val="20"/>
          <w:szCs w:val="20"/>
          <w:color w:val="auto"/>
        </w:rPr>
      </w:pPr>
    </w:p>
    <w:p>
      <w:pPr>
        <w:ind w:firstLine="987"/>
        <w:spacing w:after="0" w:line="284" w:lineRule="auto"/>
        <w:tabs>
          <w:tab w:leader="none" w:pos="1371" w:val="left"/>
        </w:tabs>
        <w:numPr>
          <w:ilvl w:val="0"/>
          <w:numId w:val="97"/>
        </w:numPr>
        <w:rPr>
          <w:rFonts w:ascii="Arial" w:cs="Arial" w:eastAsia="Arial" w:hAnsi="Arial"/>
          <w:sz w:val="16"/>
          <w:szCs w:val="16"/>
          <w:u w:val="single" w:color="auto"/>
          <w:color w:val="0000E1"/>
        </w:rPr>
      </w:pPr>
      <w:r>
        <w:rPr>
          <w:rFonts w:ascii="Arial" w:cs="Arial" w:eastAsia="Arial" w:hAnsi="Arial"/>
          <w:sz w:val="16"/>
          <w:szCs w:val="16"/>
          <w:u w:val="single" w:color="auto"/>
          <w:color w:val="0000E1"/>
        </w:rPr>
        <w:t>Other than during the Basket Suspension Period, the</w:t>
      </w:r>
      <w:r>
        <w:rPr>
          <w:rFonts w:ascii="Arial" w:cs="Arial" w:eastAsia="Arial" w:hAnsi="Arial"/>
          <w:sz w:val="16"/>
          <w:szCs w:val="16"/>
          <w:color w:val="0000E1"/>
        </w:rPr>
        <w:t xml:space="preserve"> </w:t>
      </w:r>
      <w:r>
        <w:rPr>
          <w:rFonts w:ascii="Arial" w:cs="Arial" w:eastAsia="Arial" w:hAnsi="Arial"/>
          <w:sz w:val="16"/>
          <w:szCs w:val="16"/>
          <w:color w:val="000000"/>
        </w:rPr>
        <w:t>Borrower may from time to time on any Business Day</w:t>
      </w:r>
      <w:r>
        <w:rPr>
          <w:rFonts w:ascii="Arial" w:cs="Arial" w:eastAsia="Arial" w:hAnsi="Arial"/>
          <w:sz w:val="16"/>
          <w:szCs w:val="16"/>
          <w:color w:val="0000E1"/>
        </w:rPr>
        <w:t xml:space="preserve"> </w:t>
      </w:r>
      <w:r>
        <w:rPr>
          <w:rFonts w:ascii="Arial" w:cs="Arial" w:eastAsia="Arial" w:hAnsi="Arial"/>
          <w:sz w:val="16"/>
          <w:szCs w:val="16"/>
          <w:u w:val="single" w:color="auto"/>
          <w:color w:val="0000E1"/>
        </w:rPr>
        <w:t>at least thirty (30) days</w:t>
      </w:r>
      <w:r>
        <w:rPr>
          <w:rFonts w:ascii="Arial" w:cs="Arial" w:eastAsia="Arial" w:hAnsi="Arial"/>
          <w:sz w:val="16"/>
          <w:szCs w:val="16"/>
          <w:color w:val="0000E1"/>
        </w:rPr>
        <w:t xml:space="preserve"> </w:t>
      </w:r>
      <w:r>
        <w:rPr>
          <w:rFonts w:ascii="Arial" w:cs="Arial" w:eastAsia="Arial" w:hAnsi="Arial"/>
          <w:sz w:val="16"/>
          <w:szCs w:val="16"/>
          <w:color w:val="000000"/>
        </w:rPr>
        <w:t>before the final maturity date of the Term Loans of any Term Credit Facility request that all or a portion of the Term Loans of any such Term Credit Facility (the Term Loans of such Term Credit Facility that are requested to be converted, the “</w:t>
      </w:r>
      <w:r>
        <w:rPr>
          <w:rFonts w:ascii="Arial" w:cs="Arial" w:eastAsia="Arial" w:hAnsi="Arial"/>
          <w:sz w:val="16"/>
          <w:szCs w:val="16"/>
          <w:i w:val="1"/>
          <w:iCs w:val="1"/>
          <w:color w:val="000000"/>
        </w:rPr>
        <w:t>Existing Term Loans</w:t>
      </w:r>
      <w:r>
        <w:rPr>
          <w:rFonts w:ascii="Arial" w:cs="Arial" w:eastAsia="Arial" w:hAnsi="Arial"/>
          <w:sz w:val="16"/>
          <w:szCs w:val="16"/>
          <w:color w:val="000000"/>
        </w:rPr>
        <w:t>”) be converted to extend the scheduled maturity date(s) of any payment of principal with respect to all or a portion of any principal amount of such Existing Term Loans (any such Existing Term Loans which have been so converted, “</w:t>
      </w:r>
      <w:r>
        <w:rPr>
          <w:rFonts w:ascii="Arial" w:cs="Arial" w:eastAsia="Arial" w:hAnsi="Arial"/>
          <w:sz w:val="16"/>
          <w:szCs w:val="16"/>
          <w:i w:val="1"/>
          <w:iCs w:val="1"/>
          <w:color w:val="000000"/>
        </w:rPr>
        <w:t>Extended Term Loans</w:t>
      </w:r>
      <w:r>
        <w:rPr>
          <w:rFonts w:ascii="Arial" w:cs="Arial" w:eastAsia="Arial" w:hAnsi="Arial"/>
          <w:sz w:val="16"/>
          <w:szCs w:val="16"/>
          <w:color w:val="000000"/>
        </w:rPr>
        <w:t xml:space="preserve">”) and to provide for other terms consistent with this </w:t>
      </w:r>
      <w:r>
        <w:rPr>
          <w:rFonts w:ascii="Arial" w:cs="Arial" w:eastAsia="Arial" w:hAnsi="Arial"/>
          <w:sz w:val="16"/>
          <w:szCs w:val="16"/>
          <w:u w:val="single" w:color="auto"/>
          <w:color w:val="000000"/>
        </w:rPr>
        <w:t>Section 1.18</w:t>
      </w:r>
      <w:r>
        <w:rPr>
          <w:rFonts w:ascii="Arial" w:cs="Arial" w:eastAsia="Arial" w:hAnsi="Arial"/>
          <w:sz w:val="16"/>
          <w:szCs w:val="16"/>
          <w:color w:val="000000"/>
        </w:rPr>
        <w:t xml:space="preserve">;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w:t>
      </w:r>
      <w:r>
        <w:rPr>
          <w:rFonts w:ascii="Arial" w:cs="Arial" w:eastAsia="Arial" w:hAnsi="Arial"/>
          <w:sz w:val="16"/>
          <w:szCs w:val="16"/>
          <w:color w:val="0000E1"/>
        </w:rPr>
        <w:t>(i)</w:t>
      </w:r>
      <w:r>
        <w:rPr>
          <w:rFonts w:ascii="Arial" w:cs="Arial" w:eastAsia="Arial" w:hAnsi="Arial"/>
          <w:sz w:val="16"/>
          <w:szCs w:val="16"/>
          <w:color w:val="000000"/>
        </w:rPr>
        <w:t xml:space="preserve"> the Borrower shall make such request for conversion and extension to all Lenders holding the Existing Term Loans </w:t>
      </w:r>
      <w:r>
        <w:rPr>
          <w:rFonts w:ascii="Arial" w:cs="Arial" w:eastAsia="Arial" w:hAnsi="Arial"/>
          <w:sz w:val="16"/>
          <w:szCs w:val="16"/>
          <w:color w:val="0000E1"/>
        </w:rPr>
        <w:t>and (ii) any such extension of</w:t>
      </w:r>
      <w:r>
        <w:rPr>
          <w:rFonts w:ascii="Arial" w:cs="Arial" w:eastAsia="Arial" w:hAnsi="Arial"/>
          <w:sz w:val="16"/>
          <w:szCs w:val="16"/>
          <w:color w:val="000000"/>
        </w:rPr>
        <w:t xml:space="preserve"> </w:t>
      </w:r>
      <w:r>
        <w:rPr>
          <w:rFonts w:ascii="Arial" w:cs="Arial" w:eastAsia="Arial" w:hAnsi="Arial"/>
          <w:sz w:val="16"/>
          <w:szCs w:val="16"/>
          <w:u w:val="single" w:color="auto"/>
          <w:color w:val="0000E1"/>
        </w:rPr>
        <w:t>a maturity date shall be for a minimum period of one (1) year</w:t>
      </w:r>
      <w:r>
        <w:rPr>
          <w:rFonts w:ascii="Arial" w:cs="Arial" w:eastAsia="Arial" w:hAnsi="Arial"/>
          <w:sz w:val="16"/>
          <w:szCs w:val="16"/>
          <w:color w:val="000000"/>
        </w:rPr>
        <w:t>. In order to establish any Extended Term Loans, the Borrower shall provide a notice to the</w:t>
      </w:r>
      <w:r>
        <w:rPr>
          <w:rFonts w:ascii="Arial" w:cs="Arial" w:eastAsia="Arial" w:hAnsi="Arial"/>
          <w:sz w:val="16"/>
          <w:szCs w:val="16"/>
          <w:color w:val="0000E1"/>
        </w:rPr>
        <w:t xml:space="preserve"> </w:t>
      </w:r>
      <w:r>
        <w:rPr>
          <w:rFonts w:ascii="Arial" w:cs="Arial" w:eastAsia="Arial" w:hAnsi="Arial"/>
          <w:sz w:val="16"/>
          <w:szCs w:val="16"/>
          <w:color w:val="000000"/>
        </w:rPr>
        <w:t>Administrative Agent (which shall provide a copy of such notice to each of the Lenders holding the Existing Term Loans) (a “</w:t>
      </w:r>
      <w:r>
        <w:rPr>
          <w:rFonts w:ascii="Arial" w:cs="Arial" w:eastAsia="Arial" w:hAnsi="Arial"/>
          <w:sz w:val="16"/>
          <w:szCs w:val="16"/>
          <w:i w:val="1"/>
          <w:iCs w:val="1"/>
          <w:color w:val="000000"/>
        </w:rPr>
        <w:t>Term Loan Extension</w:t>
      </w:r>
      <w:r>
        <w:rPr>
          <w:rFonts w:ascii="Arial" w:cs="Arial" w:eastAsia="Arial" w:hAnsi="Arial"/>
          <w:sz w:val="16"/>
          <w:szCs w:val="16"/>
          <w:color w:val="000000"/>
        </w:rPr>
        <w:t xml:space="preserve"> </w:t>
      </w:r>
      <w:r>
        <w:rPr>
          <w:rFonts w:ascii="Arial" w:cs="Arial" w:eastAsia="Arial" w:hAnsi="Arial"/>
          <w:sz w:val="16"/>
          <w:szCs w:val="16"/>
          <w:i w:val="1"/>
          <w:iCs w:val="1"/>
          <w:color w:val="000000"/>
        </w:rPr>
        <w:t>Request</w:t>
      </w:r>
      <w:r>
        <w:rPr>
          <w:rFonts w:ascii="Arial" w:cs="Arial" w:eastAsia="Arial" w:hAnsi="Arial"/>
          <w:sz w:val="16"/>
          <w:szCs w:val="16"/>
          <w:color w:val="000000"/>
        </w:rPr>
        <w:t>”) setting forth the proposed terms of the Extended Term Loans to be established which shall be identical to the Existing Term Loans from which</w:t>
      </w:r>
      <w:r>
        <w:rPr>
          <w:rFonts w:ascii="Arial" w:cs="Arial" w:eastAsia="Arial" w:hAnsi="Arial"/>
          <w:sz w:val="16"/>
          <w:szCs w:val="16"/>
          <w:i w:val="1"/>
          <w:iCs w:val="1"/>
          <w:color w:val="000000"/>
        </w:rPr>
        <w:t xml:space="preserve"> </w:t>
      </w:r>
      <w:r>
        <w:rPr>
          <w:rFonts w:ascii="Arial" w:cs="Arial" w:eastAsia="Arial" w:hAnsi="Arial"/>
          <w:sz w:val="16"/>
          <w:szCs w:val="16"/>
          <w:color w:val="000000"/>
        </w:rPr>
        <w:t xml:space="preserve">they are to be converted (unless (A) such terms are not less favorable to the Lenders of the Existing Term Loans or (B) such terms are only applicable to periods after the latest maturity date of the Existing Term Loans prior to the establishment of such Extended Term Loans) except (i) all or any of the principal installment payment dates of the Extended Term Loans may be delayed to later dates than (which, for the avoidance of doubt, shall be no earlier than) the corresponding scheduled principal installment payment dates of the Existing Term Loans from which they are to be converted (with any such delay resulting in a corresponding adjustment to the scheduled amortization payments reflected in </w:t>
      </w:r>
      <w:r>
        <w:rPr>
          <w:rFonts w:ascii="Arial" w:cs="Arial" w:eastAsia="Arial" w:hAnsi="Arial"/>
          <w:sz w:val="16"/>
          <w:szCs w:val="16"/>
          <w:u w:val="single" w:color="auto"/>
          <w:color w:val="000000"/>
        </w:rPr>
        <w:t>Section 1.8</w:t>
      </w:r>
      <w:r>
        <w:rPr>
          <w:rFonts w:ascii="Arial" w:cs="Arial" w:eastAsia="Arial" w:hAnsi="Arial"/>
          <w:sz w:val="16"/>
          <w:szCs w:val="16"/>
          <w:color w:val="000000"/>
        </w:rPr>
        <w:t xml:space="preserve"> or in the Term Loan Extension Amendment, as the case may be, with respect to the Existing Term Loans from which such Extended Term Loans were converted), (ii) the interest rate applicable to the Extended Term Loans shall be determined by the Borrower and the applicable Lenders (iii) the Weighted Average Life to Maturity of the Extended Term Loans shall be no shorter than the Weighted Average Life to Maturity of the Existing Term Loans from which they are to be converted, and (iv) the Extended Term Loans shall share ratably in any prepayments (whether voluntary or mandatory) of the Existing Term Loans for which they are to be converted, unless the Borrower and the Lenders in respect of the Extended Term Loans elect lesser payments. No Lender shall have any obligation to agree to have any of its Existing Term Loans converted into Extended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-2609215</wp:posOffset>
            </wp:positionV>
            <wp:extent cx="264033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-2609215</wp:posOffset>
            </wp:positionV>
            <wp:extent cx="10541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054100" cy="889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-1923415</wp:posOffset>
            </wp:positionV>
            <wp:extent cx="16319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-1957705</wp:posOffset>
            </wp:positionV>
            <wp:extent cx="16510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65100" cy="8255"/>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-1923415</wp:posOffset>
            </wp:positionV>
            <wp:extent cx="137985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379855" cy="8890"/>
                    </a:xfrm>
                    <a:prstGeom prst="rect">
                      <a:avLst/>
                    </a:prstGeom>
                    <a:noFill/>
                  </pic:spPr>
                </pic:pic>
              </a:graphicData>
            </a:graphic>
          </wp:anchor>
        </w:drawing>
        <w:drawing>
          <wp:anchor simplePos="0" relativeHeight="251657728" behindDoc="1" locked="0" layoutInCell="0" allowOverlap="1">
            <wp:simplePos x="0" y="0"/>
            <wp:positionH relativeFrom="column">
              <wp:posOffset>5595620</wp:posOffset>
            </wp:positionH>
            <wp:positionV relativeFrom="paragraph">
              <wp:posOffset>-1957705</wp:posOffset>
            </wp:positionV>
            <wp:extent cx="138303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830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-1786255</wp:posOffset>
            </wp:positionV>
            <wp:extent cx="2802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802890" cy="8890"/>
                    </a:xfrm>
                    <a:prstGeom prst="rect">
                      <a:avLst/>
                    </a:prstGeom>
                    <a:noFill/>
                  </pic:spPr>
                </pic:pic>
              </a:graphicData>
            </a:graphic>
          </wp:anchor>
        </w:drawing>
        <w:drawing>
          <wp:anchor simplePos="0" relativeHeight="251657728" behindDoc="1" locked="0" layoutInCell="0" allowOverlap="1">
            <wp:simplePos x="0" y="0"/>
            <wp:positionH relativeFrom="column">
              <wp:posOffset>2830830</wp:posOffset>
            </wp:positionH>
            <wp:positionV relativeFrom="paragraph">
              <wp:posOffset>-1863725</wp:posOffset>
            </wp:positionV>
            <wp:extent cx="2857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-217805</wp:posOffset>
            </wp:positionV>
            <wp:extent cx="2857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88" w:name="page89"/>
    <w:bookmarkEnd w:id="88"/>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Loans pursuant to any Term Loan Extension Request. Any Extended Term Loans shall constitute a separate Class of Term Loans and Term Credit Facility from the Existing Term Loans and Term Credit Facility from which they were converted. The Administrative Agent and the Lenders hereby consent to the transactions contemplated by this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(including, for the avoidance of doubt, payment of any interest, fees or premium in respect of any Extended Term Loans on such terms as may be set forth in the relevant Term Loan Extension Request) and hereby acknowledge and agree that this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shall supersede any provisions of this Agreement (including, without limitation,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13.13</w:t>
      </w:r>
      <w:r>
        <w:rPr>
          <w:rFonts w:ascii="Arial" w:cs="Arial" w:eastAsia="Arial" w:hAnsi="Arial"/>
          <w:sz w:val="18"/>
          <w:szCs w:val="18"/>
          <w:color w:val="auto"/>
        </w:rPr>
        <w:t>) or any other Loan Document that may otherwise prohibit or conflict with any such Extended Term Loans or any other transaction contemplated by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-758190</wp:posOffset>
            </wp:positionV>
            <wp:extent cx="2857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5" w:lineRule="exact"/>
        <w:rPr>
          <w:sz w:val="20"/>
          <w:szCs w:val="20"/>
          <w:color w:val="auto"/>
        </w:rPr>
      </w:pPr>
    </w:p>
    <w:p>
      <w:pPr>
        <w:ind w:right="60" w:firstLine="987"/>
        <w:spacing w:after="0" w:line="287" w:lineRule="auto"/>
        <w:tabs>
          <w:tab w:leader="none" w:pos="1378"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The Borrower shall provide the applicable Term Loan Extension Request to the Administrative Agent at least ten </w:t>
      </w:r>
      <w:r>
        <w:rPr>
          <w:rFonts w:ascii="Arial" w:cs="Arial" w:eastAsia="Arial" w:hAnsi="Arial"/>
          <w:sz w:val="16"/>
          <w:szCs w:val="16"/>
          <w:u w:val="single" w:color="auto"/>
          <w:color w:val="0000E1"/>
        </w:rPr>
        <w:t>(10)</w:t>
      </w:r>
      <w:r>
        <w:rPr>
          <w:rFonts w:ascii="Arial" w:cs="Arial" w:eastAsia="Arial" w:hAnsi="Arial"/>
          <w:sz w:val="16"/>
          <w:szCs w:val="16"/>
          <w:color w:val="auto"/>
        </w:rPr>
        <w:t xml:space="preserve"> Business Days (or such shorter period as may be reasonably agreed to by the Administrative Agent) prior to the date on which Lenders holding the Existing Term Loans are requested to respond </w:t>
      </w:r>
      <w:r>
        <w:rPr>
          <w:rFonts w:ascii="Arial" w:cs="Arial" w:eastAsia="Arial" w:hAnsi="Arial"/>
          <w:sz w:val="16"/>
          <w:szCs w:val="16"/>
          <w:color w:val="0000E1"/>
        </w:rPr>
        <w:t>and the applicable Term Loan Extension Request shall be provided to the Lenders no later than twenty (20) days before</w:t>
      </w:r>
      <w:r>
        <w:rPr>
          <w:rFonts w:ascii="Arial" w:cs="Arial" w:eastAsia="Arial" w:hAnsi="Arial"/>
          <w:sz w:val="16"/>
          <w:szCs w:val="16"/>
          <w:color w:val="auto"/>
        </w:rPr>
        <w:t xml:space="preserve"> </w:t>
      </w:r>
      <w:r>
        <w:rPr>
          <w:rFonts w:ascii="Arial" w:cs="Arial" w:eastAsia="Arial" w:hAnsi="Arial"/>
          <w:sz w:val="16"/>
          <w:szCs w:val="16"/>
          <w:u w:val="single" w:color="auto"/>
          <w:color w:val="0000E1"/>
        </w:rPr>
        <w:t>the final maturity date of the Term Loans being extended</w:t>
      </w:r>
      <w:r>
        <w:rPr>
          <w:rFonts w:ascii="Arial" w:cs="Arial" w:eastAsia="Arial" w:hAnsi="Arial"/>
          <w:sz w:val="16"/>
          <w:szCs w:val="16"/>
          <w:color w:val="000000"/>
        </w:rPr>
        <w:t>. Any Lender (an “</w:t>
      </w:r>
      <w:r>
        <w:rPr>
          <w:rFonts w:ascii="Arial" w:cs="Arial" w:eastAsia="Arial" w:hAnsi="Arial"/>
          <w:sz w:val="16"/>
          <w:szCs w:val="16"/>
          <w:i w:val="1"/>
          <w:iCs w:val="1"/>
          <w:color w:val="000000"/>
        </w:rPr>
        <w:t>Extending Term Loan Lender</w:t>
      </w:r>
      <w:r>
        <w:rPr>
          <w:rFonts w:ascii="Arial" w:cs="Arial" w:eastAsia="Arial" w:hAnsi="Arial"/>
          <w:sz w:val="16"/>
          <w:szCs w:val="16"/>
          <w:color w:val="000000"/>
        </w:rPr>
        <w:t>”) wishing to have all or a portion of its</w:t>
      </w:r>
      <w:r>
        <w:rPr>
          <w:rFonts w:ascii="Arial" w:cs="Arial" w:eastAsia="Arial" w:hAnsi="Arial"/>
          <w:sz w:val="16"/>
          <w:szCs w:val="16"/>
          <w:color w:val="0000E1"/>
        </w:rPr>
        <w:t xml:space="preserve"> </w:t>
      </w:r>
      <w:r>
        <w:rPr>
          <w:rFonts w:ascii="Arial" w:cs="Arial" w:eastAsia="Arial" w:hAnsi="Arial"/>
          <w:sz w:val="16"/>
          <w:szCs w:val="16"/>
          <w:color w:val="000000"/>
        </w:rPr>
        <w:t>Existing Term Loans subject to such Term Loan Extension Request converted into Extended Term Loans shall notify the Administrative Agent (a “</w:t>
      </w:r>
      <w:r>
        <w:rPr>
          <w:rFonts w:ascii="Arial" w:cs="Arial" w:eastAsia="Arial" w:hAnsi="Arial"/>
          <w:sz w:val="16"/>
          <w:szCs w:val="16"/>
          <w:i w:val="1"/>
          <w:iCs w:val="1"/>
          <w:color w:val="000000"/>
        </w:rPr>
        <w:t>Term</w:t>
      </w:r>
      <w:r>
        <w:rPr>
          <w:rFonts w:ascii="Arial" w:cs="Arial" w:eastAsia="Arial" w:hAnsi="Arial"/>
          <w:sz w:val="16"/>
          <w:szCs w:val="16"/>
          <w:color w:val="000000"/>
        </w:rPr>
        <w:t xml:space="preserve"> </w:t>
      </w:r>
      <w:r>
        <w:rPr>
          <w:rFonts w:ascii="Arial" w:cs="Arial" w:eastAsia="Arial" w:hAnsi="Arial"/>
          <w:sz w:val="16"/>
          <w:szCs w:val="16"/>
          <w:i w:val="1"/>
          <w:iCs w:val="1"/>
          <w:color w:val="000000"/>
        </w:rPr>
        <w:t>Loan Extension Election</w:t>
      </w:r>
      <w:r>
        <w:rPr>
          <w:rFonts w:ascii="Arial" w:cs="Arial" w:eastAsia="Arial" w:hAnsi="Arial"/>
          <w:sz w:val="16"/>
          <w:szCs w:val="16"/>
          <w:color w:val="000000"/>
        </w:rPr>
        <w:t>”) on or prior to the date specified in such Term Loan Extension Request</w:t>
      </w:r>
      <w:r>
        <w:rPr>
          <w:rFonts w:ascii="Arial" w:cs="Arial" w:eastAsia="Arial" w:hAnsi="Arial"/>
          <w:sz w:val="16"/>
          <w:szCs w:val="16"/>
          <w:i w:val="1"/>
          <w:iCs w:val="1"/>
          <w:color w:val="000000"/>
        </w:rPr>
        <w:t xml:space="preserve"> </w:t>
      </w:r>
      <w:r>
        <w:rPr>
          <w:rFonts w:ascii="Arial" w:cs="Arial" w:eastAsia="Arial" w:hAnsi="Arial"/>
          <w:sz w:val="16"/>
          <w:szCs w:val="16"/>
          <w:u w:val="single" w:color="auto"/>
          <w:color w:val="0000E1"/>
        </w:rPr>
        <w:t>(which date shall be no later than fifteen (15) days</w:t>
      </w:r>
      <w:r>
        <w:rPr>
          <w:rFonts w:ascii="Arial" w:cs="Arial" w:eastAsia="Arial" w:hAnsi="Arial"/>
          <w:sz w:val="16"/>
          <w:szCs w:val="16"/>
          <w:i w:val="1"/>
          <w:iCs w:val="1"/>
          <w:color w:val="000000"/>
        </w:rPr>
        <w:t xml:space="preserve"> </w:t>
      </w:r>
      <w:r>
        <w:rPr>
          <w:rFonts w:ascii="Arial" w:cs="Arial" w:eastAsia="Arial" w:hAnsi="Arial"/>
          <w:sz w:val="16"/>
          <w:szCs w:val="16"/>
          <w:u w:val="single" w:color="auto"/>
          <w:color w:val="0000E1"/>
        </w:rPr>
        <w:t>before the final maturity date of the Term Loans being extended)</w:t>
      </w:r>
      <w:r>
        <w:rPr>
          <w:rFonts w:ascii="Arial" w:cs="Arial" w:eastAsia="Arial" w:hAnsi="Arial"/>
          <w:sz w:val="16"/>
          <w:szCs w:val="16"/>
          <w:color w:val="0000E1"/>
        </w:rPr>
        <w:t xml:space="preserve"> </w:t>
      </w:r>
      <w:r>
        <w:rPr>
          <w:rFonts w:ascii="Arial" w:cs="Arial" w:eastAsia="Arial" w:hAnsi="Arial"/>
          <w:sz w:val="16"/>
          <w:szCs w:val="16"/>
          <w:color w:val="000000"/>
        </w:rPr>
        <w:t>of the amount of its Existing Term Loans which it has elected to convert into Extended</w:t>
      </w:r>
      <w:r>
        <w:rPr>
          <w:rFonts w:ascii="Arial" w:cs="Arial" w:eastAsia="Arial" w:hAnsi="Arial"/>
          <w:sz w:val="16"/>
          <w:szCs w:val="16"/>
          <w:color w:val="0000E1"/>
        </w:rPr>
        <w:t xml:space="preserve"> </w:t>
      </w:r>
      <w:r>
        <w:rPr>
          <w:rFonts w:ascii="Arial" w:cs="Arial" w:eastAsia="Arial" w:hAnsi="Arial"/>
          <w:sz w:val="16"/>
          <w:szCs w:val="16"/>
          <w:color w:val="000000"/>
        </w:rPr>
        <w:t xml:space="preserve">Term Loans. In the event that the aggregate amount of Existing Term Loans subject to Term Loan Extension Elections exceeds the amount of Extended Term Loans requested pursuant to the Term Loan Extension Request, Existing Term Loans subject to Term Loan Extension Elections shall be converted to Extended Term Loans on a pro rata basis based on the amount of Existing Term Loans included in each such Term Loan Extension Election. Such extensions of Term Loans shall not be deemed to be voluntary prepayments pursuant to </w:t>
      </w:r>
      <w:r>
        <w:rPr>
          <w:rFonts w:ascii="Arial" w:cs="Arial" w:eastAsia="Arial" w:hAnsi="Arial"/>
          <w:sz w:val="16"/>
          <w:szCs w:val="16"/>
          <w:u w:val="single" w:color="auto"/>
          <w:color w:val="000000"/>
        </w:rPr>
        <w:t>Section 1.9(a)</w:t>
      </w:r>
      <w:r>
        <w:rPr>
          <w:rFonts w:ascii="Arial" w:cs="Arial" w:eastAsia="Arial" w:hAnsi="Arial"/>
          <w:sz w:val="16"/>
          <w:szCs w:val="16"/>
          <w:color w:val="000000"/>
        </w:rPr>
        <w:t>.</w:t>
      </w:r>
    </w:p>
    <w:p>
      <w:pPr>
        <w:spacing w:after="0" w:line="171" w:lineRule="exact"/>
        <w:rPr>
          <w:rFonts w:ascii="Arial" w:cs="Arial" w:eastAsia="Arial" w:hAnsi="Arial"/>
          <w:sz w:val="16"/>
          <w:szCs w:val="16"/>
          <w:color w:val="auto"/>
        </w:rPr>
      </w:pPr>
    </w:p>
    <w:p>
      <w:pPr>
        <w:ind w:firstLine="987"/>
        <w:spacing w:after="0" w:line="285" w:lineRule="auto"/>
        <w:tabs>
          <w:tab w:leader="none" w:pos="1371" w:val="left"/>
        </w:tabs>
        <w:numPr>
          <w:ilvl w:val="0"/>
          <w:numId w:val="98"/>
        </w:numPr>
        <w:rPr>
          <w:rFonts w:ascii="Arial" w:cs="Arial" w:eastAsia="Arial" w:hAnsi="Arial"/>
          <w:sz w:val="16"/>
          <w:szCs w:val="16"/>
          <w:color w:val="auto"/>
        </w:rPr>
      </w:pPr>
      <w:r>
        <w:rPr>
          <w:rFonts w:ascii="Arial" w:cs="Arial" w:eastAsia="Arial" w:hAnsi="Arial"/>
          <w:sz w:val="16"/>
          <w:szCs w:val="16"/>
          <w:color w:val="auto"/>
        </w:rPr>
        <w:t>Extended Term Loans shall be established pursuant to an amendment (a “</w:t>
      </w:r>
      <w:r>
        <w:rPr>
          <w:rFonts w:ascii="Arial" w:cs="Arial" w:eastAsia="Arial" w:hAnsi="Arial"/>
          <w:sz w:val="16"/>
          <w:szCs w:val="16"/>
          <w:i w:val="1"/>
          <w:iCs w:val="1"/>
          <w:color w:val="auto"/>
        </w:rPr>
        <w:t>Term Loan Extension Amendment</w:t>
      </w:r>
      <w:r>
        <w:rPr>
          <w:rFonts w:ascii="Arial" w:cs="Arial" w:eastAsia="Arial" w:hAnsi="Arial"/>
          <w:sz w:val="16"/>
          <w:szCs w:val="16"/>
          <w:color w:val="auto"/>
        </w:rPr>
        <w:t xml:space="preserve">”) to this Agreement and the other Loan Documents as may be necessary or appropriate to effect the provisions of this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executed by the Loan Parties, the Administrative Agent and the Extending Term Loan Lenders (which, notwithstanding anything to the contrary set forth in </w:t>
      </w:r>
      <w:r>
        <w:rPr>
          <w:rFonts w:ascii="Arial" w:cs="Arial" w:eastAsia="Arial" w:hAnsi="Arial"/>
          <w:sz w:val="16"/>
          <w:szCs w:val="16"/>
          <w:u w:val="single" w:color="auto"/>
          <w:color w:val="auto"/>
        </w:rPr>
        <w:t>Section 13.13</w:t>
      </w:r>
      <w:r>
        <w:rPr>
          <w:rFonts w:ascii="Arial" w:cs="Arial" w:eastAsia="Arial" w:hAnsi="Arial"/>
          <w:sz w:val="16"/>
          <w:szCs w:val="16"/>
          <w:color w:val="auto"/>
        </w:rPr>
        <w:t xml:space="preserve">, shall not require the consent of any Lender other than the Extending Term Loan Lenders with respect to the Extended Term Loans established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 Default or Event of Default shall have occurred and be continuing at the time of the effective date of the Term Loan Extension Amendment and the Borrower shall be in compliance with the financial covenants in </w:t>
      </w:r>
      <w:r>
        <w:rPr>
          <w:rFonts w:ascii="Arial" w:cs="Arial" w:eastAsia="Arial" w:hAnsi="Arial"/>
          <w:sz w:val="16"/>
          <w:szCs w:val="16"/>
          <w:u w:val="single" w:color="auto"/>
          <w:color w:val="auto"/>
        </w:rPr>
        <w:t>Section 8.22</w:t>
      </w:r>
      <w:r>
        <w:rPr>
          <w:rFonts w:ascii="Arial" w:cs="Arial" w:eastAsia="Arial" w:hAnsi="Arial"/>
          <w:sz w:val="16"/>
          <w:szCs w:val="16"/>
          <w:color w:val="auto"/>
        </w:rPr>
        <w:t xml:space="preserve"> on a Pro Forma Basis after giving effect to the conversion of the applicable Extended Term Loans (as though such applicable Extended Term Loans had been incurred on the first day of such calculation period and remained outstanding through the calculation date); (ii) the aggregate principal amount of Existing Term Loans which the Borrower seeks to convert into Extended Term Loans shall not be less than $5,000,000 and the maturity date of such Extended Term Loans shall be no less than twelve months after the maturity date of the Existing Term Loans from which such Extended Term Loans were converted; (iii) the Borrower at its election may specify in its Term Loan Extension Request as a condition to consummating any such Term Loan Extension Amendment that a minimum amount of Existing Term Loans be converted to Extended Term Loans and (iv) the Borrower shall deliver or cause to be delivered any legal opinions or other customary closing documents reasonably requested by Administrative Agent in connection with any such transaction. All Extended Term Loans and all obligations in respect thereof shall be Obligations under this Agreement and the other Loan Documents that are secured by the Collateral on a pari passu basis with all other applicable Obligations under this Agreement and the other Loan Documents. The Borrower agrees to pay the reasonable documented out-of-pocket expenses of the Administrative Agent relating to any Term Loan Extension Amendment and the transactions contemplated thereby. The Administrative Agent shall promptly notify each Lender as to the effectiveness of each Term Loan Extension Amendment.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6075045</wp:posOffset>
            </wp:positionH>
            <wp:positionV relativeFrom="paragraph">
              <wp:posOffset>-3848735</wp:posOffset>
            </wp:positionV>
            <wp:extent cx="18859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-3574415</wp:posOffset>
            </wp:positionV>
            <wp:extent cx="54864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486400" cy="8890"/>
                    </a:xfrm>
                    <a:prstGeom prst="rect">
                      <a:avLst/>
                    </a:prstGeom>
                    <a:noFill/>
                  </pic:spPr>
                </pic:pic>
              </a:graphicData>
            </a:graphic>
          </wp:anchor>
        </w:drawing>
        <w:drawing>
          <wp:anchor simplePos="0" relativeHeight="251657728" behindDoc="1" locked="0" layoutInCell="0" allowOverlap="1">
            <wp:simplePos x="0" y="0"/>
            <wp:positionH relativeFrom="column">
              <wp:posOffset>1418590</wp:posOffset>
            </wp:positionH>
            <wp:positionV relativeFrom="paragraph">
              <wp:posOffset>-3608705</wp:posOffset>
            </wp:positionV>
            <wp:extent cx="548703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4870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-3437255</wp:posOffset>
            </wp:positionV>
            <wp:extent cx="260604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606040" cy="8890"/>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-3514725</wp:posOffset>
            </wp:positionV>
            <wp:extent cx="2857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-3162935</wp:posOffset>
            </wp:positionV>
            <wp:extent cx="229743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2974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-3025775</wp:posOffset>
            </wp:positionV>
            <wp:extent cx="295719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957195" cy="8255"/>
                    </a:xfrm>
                    <a:prstGeom prst="rect">
                      <a:avLst/>
                    </a:prstGeom>
                    <a:noFill/>
                  </pic:spPr>
                </pic:pic>
              </a:graphicData>
            </a:graphic>
          </wp:anchor>
        </w:drawing>
        <w:drawing>
          <wp:anchor simplePos="0" relativeHeight="251657728" behindDoc="1" locked="0" layoutInCell="0" allowOverlap="1">
            <wp:simplePos x="0" y="0"/>
            <wp:positionH relativeFrom="column">
              <wp:posOffset>573405</wp:posOffset>
            </wp:positionH>
            <wp:positionV relativeFrom="paragraph">
              <wp:posOffset>-2966085</wp:posOffset>
            </wp:positionV>
            <wp:extent cx="2857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-2691765</wp:posOffset>
            </wp:positionV>
            <wp:extent cx="2857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4515485</wp:posOffset>
            </wp:positionH>
            <wp:positionV relativeFrom="paragraph">
              <wp:posOffset>-634365</wp:posOffset>
            </wp:positionV>
            <wp:extent cx="2857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-360045</wp:posOffset>
            </wp:positionV>
            <wp:extent cx="2857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6644640</wp:posOffset>
            </wp:positionH>
            <wp:positionV relativeFrom="paragraph">
              <wp:posOffset>-222885</wp:posOffset>
            </wp:positionV>
            <wp:extent cx="2857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-85725</wp:posOffset>
            </wp:positionV>
            <wp:extent cx="2857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89" w:name="page90"/>
    <w:bookmarkEnd w:id="8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Extended Term Loan made by a Term Loan Lender pursuant to a Term Loan Extension Amendment shall be deemed a “Term Loan” made pursuant to a separate Class of Term Credit Facility for all purposes of this Agreement </w:t>
      </w:r>
      <w:r>
        <w:rPr>
          <w:rFonts w:ascii="Arial" w:cs="Arial" w:eastAsia="Arial" w:hAnsi="Arial"/>
          <w:sz w:val="18"/>
          <w:szCs w:val="18"/>
          <w:u w:val="single" w:color="auto"/>
          <w:color w:val="0000E1"/>
        </w:rPr>
        <w:t>(</w:t>
      </w:r>
      <w:r>
        <w:rPr>
          <w:rFonts w:ascii="Arial" w:cs="Arial" w:eastAsia="Arial" w:hAnsi="Arial"/>
          <w:sz w:val="18"/>
          <w:szCs w:val="18"/>
          <w:i w:val="1"/>
          <w:iCs w:val="1"/>
          <w:u w:val="single" w:color="auto"/>
          <w:color w:val="0000E1"/>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0000E1"/>
        </w:rPr>
        <w:t>that any Extended Term Loan may be provided as an increase to any</w:t>
      </w:r>
      <w:r>
        <w:rPr>
          <w:rFonts w:ascii="Arial" w:cs="Arial" w:eastAsia="Arial" w:hAnsi="Arial"/>
          <w:sz w:val="18"/>
          <w:szCs w:val="18"/>
          <w:color w:val="auto"/>
        </w:rPr>
        <w:t xml:space="preserve"> </w:t>
      </w:r>
      <w:r>
        <w:rPr>
          <w:rFonts w:ascii="Arial" w:cs="Arial" w:eastAsia="Arial" w:hAnsi="Arial"/>
          <w:sz w:val="18"/>
          <w:szCs w:val="18"/>
          <w:u w:val="single" w:color="auto"/>
          <w:color w:val="0000E1"/>
        </w:rPr>
        <w:t>prior Class of Term Credit Facility)</w:t>
      </w:r>
      <w:r>
        <w:rPr>
          <w:rFonts w:ascii="Arial" w:cs="Arial" w:eastAsia="Arial" w:hAnsi="Arial"/>
          <w:sz w:val="18"/>
          <w:szCs w:val="18"/>
          <w:color w:val="0000E1"/>
        </w:rPr>
        <w:t xml:space="preserve"> </w:t>
      </w:r>
      <w:r>
        <w:rPr>
          <w:rFonts w:ascii="Arial" w:cs="Arial" w:eastAsia="Arial" w:hAnsi="Arial"/>
          <w:sz w:val="18"/>
          <w:szCs w:val="18"/>
          <w:color w:val="000000"/>
        </w:rPr>
        <w:t>and each Lender with an Extended Term Loan shall become a Lender with respect to such Extended Term Loans and</w:t>
      </w:r>
      <w:r>
        <w:rPr>
          <w:rFonts w:ascii="Arial" w:cs="Arial" w:eastAsia="Arial" w:hAnsi="Arial"/>
          <w:sz w:val="18"/>
          <w:szCs w:val="18"/>
          <w:color w:val="0000E1"/>
        </w:rPr>
        <w:t xml:space="preserve"> </w:t>
      </w:r>
      <w:r>
        <w:rPr>
          <w:rFonts w:ascii="Arial" w:cs="Arial" w:eastAsia="Arial" w:hAnsi="Arial"/>
          <w:sz w:val="18"/>
          <w:szCs w:val="18"/>
          <w:color w:val="000000"/>
        </w:rPr>
        <w:t>all matters relating thereto. Notwithstanding anything to the contrary herein, at no time shall there be Term Loans (including Extended Term Loans, Refinancing Term Loans and New Term Loans) which have more than five different scheduled final maturity dates or shall there be more than five different “Term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-545465</wp:posOffset>
            </wp:positionV>
            <wp:extent cx="360045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6004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161988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280"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1.19</w:t>
      </w:r>
      <w:r>
        <w:rPr>
          <w:sz w:val="20"/>
          <w:szCs w:val="20"/>
          <w:color w:val="auto"/>
        </w:rPr>
        <w:tab/>
      </w:r>
      <w:r>
        <w:rPr>
          <w:rFonts w:ascii="Arial" w:cs="Arial" w:eastAsia="Arial" w:hAnsi="Arial"/>
          <w:sz w:val="16"/>
          <w:szCs w:val="16"/>
          <w:i w:val="1"/>
          <w:iCs w:val="1"/>
          <w:color w:val="auto"/>
        </w:rPr>
        <w:t>Revolving Credit Termination Date Extensions</w:t>
      </w:r>
      <w:r>
        <w:rPr>
          <w:rFonts w:ascii="Arial" w:cs="Arial" w:eastAsia="Arial" w:hAnsi="Arial"/>
          <w:sz w:val="16"/>
          <w:szCs w:val="16"/>
          <w:color w:val="FF0000"/>
          <w:strike w:val="1"/>
        </w:rPr>
        <w:t>(a)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FF0000"/>
          <w:strike w:val="1"/>
        </w:rPr>
        <w:t>(a) The</w:t>
      </w:r>
    </w:p>
    <w:p>
      <w:pPr>
        <w:spacing w:after="0" w:line="117" w:lineRule="exact"/>
        <w:rPr>
          <w:sz w:val="20"/>
          <w:szCs w:val="20"/>
          <w:color w:val="auto"/>
        </w:rPr>
      </w:pPr>
    </w:p>
    <w:p>
      <w:pPr>
        <w:ind w:firstLine="987"/>
        <w:spacing w:after="0" w:line="283" w:lineRule="auto"/>
        <w:tabs>
          <w:tab w:leader="none" w:pos="1371" w:val="left"/>
        </w:tabs>
        <w:numPr>
          <w:ilvl w:val="0"/>
          <w:numId w:val="99"/>
        </w:numPr>
        <w:rPr>
          <w:rFonts w:ascii="Arial" w:cs="Arial" w:eastAsia="Arial" w:hAnsi="Arial"/>
          <w:sz w:val="16"/>
          <w:szCs w:val="16"/>
          <w:u w:val="single" w:color="auto"/>
          <w:color w:val="0000E1"/>
        </w:rPr>
      </w:pPr>
      <w:r>
        <w:rPr>
          <w:rFonts w:ascii="Arial" w:cs="Arial" w:eastAsia="Arial" w:hAnsi="Arial"/>
          <w:sz w:val="16"/>
          <w:szCs w:val="16"/>
          <w:u w:val="single" w:color="auto"/>
          <w:color w:val="0000E1"/>
        </w:rPr>
        <w:t>Other than during the Basket Suspension Period, the</w:t>
      </w:r>
      <w:r>
        <w:rPr>
          <w:rFonts w:ascii="Arial" w:cs="Arial" w:eastAsia="Arial" w:hAnsi="Arial"/>
          <w:sz w:val="16"/>
          <w:szCs w:val="16"/>
          <w:color w:val="0000E1"/>
        </w:rPr>
        <w:t xml:space="preserve"> </w:t>
      </w:r>
      <w:r>
        <w:rPr>
          <w:rFonts w:ascii="Arial" w:cs="Arial" w:eastAsia="Arial" w:hAnsi="Arial"/>
          <w:sz w:val="16"/>
          <w:szCs w:val="16"/>
          <w:color w:val="000000"/>
        </w:rPr>
        <w:t>Borrower may from time to time on any Business Day</w:t>
      </w:r>
      <w:r>
        <w:rPr>
          <w:rFonts w:ascii="Arial" w:cs="Arial" w:eastAsia="Arial" w:hAnsi="Arial"/>
          <w:sz w:val="16"/>
          <w:szCs w:val="16"/>
          <w:color w:val="0000E1"/>
        </w:rPr>
        <w:t xml:space="preserve"> </w:t>
      </w:r>
      <w:r>
        <w:rPr>
          <w:rFonts w:ascii="Arial" w:cs="Arial" w:eastAsia="Arial" w:hAnsi="Arial"/>
          <w:sz w:val="16"/>
          <w:szCs w:val="16"/>
          <w:u w:val="single" w:color="auto"/>
          <w:color w:val="0000E1"/>
        </w:rPr>
        <w:t>at least thirty (30) days</w:t>
      </w:r>
      <w:r>
        <w:rPr>
          <w:rFonts w:ascii="Arial" w:cs="Arial" w:eastAsia="Arial" w:hAnsi="Arial"/>
          <w:sz w:val="16"/>
          <w:szCs w:val="16"/>
          <w:color w:val="0000E1"/>
        </w:rPr>
        <w:t xml:space="preserve"> </w:t>
      </w:r>
      <w:r>
        <w:rPr>
          <w:rFonts w:ascii="Arial" w:cs="Arial" w:eastAsia="Arial" w:hAnsi="Arial"/>
          <w:sz w:val="16"/>
          <w:szCs w:val="16"/>
          <w:color w:val="000000"/>
        </w:rPr>
        <w:t xml:space="preserve">before the Revolving Credit Termination Date request that all or a portion of the Revolving Credit </w:t>
      </w:r>
      <w:r>
        <w:rPr>
          <w:rFonts w:ascii="Arial" w:cs="Arial" w:eastAsia="Arial" w:hAnsi="Arial"/>
          <w:sz w:val="16"/>
          <w:szCs w:val="16"/>
          <w:color w:val="FF0000"/>
          <w:strike w:val="1"/>
        </w:rPr>
        <w:t>Facility</w:t>
      </w:r>
      <w:r>
        <w:rPr>
          <w:rFonts w:ascii="Arial" w:cs="Arial" w:eastAsia="Arial" w:hAnsi="Arial"/>
          <w:sz w:val="16"/>
          <w:szCs w:val="16"/>
          <w:color w:val="000000"/>
        </w:rPr>
        <w:t xml:space="preserve"> Commitments (and the Revolving Loans made thereunder) of any such Revolving Credit Facility (the Revolving Credit Commitments of such Revolving Credit Facility that are requested to be converted, the “</w:t>
      </w:r>
      <w:r>
        <w:rPr>
          <w:rFonts w:ascii="Arial" w:cs="Arial" w:eastAsia="Arial" w:hAnsi="Arial"/>
          <w:sz w:val="16"/>
          <w:szCs w:val="16"/>
          <w:i w:val="1"/>
          <w:iCs w:val="1"/>
          <w:color w:val="000000"/>
        </w:rPr>
        <w:t>Existing Revolving Credit Commitments</w:t>
      </w:r>
      <w:r>
        <w:rPr>
          <w:rFonts w:ascii="Arial" w:cs="Arial" w:eastAsia="Arial" w:hAnsi="Arial"/>
          <w:sz w:val="16"/>
          <w:szCs w:val="16"/>
          <w:color w:val="000000"/>
        </w:rPr>
        <w:t>” and the Revolving Loans made thereunder, the “</w:t>
      </w:r>
      <w:r>
        <w:rPr>
          <w:rFonts w:ascii="Arial" w:cs="Arial" w:eastAsia="Arial" w:hAnsi="Arial"/>
          <w:sz w:val="16"/>
          <w:szCs w:val="16"/>
          <w:i w:val="1"/>
          <w:iCs w:val="1"/>
          <w:color w:val="000000"/>
        </w:rPr>
        <w:t>Existing Revolving Loans</w:t>
      </w:r>
      <w:r>
        <w:rPr>
          <w:rFonts w:ascii="Arial" w:cs="Arial" w:eastAsia="Arial" w:hAnsi="Arial"/>
          <w:sz w:val="16"/>
          <w:szCs w:val="16"/>
          <w:color w:val="000000"/>
        </w:rPr>
        <w:t>”) be converted to extend the scheduled maturity date of all or a portion of such Existing Revolving Credit Commitments (any such Existing Revolving Credit Commitments which have been so converted, “</w:t>
      </w:r>
      <w:r>
        <w:rPr>
          <w:rFonts w:ascii="Arial" w:cs="Arial" w:eastAsia="Arial" w:hAnsi="Arial"/>
          <w:sz w:val="16"/>
          <w:szCs w:val="16"/>
          <w:i w:val="1"/>
          <w:iCs w:val="1"/>
          <w:color w:val="000000"/>
        </w:rPr>
        <w:t>Extended Revolving Credit Commitments</w:t>
      </w:r>
      <w:r>
        <w:rPr>
          <w:rFonts w:ascii="Arial" w:cs="Arial" w:eastAsia="Arial" w:hAnsi="Arial"/>
          <w:sz w:val="16"/>
          <w:szCs w:val="16"/>
          <w:color w:val="000000"/>
        </w:rPr>
        <w:t>” (and the Revolving Loans made thereunder, the “</w:t>
      </w:r>
      <w:r>
        <w:rPr>
          <w:rFonts w:ascii="Arial" w:cs="Arial" w:eastAsia="Arial" w:hAnsi="Arial"/>
          <w:sz w:val="16"/>
          <w:szCs w:val="16"/>
          <w:i w:val="1"/>
          <w:iCs w:val="1"/>
          <w:color w:val="000000"/>
        </w:rPr>
        <w:t>Extended</w:t>
      </w:r>
      <w:r>
        <w:rPr>
          <w:rFonts w:ascii="Arial" w:cs="Arial" w:eastAsia="Arial" w:hAnsi="Arial"/>
          <w:sz w:val="16"/>
          <w:szCs w:val="16"/>
          <w:color w:val="000000"/>
        </w:rPr>
        <w:t xml:space="preserve"> </w:t>
      </w:r>
      <w:r>
        <w:rPr>
          <w:rFonts w:ascii="Arial" w:cs="Arial" w:eastAsia="Arial" w:hAnsi="Arial"/>
          <w:sz w:val="16"/>
          <w:szCs w:val="16"/>
          <w:i w:val="1"/>
          <w:iCs w:val="1"/>
          <w:color w:val="000000"/>
        </w:rPr>
        <w:t>Revolving Loans</w:t>
      </w:r>
      <w:r>
        <w:rPr>
          <w:rFonts w:ascii="Arial" w:cs="Arial" w:eastAsia="Arial" w:hAnsi="Arial"/>
          <w:sz w:val="16"/>
          <w:szCs w:val="16"/>
          <w:color w:val="000000"/>
        </w:rPr>
        <w:t>”)) and to provide for other terms consistent with this</w:t>
      </w:r>
      <w:r>
        <w:rPr>
          <w:rFonts w:ascii="Arial" w:cs="Arial" w:eastAsia="Arial" w:hAnsi="Arial"/>
          <w:sz w:val="16"/>
          <w:szCs w:val="16"/>
          <w:i w:val="1"/>
          <w:iCs w:val="1"/>
          <w:color w:val="000000"/>
        </w:rPr>
        <w:t xml:space="preserve"> </w:t>
      </w:r>
      <w:r>
        <w:rPr>
          <w:rFonts w:ascii="Arial" w:cs="Arial" w:eastAsia="Arial" w:hAnsi="Arial"/>
          <w:sz w:val="16"/>
          <w:szCs w:val="16"/>
          <w:u w:val="single" w:color="auto"/>
          <w:color w:val="000000"/>
        </w:rPr>
        <w:t>Section 1.19</w:t>
      </w:r>
      <w:r>
        <w:rPr>
          <w:rFonts w:ascii="Arial" w:cs="Arial" w:eastAsia="Arial" w:hAnsi="Arial"/>
          <w:sz w:val="16"/>
          <w:szCs w:val="16"/>
          <w:color w:val="000000"/>
        </w:rPr>
        <w:t>;</w:t>
      </w:r>
      <w:r>
        <w:rPr>
          <w:rFonts w:ascii="Arial" w:cs="Arial" w:eastAsia="Arial" w:hAnsi="Arial"/>
          <w:sz w:val="16"/>
          <w:szCs w:val="16"/>
          <w:i w:val="1"/>
          <w:iCs w:val="1"/>
          <w:color w:val="000000"/>
        </w:rPr>
        <w:t xml:space="preserve"> provided </w:t>
      </w:r>
      <w:r>
        <w:rPr>
          <w:rFonts w:ascii="Arial" w:cs="Arial" w:eastAsia="Arial" w:hAnsi="Arial"/>
          <w:sz w:val="16"/>
          <w:szCs w:val="16"/>
          <w:color w:val="000000"/>
        </w:rPr>
        <w:t>that</w:t>
      </w:r>
      <w:r>
        <w:rPr>
          <w:rFonts w:ascii="Arial" w:cs="Arial" w:eastAsia="Arial" w:hAnsi="Arial"/>
          <w:sz w:val="16"/>
          <w:szCs w:val="16"/>
          <w:i w:val="1"/>
          <w:iCs w:val="1"/>
          <w:color w:val="000000"/>
        </w:rPr>
        <w:t xml:space="preserve"> </w:t>
      </w:r>
      <w:r>
        <w:rPr>
          <w:rFonts w:ascii="Arial" w:cs="Arial" w:eastAsia="Arial" w:hAnsi="Arial"/>
          <w:sz w:val="16"/>
          <w:szCs w:val="16"/>
          <w:u w:val="single" w:color="auto"/>
          <w:color w:val="0000E1"/>
        </w:rPr>
        <w:t>(i)</w:t>
      </w:r>
      <w:r>
        <w:rPr>
          <w:rFonts w:ascii="Arial" w:cs="Arial" w:eastAsia="Arial" w:hAnsi="Arial"/>
          <w:sz w:val="16"/>
          <w:szCs w:val="16"/>
          <w:i w:val="1"/>
          <w:iCs w:val="1"/>
          <w:color w:val="000000"/>
        </w:rPr>
        <w:t xml:space="preserve"> </w:t>
      </w:r>
      <w:r>
        <w:rPr>
          <w:rFonts w:ascii="Arial" w:cs="Arial" w:eastAsia="Arial" w:hAnsi="Arial"/>
          <w:sz w:val="16"/>
          <w:szCs w:val="16"/>
          <w:color w:val="000000"/>
        </w:rPr>
        <w:t>the Borrower shall make such request for</w:t>
      </w:r>
      <w:r>
        <w:rPr>
          <w:rFonts w:ascii="Arial" w:cs="Arial" w:eastAsia="Arial" w:hAnsi="Arial"/>
          <w:sz w:val="16"/>
          <w:szCs w:val="16"/>
          <w:i w:val="1"/>
          <w:iCs w:val="1"/>
          <w:color w:val="000000"/>
        </w:rPr>
        <w:t xml:space="preserve"> </w:t>
      </w:r>
      <w:r>
        <w:rPr>
          <w:rFonts w:ascii="Arial" w:cs="Arial" w:eastAsia="Arial" w:hAnsi="Arial"/>
          <w:sz w:val="16"/>
          <w:szCs w:val="16"/>
          <w:color w:val="000000"/>
        </w:rPr>
        <w:t xml:space="preserve">conversion and extension to all Lenders holding the Existing Revolving Credit Commitments </w:t>
      </w:r>
      <w:r>
        <w:rPr>
          <w:rFonts w:ascii="Arial" w:cs="Arial" w:eastAsia="Arial" w:hAnsi="Arial"/>
          <w:sz w:val="16"/>
          <w:szCs w:val="16"/>
          <w:color w:val="0000E1"/>
        </w:rPr>
        <w:t>and (ii) any such extension of a maturity date shall be for a</w:t>
      </w:r>
      <w:r>
        <w:rPr>
          <w:rFonts w:ascii="Arial" w:cs="Arial" w:eastAsia="Arial" w:hAnsi="Arial"/>
          <w:sz w:val="16"/>
          <w:szCs w:val="16"/>
          <w:color w:val="000000"/>
        </w:rPr>
        <w:t xml:space="preserve"> </w:t>
      </w:r>
      <w:r>
        <w:rPr>
          <w:rFonts w:ascii="Arial" w:cs="Arial" w:eastAsia="Arial" w:hAnsi="Arial"/>
          <w:sz w:val="16"/>
          <w:szCs w:val="16"/>
          <w:u w:val="single" w:color="auto"/>
          <w:color w:val="0000E1"/>
        </w:rPr>
        <w:t>minimum period of one (1) year</w:t>
      </w:r>
      <w:r>
        <w:rPr>
          <w:rFonts w:ascii="Arial" w:cs="Arial" w:eastAsia="Arial" w:hAnsi="Arial"/>
          <w:sz w:val="16"/>
          <w:szCs w:val="16"/>
          <w:color w:val="000000"/>
        </w:rPr>
        <w:t>. In order to establish any Extended Revolving Credit Commitments, the Borrower shall provide a notice to the</w:t>
      </w:r>
      <w:r>
        <w:rPr>
          <w:rFonts w:ascii="Arial" w:cs="Arial" w:eastAsia="Arial" w:hAnsi="Arial"/>
          <w:sz w:val="16"/>
          <w:szCs w:val="16"/>
          <w:color w:val="0000E1"/>
        </w:rPr>
        <w:t xml:space="preserve"> </w:t>
      </w:r>
      <w:r>
        <w:rPr>
          <w:rFonts w:ascii="Arial" w:cs="Arial" w:eastAsia="Arial" w:hAnsi="Arial"/>
          <w:sz w:val="16"/>
          <w:szCs w:val="16"/>
          <w:color w:val="000000"/>
        </w:rPr>
        <w:t>Administrative Agent (which shall provide a copy of such notice to each of the Lenders holding the Existing Revolving Credit Commitments or Existing Revolving Loans) (a “</w:t>
      </w:r>
      <w:r>
        <w:rPr>
          <w:rFonts w:ascii="Arial" w:cs="Arial" w:eastAsia="Arial" w:hAnsi="Arial"/>
          <w:sz w:val="16"/>
          <w:szCs w:val="16"/>
          <w:i w:val="1"/>
          <w:iCs w:val="1"/>
          <w:color w:val="000000"/>
        </w:rPr>
        <w:t>Revolving Credit Commitment Extension Request</w:t>
      </w:r>
      <w:r>
        <w:rPr>
          <w:rFonts w:ascii="Arial" w:cs="Arial" w:eastAsia="Arial" w:hAnsi="Arial"/>
          <w:sz w:val="16"/>
          <w:szCs w:val="16"/>
          <w:color w:val="000000"/>
        </w:rPr>
        <w:t>”) setting forth the proposed terms of the Extended Revolving Credit Commitments and Extended Revolving Loans to be established, which shall be identical to the Existing Revolving Loans and Revolving Credit Commitments from which they are to be converted (unless (A) such terms are not less favorable to the Lenders of the Existing Revolving Loans and Revolving Credit Commitments or (B) such terms are only applicable to periods after the latest maturity of the Existing Revolving Loans or the latest Revolving Credit Termination Date prior to the establishment of such Extended Revolving Credit Commitments) except (i) all or any date</w:t>
      </w:r>
      <w:r>
        <w:rPr>
          <w:rFonts w:ascii="Arial" w:cs="Arial" w:eastAsia="Arial" w:hAnsi="Arial"/>
          <w:sz w:val="16"/>
          <w:szCs w:val="16"/>
          <w:u w:val="single" w:color="auto"/>
          <w:color w:val="0000E1"/>
        </w:rPr>
        <w:t>s</w:t>
      </w:r>
      <w:r>
        <w:rPr>
          <w:rFonts w:ascii="Arial" w:cs="Arial" w:eastAsia="Arial" w:hAnsi="Arial"/>
          <w:sz w:val="16"/>
          <w:szCs w:val="16"/>
          <w:color w:val="000000"/>
        </w:rPr>
        <w:t xml:space="preserve"> the Extended Revolving Credit Commitments are required to be permanently reduced may be delayed to later dates than (which, for the avoidance of doubt, shall be no earlier than) the corresponding required commitment reduction dates of the Existing Revolving Loans from which they are to be converted, (ii) the termination date of the Extended Revolving Credit Commitments may be delayed to later dates than (which, for the avoidance of doubt, shall be no earlier than) the Revolving Credit Termination Date of the Existing Revolving Credit Commitments and (iii) the interest rate applicable to the Extended Revolving Credit Commitments shall be determined by the Borrower and the applicable Lenders. No Lender shall have any obligation to agree to have any of its Existing Revolving Loans or Existing Revolving Credit Commitments converted into Extended Revolving Loans or </w:t>
      </w:r>
      <w:r>
        <w:rPr>
          <w:rFonts w:ascii="Arial" w:cs="Arial" w:eastAsia="Arial" w:hAnsi="Arial"/>
          <w:sz w:val="16"/>
          <w:szCs w:val="16"/>
          <w:color w:val="FF0000"/>
          <w:strike w:val="1"/>
        </w:rPr>
        <w:t>Existing</w:t>
      </w:r>
      <w:r>
        <w:rPr>
          <w:rFonts w:ascii="Arial" w:cs="Arial" w:eastAsia="Arial" w:hAnsi="Arial"/>
          <w:sz w:val="16"/>
          <w:szCs w:val="16"/>
          <w:u w:val="single" w:color="auto"/>
          <w:color w:val="0000E1"/>
        </w:rPr>
        <w:t>Extended</w:t>
      </w:r>
      <w:r>
        <w:rPr>
          <w:rFonts w:ascii="Arial" w:cs="Arial" w:eastAsia="Arial" w:hAnsi="Arial"/>
          <w:sz w:val="16"/>
          <w:szCs w:val="16"/>
          <w:color w:val="000000"/>
        </w:rPr>
        <w:t xml:space="preserve"> Revolving Credit Commitments, as the case may be, pursuant to any Revolving Credit Commitment Extension Request. Any Extended Revolving Loans and Extended Revolving Credit Commitments with respect thereto shall constitute a separate Class of Revolving Credit Commitments and Revolving Loans from the Existing Revolving Credit Commitments and Existing Revolving Loans from which they were converted. The Administrative Agent and the Lenders hereby consent to the transactions contemplated by this </w:t>
      </w:r>
      <w:r>
        <w:rPr>
          <w:rFonts w:ascii="Arial" w:cs="Arial" w:eastAsia="Arial" w:hAnsi="Arial"/>
          <w:sz w:val="16"/>
          <w:szCs w:val="16"/>
          <w:u w:val="single" w:color="auto"/>
          <w:color w:val="000000"/>
        </w:rPr>
        <w:t>Section 1.19</w:t>
      </w:r>
      <w:r>
        <w:rPr>
          <w:rFonts w:ascii="Arial" w:cs="Arial" w:eastAsia="Arial" w:hAnsi="Arial"/>
          <w:sz w:val="16"/>
          <w:szCs w:val="16"/>
          <w:color w:val="000000"/>
        </w:rPr>
        <w:t xml:space="preserve"> (including, for the avoidance of doubt, payment of any interest, fees or premium in respect of any Extended Revolving Credit Commitments) on such terms as may be set forth in the relevant Revolving Credit Commitment Extension Request and hereby acknowledge and agree that this </w:t>
      </w:r>
      <w:r>
        <w:rPr>
          <w:rFonts w:ascii="Arial" w:cs="Arial" w:eastAsia="Arial" w:hAnsi="Arial"/>
          <w:sz w:val="16"/>
          <w:szCs w:val="16"/>
          <w:u w:val="single" w:color="auto"/>
          <w:color w:val="000000"/>
        </w:rPr>
        <w:t>Section 1.19</w:t>
      </w:r>
      <w:r>
        <w:rPr>
          <w:rFonts w:ascii="Arial" w:cs="Arial" w:eastAsia="Arial" w:hAnsi="Arial"/>
          <w:sz w:val="16"/>
          <w:szCs w:val="16"/>
          <w:color w:val="000000"/>
        </w:rPr>
        <w:t xml:space="preserve"> shall supersede any provisions of this Agreement (including, without limitation </w:t>
      </w:r>
      <w:r>
        <w:rPr>
          <w:rFonts w:ascii="Arial" w:cs="Arial" w:eastAsia="Arial" w:hAnsi="Arial"/>
          <w:sz w:val="16"/>
          <w:szCs w:val="16"/>
          <w:u w:val="single" w:color="auto"/>
          <w:color w:val="000000"/>
        </w:rPr>
        <w:t>Section 1.3</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Section 1.9</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Section 1.15</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Section 3</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Section 13.7</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Section 13.13</w:t>
      </w:r>
      <w:r>
        <w:rPr>
          <w:rFonts w:ascii="Arial" w:cs="Arial" w:eastAsia="Arial" w:hAnsi="Arial"/>
          <w:sz w:val="16"/>
          <w:szCs w:val="16"/>
          <w:color w:val="000000"/>
        </w:rPr>
        <w:t>) or any other Loan Document that may otherwise prohibit or conflict with any such Extended Revolving Credit Commitments or any other transaction contemplated by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-3702050</wp:posOffset>
            </wp:positionV>
            <wp:extent cx="264033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5800725</wp:posOffset>
            </wp:positionH>
            <wp:positionV relativeFrom="paragraph">
              <wp:posOffset>-3702050</wp:posOffset>
            </wp:positionV>
            <wp:extent cx="10541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054100" cy="8890"/>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-2879090</wp:posOffset>
            </wp:positionV>
            <wp:extent cx="1028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4266565</wp:posOffset>
            </wp:positionH>
            <wp:positionV relativeFrom="paragraph">
              <wp:posOffset>-2741930</wp:posOffset>
            </wp:positionV>
            <wp:extent cx="271716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71716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-2776220</wp:posOffset>
            </wp:positionV>
            <wp:extent cx="271907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7190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-2604770</wp:posOffset>
            </wp:positionV>
            <wp:extent cx="1465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465580" cy="8890"/>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-2681605</wp:posOffset>
            </wp:positionV>
            <wp:extent cx="2857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-1781810</wp:posOffset>
            </wp:positionV>
            <wp:extent cx="431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-958850</wp:posOffset>
            </wp:positionV>
            <wp:extent cx="4368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3688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-898525</wp:posOffset>
            </wp:positionV>
            <wp:extent cx="2857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-624205</wp:posOffset>
            </wp:positionV>
            <wp:extent cx="2857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90" w:name="page91"/>
    <w:bookmarkEnd w:id="90"/>
    <w:p>
      <w:pPr>
        <w:ind w:left="1384" w:hanging="393"/>
        <w:spacing w:after="0"/>
        <w:tabs>
          <w:tab w:leader="none" w:pos="1384" w:val="left"/>
        </w:tabs>
        <w:numPr>
          <w:ilvl w:val="1"/>
          <w:numId w:val="1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shall provide the applicable Revolving Credit Commitment Extension Request to the Administrative Agent at least ten</w:t>
      </w:r>
    </w:p>
    <w:p>
      <w:pPr>
        <w:spacing w:after="0" w:line="46" w:lineRule="exact"/>
        <w:rPr>
          <w:rFonts w:ascii="Arial" w:cs="Arial" w:eastAsia="Arial" w:hAnsi="Arial"/>
          <w:sz w:val="16"/>
          <w:szCs w:val="16"/>
          <w:color w:val="auto"/>
        </w:rPr>
      </w:pPr>
    </w:p>
    <w:p>
      <w:pPr>
        <w:ind w:left="4" w:right="20" w:hanging="4"/>
        <w:spacing w:after="0" w:line="284" w:lineRule="auto"/>
        <w:tabs>
          <w:tab w:leader="none" w:pos="349" w:val="left"/>
        </w:tabs>
        <w:numPr>
          <w:ilvl w:val="0"/>
          <w:numId w:val="101"/>
        </w:numPr>
        <w:rPr>
          <w:rFonts w:ascii="Arial" w:cs="Arial" w:eastAsia="Arial" w:hAnsi="Arial"/>
          <w:sz w:val="16"/>
          <w:szCs w:val="16"/>
          <w:u w:val="single" w:color="auto"/>
          <w:color w:val="0000E1"/>
        </w:rPr>
      </w:pPr>
      <w:r>
        <w:rPr>
          <w:rFonts w:ascii="Arial" w:cs="Arial" w:eastAsia="Arial" w:hAnsi="Arial"/>
          <w:sz w:val="16"/>
          <w:szCs w:val="16"/>
          <w:color w:val="auto"/>
        </w:rPr>
        <w:t xml:space="preserve">Business Days (or such shorter period as may be reasonably agreed to by the Administrative Agent) prior to the date on which Lenders holding the Existing Revolving Loans or Existing Revolving Credit Commitments are requested to respond </w:t>
      </w:r>
      <w:r>
        <w:rPr>
          <w:rFonts w:ascii="Arial" w:cs="Arial" w:eastAsia="Arial" w:hAnsi="Arial"/>
          <w:sz w:val="16"/>
          <w:szCs w:val="16"/>
          <w:color w:val="0000E1"/>
        </w:rPr>
        <w:t>and the applicable Term Loan Extension Request shall</w:t>
      </w:r>
      <w:r>
        <w:rPr>
          <w:rFonts w:ascii="Arial" w:cs="Arial" w:eastAsia="Arial" w:hAnsi="Arial"/>
          <w:sz w:val="16"/>
          <w:szCs w:val="16"/>
          <w:color w:val="auto"/>
        </w:rPr>
        <w:t xml:space="preserve"> </w:t>
      </w:r>
      <w:r>
        <w:rPr>
          <w:rFonts w:ascii="Arial" w:cs="Arial" w:eastAsia="Arial" w:hAnsi="Arial"/>
          <w:sz w:val="16"/>
          <w:szCs w:val="16"/>
          <w:u w:val="single" w:color="auto"/>
          <w:color w:val="0000E1"/>
        </w:rPr>
        <w:t>be provided to the Lenders no later than twenty (20) days before the final maturity date of the Revolving Credit Commitments being extended</w:t>
      </w:r>
      <w:r>
        <w:rPr>
          <w:rFonts w:ascii="Arial" w:cs="Arial" w:eastAsia="Arial" w:hAnsi="Arial"/>
          <w:sz w:val="16"/>
          <w:szCs w:val="16"/>
          <w:color w:val="000000"/>
        </w:rPr>
        <w:t>. Any</w:t>
      </w:r>
      <w:r>
        <w:rPr>
          <w:rFonts w:ascii="Arial" w:cs="Arial" w:eastAsia="Arial" w:hAnsi="Arial"/>
          <w:sz w:val="16"/>
          <w:szCs w:val="16"/>
          <w:color w:val="0000E1"/>
        </w:rPr>
        <w:t xml:space="preserve"> </w:t>
      </w:r>
      <w:r>
        <w:rPr>
          <w:rFonts w:ascii="Arial" w:cs="Arial" w:eastAsia="Arial" w:hAnsi="Arial"/>
          <w:sz w:val="16"/>
          <w:szCs w:val="16"/>
          <w:color w:val="000000"/>
        </w:rPr>
        <w:t>Lender (an “</w:t>
      </w:r>
      <w:r>
        <w:rPr>
          <w:rFonts w:ascii="Arial" w:cs="Arial" w:eastAsia="Arial" w:hAnsi="Arial"/>
          <w:sz w:val="16"/>
          <w:szCs w:val="16"/>
          <w:i w:val="1"/>
          <w:iCs w:val="1"/>
          <w:color w:val="000000"/>
        </w:rPr>
        <w:t>Extending Revolving Lender</w:t>
      </w:r>
      <w:r>
        <w:rPr>
          <w:rFonts w:ascii="Arial" w:cs="Arial" w:eastAsia="Arial" w:hAnsi="Arial"/>
          <w:sz w:val="16"/>
          <w:szCs w:val="16"/>
          <w:color w:val="000000"/>
        </w:rPr>
        <w:t>”) wishing to have all or a portion of its Existing Revolving Loans and Existing Revolving Credit Commitments subject to such Revolving Credit Commitment Extension Request converted into Extended Revolving Loans and Extended Revolving Credit Commitments, as applicable, shall notify the Administrative Agent (a “</w:t>
      </w:r>
      <w:r>
        <w:rPr>
          <w:rFonts w:ascii="Arial" w:cs="Arial" w:eastAsia="Arial" w:hAnsi="Arial"/>
          <w:sz w:val="16"/>
          <w:szCs w:val="16"/>
          <w:i w:val="1"/>
          <w:iCs w:val="1"/>
          <w:color w:val="000000"/>
        </w:rPr>
        <w:t>Revolving Credit Commitment Extension Election</w:t>
      </w:r>
      <w:r>
        <w:rPr>
          <w:rFonts w:ascii="Arial" w:cs="Arial" w:eastAsia="Arial" w:hAnsi="Arial"/>
          <w:sz w:val="16"/>
          <w:szCs w:val="16"/>
          <w:color w:val="000000"/>
        </w:rPr>
        <w:t xml:space="preserve">”) on or prior to the date specified in such Revolving Credit Commitment Extension Request </w:t>
      </w:r>
      <w:r>
        <w:rPr>
          <w:rFonts w:ascii="Arial" w:cs="Arial" w:eastAsia="Arial" w:hAnsi="Arial"/>
          <w:sz w:val="16"/>
          <w:szCs w:val="16"/>
          <w:u w:val="single" w:color="auto"/>
          <w:color w:val="0000E1"/>
        </w:rPr>
        <w:t>(which date shall be no later than fifteen (15) days before the final maturity date of</w:t>
      </w:r>
      <w:r>
        <w:rPr>
          <w:rFonts w:ascii="Arial" w:cs="Arial" w:eastAsia="Arial" w:hAnsi="Arial"/>
          <w:sz w:val="16"/>
          <w:szCs w:val="16"/>
          <w:color w:val="000000"/>
        </w:rPr>
        <w:t xml:space="preserve"> </w:t>
      </w:r>
      <w:r>
        <w:rPr>
          <w:rFonts w:ascii="Arial" w:cs="Arial" w:eastAsia="Arial" w:hAnsi="Arial"/>
          <w:sz w:val="16"/>
          <w:szCs w:val="16"/>
          <w:u w:val="single" w:color="auto"/>
          <w:color w:val="0000E1"/>
        </w:rPr>
        <w:t>the Revolving Credit Commitments being extended)</w:t>
      </w:r>
      <w:r>
        <w:rPr>
          <w:rFonts w:ascii="Arial" w:cs="Arial" w:eastAsia="Arial" w:hAnsi="Arial"/>
          <w:sz w:val="16"/>
          <w:szCs w:val="16"/>
          <w:color w:val="0000E1"/>
        </w:rPr>
        <w:t xml:space="preserve"> </w:t>
      </w:r>
      <w:r>
        <w:rPr>
          <w:rFonts w:ascii="Arial" w:cs="Arial" w:eastAsia="Arial" w:hAnsi="Arial"/>
          <w:sz w:val="16"/>
          <w:szCs w:val="16"/>
          <w:color w:val="000000"/>
        </w:rPr>
        <w:t>of the amount of its Existing Revolving Loans and Existing Revolving Credit Commitments which</w:t>
      </w:r>
      <w:r>
        <w:rPr>
          <w:rFonts w:ascii="Arial" w:cs="Arial" w:eastAsia="Arial" w:hAnsi="Arial"/>
          <w:sz w:val="16"/>
          <w:szCs w:val="16"/>
          <w:color w:val="0000E1"/>
        </w:rPr>
        <w:t xml:space="preserve"> </w:t>
      </w:r>
      <w:r>
        <w:rPr>
          <w:rFonts w:ascii="Arial" w:cs="Arial" w:eastAsia="Arial" w:hAnsi="Arial"/>
          <w:sz w:val="16"/>
          <w:szCs w:val="16"/>
          <w:color w:val="000000"/>
        </w:rPr>
        <w:t xml:space="preserve">it has elected to convert into Extended Revolving Loans and Extended Revolving Credit Commitments. In the event that the aggregate amount of Existing Revolving Loans and/or Existing Revolving Credit Commitments subject to Revolving Credit Commitment Extension Elections exceeds the amount of Extended Revolving Loans or Extended Revolving Credit Commitments requested pursuant to the Revolving Credit Commitment Extension Request, Existing Revolving Loans and Existing Revolving Credit Commitments subject to Revolving Credit Commitment Extension Elections shall be converted to Extended Revolving Loans or Extended Revolving Credit Commitments, as the case may be, on a </w:t>
      </w:r>
      <w:r>
        <w:rPr>
          <w:rFonts w:ascii="Arial" w:cs="Arial" w:eastAsia="Arial" w:hAnsi="Arial"/>
          <w:sz w:val="16"/>
          <w:szCs w:val="16"/>
          <w:i w:val="1"/>
          <w:iCs w:val="1"/>
          <w:color w:val="000000"/>
        </w:rPr>
        <w:t>pro rata</w:t>
      </w:r>
      <w:r>
        <w:rPr>
          <w:rFonts w:ascii="Arial" w:cs="Arial" w:eastAsia="Arial" w:hAnsi="Arial"/>
          <w:sz w:val="16"/>
          <w:szCs w:val="16"/>
          <w:color w:val="000000"/>
        </w:rPr>
        <w:t xml:space="preserve"> basis based on the amount of Existing Revolving Loans or Extended Revolving Credit Commitments, as the case may be, included in each such Revolving Credit Commitment Extension Election. Such extensions of Revolving Credit Commitments and Revolving Loans shall not be deemed to be permanent commitment reductions pursuant to </w:t>
      </w:r>
      <w:r>
        <w:rPr>
          <w:rFonts w:ascii="Arial" w:cs="Arial" w:eastAsia="Arial" w:hAnsi="Arial"/>
          <w:sz w:val="16"/>
          <w:szCs w:val="16"/>
          <w:u w:val="single" w:color="auto"/>
          <w:color w:val="000000"/>
        </w:rPr>
        <w:t>Section 1.13</w:t>
      </w:r>
      <w:r>
        <w:rPr>
          <w:rFonts w:ascii="Arial" w:cs="Arial" w:eastAsia="Arial" w:hAnsi="Arial"/>
          <w:sz w:val="16"/>
          <w:szCs w:val="16"/>
          <w:color w:val="000000"/>
        </w:rPr>
        <w:t xml:space="preserve"> </w:t>
      </w:r>
      <w:r>
        <w:rPr>
          <w:rFonts w:ascii="Arial" w:cs="Arial" w:eastAsia="Arial" w:hAnsi="Arial"/>
          <w:sz w:val="16"/>
          <w:szCs w:val="16"/>
          <w:color w:val="FF0000"/>
          <w:strike w:val="1"/>
        </w:rPr>
        <w:t>hereof</w:t>
      </w:r>
      <w:r>
        <w:rPr>
          <w:rFonts w:ascii="Arial" w:cs="Arial" w:eastAsia="Arial" w:hAnsi="Arial"/>
          <w:sz w:val="16"/>
          <w:szCs w:val="16"/>
          <w:color w:val="000000"/>
        </w:rPr>
        <w:t xml:space="preserve"> or voluntary prepayments pursuant to </w:t>
      </w:r>
      <w:r>
        <w:rPr>
          <w:rFonts w:ascii="Arial" w:cs="Arial" w:eastAsia="Arial" w:hAnsi="Arial"/>
          <w:sz w:val="16"/>
          <w:szCs w:val="16"/>
          <w:u w:val="single" w:color="auto"/>
          <w:color w:val="000000"/>
        </w:rPr>
        <w:t>Section 1.9(a)</w:t>
      </w:r>
      <w:r>
        <w:rPr>
          <w:rFonts w:ascii="Arial" w:cs="Arial" w:eastAsia="Arial" w:hAnsi="Arial"/>
          <w:sz w:val="16"/>
          <w:szCs w:val="16"/>
          <w:color w:val="000000"/>
        </w:rPr>
        <w:t xml:space="preserve"> </w:t>
      </w:r>
      <w:r>
        <w:rPr>
          <w:rFonts w:ascii="Arial" w:cs="Arial" w:eastAsia="Arial" w:hAnsi="Arial"/>
          <w:sz w:val="16"/>
          <w:szCs w:val="16"/>
          <w:color w:val="FF0000"/>
          <w:strike w:val="1"/>
        </w:rPr>
        <w:t>hereof</w:t>
      </w:r>
      <w:r>
        <w:rPr>
          <w:rFonts w:ascii="Arial" w:cs="Arial" w:eastAsia="Arial" w:hAnsi="Arial"/>
          <w:sz w:val="16"/>
          <w:szCs w:val="16"/>
          <w:color w:val="000000"/>
        </w:rPr>
        <w:t>.</w:t>
      </w:r>
    </w:p>
    <w:p>
      <w:pPr>
        <w:spacing w:after="0" w:line="174" w:lineRule="exact"/>
        <w:rPr>
          <w:rFonts w:ascii="Arial" w:cs="Arial" w:eastAsia="Arial" w:hAnsi="Arial"/>
          <w:sz w:val="16"/>
          <w:szCs w:val="16"/>
          <w:u w:val="single" w:color="auto"/>
          <w:color w:val="0000E1"/>
        </w:rPr>
      </w:pPr>
    </w:p>
    <w:p>
      <w:pPr>
        <w:ind w:left="1364" w:hanging="373"/>
        <w:spacing w:after="0"/>
        <w:tabs>
          <w:tab w:leader="none" w:pos="1364" w:val="left"/>
        </w:tabs>
        <w:numPr>
          <w:ilvl w:val="1"/>
          <w:numId w:val="101"/>
        </w:numPr>
        <w:rPr>
          <w:rFonts w:ascii="Arial" w:cs="Arial" w:eastAsia="Arial" w:hAnsi="Arial"/>
          <w:sz w:val="17"/>
          <w:szCs w:val="17"/>
          <w:color w:val="auto"/>
        </w:rPr>
      </w:pPr>
      <w:r>
        <w:rPr>
          <w:rFonts w:ascii="Arial" w:cs="Arial" w:eastAsia="Arial" w:hAnsi="Arial"/>
          <w:sz w:val="17"/>
          <w:szCs w:val="17"/>
          <w:color w:val="auto"/>
        </w:rPr>
        <w:t>Extended Revolving Loans and Extended Revolving Credit Commitments shall be established pursuant to an amendment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-2300605</wp:posOffset>
            </wp:positionV>
            <wp:extent cx="18859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-2163445</wp:posOffset>
            </wp:positionV>
            <wp:extent cx="252031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2031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-2197735</wp:posOffset>
            </wp:positionV>
            <wp:extent cx="251777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177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-2026285</wp:posOffset>
            </wp:positionV>
            <wp:extent cx="648906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-2103120</wp:posOffset>
            </wp:positionV>
            <wp:extent cx="2857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-1477645</wp:posOffset>
            </wp:positionV>
            <wp:extent cx="378015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780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-1340485</wp:posOffset>
            </wp:positionV>
            <wp:extent cx="239141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-1280160</wp:posOffset>
            </wp:positionV>
            <wp:extent cx="2857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-457200</wp:posOffset>
            </wp:positionV>
            <wp:extent cx="2857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 w:lineRule="exact"/>
        <w:rPr>
          <w:sz w:val="20"/>
          <w:szCs w:val="20"/>
          <w:color w:val="auto"/>
        </w:rPr>
      </w:pPr>
    </w:p>
    <w:p>
      <w:pPr>
        <w:ind w:left="4" w:right="14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Revolving Credit Commitment Extension Amendment</w:t>
      </w:r>
      <w:r>
        <w:rPr>
          <w:rFonts w:ascii="Arial" w:cs="Arial" w:eastAsia="Arial" w:hAnsi="Arial"/>
          <w:sz w:val="16"/>
          <w:szCs w:val="16"/>
          <w:color w:val="auto"/>
        </w:rPr>
        <w:t xml:space="preserve">”) to this Agreement and the other Loan Documents as may be necessary or appropriate to effect the provisions of this </w:t>
      </w:r>
      <w:r>
        <w:rPr>
          <w:rFonts w:ascii="Arial" w:cs="Arial" w:eastAsia="Arial" w:hAnsi="Arial"/>
          <w:sz w:val="16"/>
          <w:szCs w:val="16"/>
          <w:u w:val="single" w:color="auto"/>
          <w:color w:val="auto"/>
        </w:rPr>
        <w:t>Section 1.19</w:t>
      </w:r>
      <w:r>
        <w:rPr>
          <w:rFonts w:ascii="Arial" w:cs="Arial" w:eastAsia="Arial" w:hAnsi="Arial"/>
          <w:sz w:val="16"/>
          <w:szCs w:val="16"/>
          <w:color w:val="auto"/>
        </w:rPr>
        <w:t xml:space="preserve"> executed by the Loan Parties, the Administrative Agent and the Extending Revolving Lenders (which, notwithstanding anything to the contrary set forth in </w:t>
      </w:r>
      <w:r>
        <w:rPr>
          <w:rFonts w:ascii="Arial" w:cs="Arial" w:eastAsia="Arial" w:hAnsi="Arial"/>
          <w:sz w:val="16"/>
          <w:szCs w:val="16"/>
          <w:u w:val="single" w:color="auto"/>
          <w:color w:val="auto"/>
        </w:rPr>
        <w:t>Section 13.13</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shall not require the consent of any Lender other than the Extending Revolving Lenders with respect to the Extended Revolving Loans and Extended Revolving Credit Commitments established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 w:lineRule="exact"/>
        <w:rPr>
          <w:sz w:val="20"/>
          <w:szCs w:val="20"/>
          <w:color w:val="auto"/>
        </w:rPr>
      </w:pPr>
    </w:p>
    <w:p>
      <w:pPr>
        <w:ind w:left="4" w:hanging="4"/>
        <w:spacing w:after="0" w:line="267" w:lineRule="auto"/>
        <w:tabs>
          <w:tab w:leader="none" w:pos="219"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no Default or Event of Default shall have occurred and be continuing at the time of the effective date of the Revolving Credit Commitment Extension Amendment and the Borrower shall be in compliance with the financial covenants in </w:t>
      </w:r>
      <w:r>
        <w:rPr>
          <w:rFonts w:ascii="Arial" w:cs="Arial" w:eastAsia="Arial" w:hAnsi="Arial"/>
          <w:sz w:val="17"/>
          <w:szCs w:val="17"/>
          <w:u w:val="single" w:color="auto"/>
          <w:color w:val="auto"/>
        </w:rPr>
        <w:t>Section 8.22</w:t>
      </w:r>
      <w:r>
        <w:rPr>
          <w:rFonts w:ascii="Arial" w:cs="Arial" w:eastAsia="Arial" w:hAnsi="Arial"/>
          <w:sz w:val="17"/>
          <w:szCs w:val="17"/>
          <w:color w:val="auto"/>
        </w:rPr>
        <w:t xml:space="preserve"> </w:t>
      </w:r>
      <w:r>
        <w:rPr>
          <w:rFonts w:ascii="Arial" w:cs="Arial" w:eastAsia="Arial" w:hAnsi="Arial"/>
          <w:sz w:val="17"/>
          <w:szCs w:val="17"/>
          <w:color w:val="FF0000"/>
          <w:strike w:val="1"/>
        </w:rPr>
        <w:t>hereof</w:t>
      </w:r>
      <w:r>
        <w:rPr>
          <w:rFonts w:ascii="Arial" w:cs="Arial" w:eastAsia="Arial" w:hAnsi="Arial"/>
          <w:sz w:val="17"/>
          <w:szCs w:val="17"/>
          <w:color w:val="auto"/>
        </w:rPr>
        <w:t xml:space="preserve"> on a Pro Forma Basis after giving effect to the conversion of the applicable Extended Revolving Loans and Extended Revolving Credit Commitments (as though such applicable Extended Revolving Loans had been incurred and the entire amount of all Extended Revolving Credit Commitments is fully drawn on the first day of such calculation period and remained outstanding through the calculation date); (ii) the aggregate principal amount of Existing Revolving Loans and/or Revolving Credit Commitments, as the case may be, which the Borrower seeks to convert into Extended Revolving Loans or Extended Revolving Credit Commitments, as applicable shall not be less than $5,000,000 and the termination date of such Extended Revolving Loans and Extended Revolving Credit Commitments shall be no less than twelve months after the termination date of the Existing Revolving Loans and Extended Revolving Credit Commitments from which such Extended Revolving Loans and Extended Revolving Credit Commitments were converted; (iii) the Borrower at its election may specify in its Revolving Credit Commitment Extension Request as a condition to consummating any such Revolving Credit Commitment Extension Amendment that a minimum amount of Existing Revolving Credit Commitments or Existing Revolving Loans be converted to Extended Revolving Credit Commitments or</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4"/>
          </w:cols>
          <w:pgMar w:left="436" w:top="274" w:right="479" w:bottom="1440" w:gutter="0" w:footer="0" w:header="0"/>
        </w:sectPr>
      </w:pPr>
    </w:p>
    <w:bookmarkStart w:id="91" w:name="page92"/>
    <w:bookmarkEnd w:id="9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Extended Revolving Loans and (iv) the Borrower shall deliver or cause to be delivered any legal opinions or other customary closing documents reasonably requested by Administrative Agent in connection with any such transaction. All Extended Revolving Credit Commitments and Extended Revolving Loans and all obligations in respect thereof shall be Obligations under this Agreement and the other Loan Documents that are secured by the Collateral on a pari passu basis with all other applicable Obligations under this Agreement and the other Loan Documents. The Borrower agrees to pay the reasonable documented out-of-pocket expenses of the Administrative Agent relating to any Revolving Credit Commitment Extension Amendment and the transactions contemplated thereby. The Administrative Agent shall promptly notify each Lender as to the effectiveness of each Revolving Credit Commitment Extension Amendment. Any Extended Revolving Credit Commitment (and the Loans made thereunder) made by a Revolving Lender pursuant to a Revolving Credit Commitment Extension Amendment shall be deemed a “Revolving Credit Commitment” and “Revolving Loan,” as applicable, made pursuant to a separate Class of Revolving Credit Facility for all purposes of this Agreement </w:t>
      </w:r>
      <w:r>
        <w:rPr>
          <w:rFonts w:ascii="Arial" w:cs="Arial" w:eastAsia="Arial" w:hAnsi="Arial"/>
          <w:sz w:val="17"/>
          <w:szCs w:val="17"/>
          <w:u w:val="single" w:color="auto"/>
          <w:color w:val="0000E1"/>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E1"/>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0000E1"/>
        </w:rPr>
        <w:t>that any Extended Revolving</w:t>
      </w:r>
      <w:r>
        <w:rPr>
          <w:rFonts w:ascii="Arial" w:cs="Arial" w:eastAsia="Arial" w:hAnsi="Arial"/>
          <w:sz w:val="17"/>
          <w:szCs w:val="17"/>
          <w:color w:val="auto"/>
        </w:rPr>
        <w:t xml:space="preserve"> </w:t>
      </w:r>
      <w:r>
        <w:rPr>
          <w:rFonts w:ascii="Arial" w:cs="Arial" w:eastAsia="Arial" w:hAnsi="Arial"/>
          <w:sz w:val="17"/>
          <w:szCs w:val="17"/>
          <w:u w:val="single" w:color="auto"/>
          <w:color w:val="0000E1"/>
        </w:rPr>
        <w:t>Credit Commitment may be provided as an increase to any other exiting Class of Revolving Credit Facility)</w:t>
      </w:r>
      <w:r>
        <w:rPr>
          <w:rFonts w:ascii="Arial" w:cs="Arial" w:eastAsia="Arial" w:hAnsi="Arial"/>
          <w:sz w:val="17"/>
          <w:szCs w:val="17"/>
          <w:color w:val="0000E1"/>
        </w:rPr>
        <w:t xml:space="preserve"> </w:t>
      </w:r>
      <w:r>
        <w:rPr>
          <w:rFonts w:ascii="Arial" w:cs="Arial" w:eastAsia="Arial" w:hAnsi="Arial"/>
          <w:sz w:val="17"/>
          <w:szCs w:val="17"/>
          <w:color w:val="000000"/>
        </w:rPr>
        <w:t>and each Lender with an Extended</w:t>
      </w:r>
      <w:r>
        <w:rPr>
          <w:rFonts w:ascii="Arial" w:cs="Arial" w:eastAsia="Arial" w:hAnsi="Arial"/>
          <w:sz w:val="17"/>
          <w:szCs w:val="17"/>
          <w:color w:val="0000E1"/>
        </w:rPr>
        <w:t xml:space="preserve"> </w:t>
      </w:r>
      <w:r>
        <w:rPr>
          <w:rFonts w:ascii="Arial" w:cs="Arial" w:eastAsia="Arial" w:hAnsi="Arial"/>
          <w:sz w:val="17"/>
          <w:szCs w:val="17"/>
          <w:color w:val="000000"/>
        </w:rPr>
        <w:t>Revolving Loan shall become a Lender with respect to such Extended Revolving Loans and all matters relating thereto. Notwithstanding anything to the contrary herein, at no time shall there be Revolving Loans or Revolving Credit Commitments (including Extended Revolving Loans, Extended Revolving Credit Commitments, Replacement Revolving Loans, Replacement Revolving Credit Commitments, New Revolving Loans and New Revolving Credit Commitments) which have more than five different scheduled final maturity dates or shall there be more than five different “Revolving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-1863725</wp:posOffset>
            </wp:positionV>
            <wp:extent cx="2857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5597525</wp:posOffset>
            </wp:positionH>
            <wp:positionV relativeFrom="paragraph">
              <wp:posOffset>-1589405</wp:posOffset>
            </wp:positionV>
            <wp:extent cx="2857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-1177925</wp:posOffset>
            </wp:positionV>
            <wp:extent cx="2857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5012055</wp:posOffset>
            </wp:positionH>
            <wp:positionV relativeFrom="paragraph">
              <wp:posOffset>-826135</wp:posOffset>
            </wp:positionV>
            <wp:extent cx="182562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8256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-688975</wp:posOffset>
            </wp:positionV>
            <wp:extent cx="492887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928870" cy="8890"/>
                    </a:xfrm>
                    <a:prstGeom prst="rect">
                      <a:avLst/>
                    </a:prstGeom>
                    <a:noFill/>
                  </pic:spPr>
                </pic:pic>
              </a:graphicData>
            </a:graphic>
          </wp:anchor>
        </w:drawing>
      </w:r>
    </w:p>
    <w:p>
      <w:pPr>
        <w:spacing w:after="0" w:line="162" w:lineRule="exact"/>
        <w:rPr>
          <w:sz w:val="20"/>
          <w:szCs w:val="20"/>
          <w:color w:val="auto"/>
        </w:rPr>
      </w:pPr>
    </w:p>
    <w:p>
      <w:pPr>
        <w:ind w:firstLine="987"/>
        <w:spacing w:after="0" w:line="284" w:lineRule="auto"/>
        <w:tabs>
          <w:tab w:leader="none" w:pos="138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herein to the contrary, (i) the borrowing and repayment (except for (A) payments of interest and fees at different rates on Extended Revolving Credit Commitments and Extended Revolving Loans, (B) repayments required upon the maturity date of the non-extended Revolving Credit Commitments and (C) repayments made in connection with the permanent repayment and termination of Commitments) of Extended Revolving Loans made pursuant Extended Revolving Credit Commitments shall be made on a pro rata basis with all other Revolving Credit Commitments; </w:t>
      </w:r>
      <w:r>
        <w:rPr>
          <w:rFonts w:ascii="Arial" w:cs="Arial" w:eastAsia="Arial" w:hAnsi="Arial"/>
          <w:sz w:val="16"/>
          <w:szCs w:val="16"/>
          <w:i w:val="1"/>
          <w:iCs w:val="1"/>
          <w:color w:val="auto"/>
        </w:rPr>
        <w:t>provided</w:t>
      </w:r>
      <w:r>
        <w:rPr>
          <w:rFonts w:ascii="Arial" w:cs="Arial" w:eastAsia="Arial" w:hAnsi="Arial"/>
          <w:sz w:val="16"/>
          <w:szCs w:val="16"/>
          <w:i w:val="1"/>
          <w:iCs w:val="1"/>
          <w:color w:val="FF0000"/>
          <w:strike w:val="1"/>
        </w:rPr>
        <w:t>,</w:t>
      </w:r>
      <w:r>
        <w:rPr>
          <w:rFonts w:ascii="Arial" w:cs="Arial" w:eastAsia="Arial" w:hAnsi="Arial"/>
          <w:sz w:val="16"/>
          <w:szCs w:val="16"/>
          <w:color w:val="auto"/>
        </w:rPr>
        <w:t xml:space="preserve"> that the repayment of a Class of Extended Revolving Loans made pursuant to the applicable Class of Extended Revolving Credit Commitments may be made on a less than </w:t>
      </w:r>
      <w:r>
        <w:rPr>
          <w:rFonts w:ascii="Arial" w:cs="Arial" w:eastAsia="Arial" w:hAnsi="Arial"/>
          <w:sz w:val="16"/>
          <w:szCs w:val="16"/>
          <w:i w:val="1"/>
          <w:iCs w:val="1"/>
          <w:color w:val="auto"/>
        </w:rPr>
        <w:t>pro rata basis</w:t>
      </w:r>
      <w:r>
        <w:rPr>
          <w:rFonts w:ascii="Arial" w:cs="Arial" w:eastAsia="Arial" w:hAnsi="Arial"/>
          <w:sz w:val="16"/>
          <w:szCs w:val="16"/>
          <w:color w:val="auto"/>
        </w:rPr>
        <w:t xml:space="preserve"> (but not greater than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other Revolving Loans made pursuant to Revolving Credit Commitments established prior to such Class of Extended Revolving Credit Commitments; (ii) all Letters of Credit and Swing Loans shall be participated on a pro rata basis by all Lenders with Revolving Credit Commitments in accordance with their percentage of the Revolving Credit Commitments; (iii) the permanent repayment of Revolving Loans with respect to, and termination of, Extended Revolving Credit Commitments after the effectiveness of the contemplated maturity extension shall be made on a pro rata basis with all other Revolving Credit Commitments, except that the Borrower shall be permitted to elect to permanently repay (and terminate the commitments in respect of) any Class or Classes of Revolving Credit Commitments (and Loans made thereunder) that have earlier termination dates than any Class or Classes that have a later maturity date; (iv) assignments and participations of Extended Revolving Credit Commitments and Extended Revolving Loans shall be governed by the same assignment and participation provisions applicable to Revolving Credit Commitments and Revolving Loans and (v) except as the Swing Line Lender may otherwise agree, Swing Loans shall be required to be paid in full on the maturity date of the non-extended Revolving Credit Commitments (and may be re-borrowed pursuant to the terms hereof after such maturity date only if the Administrative Agent or an Extending Revolving Lender has assumed the role of continuing Swing Line Lender). In addition, in accordance with </w:t>
      </w:r>
      <w:r>
        <w:rPr>
          <w:rFonts w:ascii="Arial" w:cs="Arial" w:eastAsia="Arial" w:hAnsi="Arial"/>
          <w:sz w:val="16"/>
          <w:szCs w:val="16"/>
          <w:u w:val="single" w:color="auto"/>
          <w:color w:val="auto"/>
        </w:rPr>
        <w:t>Section 1.3(h)</w:t>
      </w:r>
      <w:r>
        <w:rPr>
          <w:rFonts w:ascii="Arial" w:cs="Arial" w:eastAsia="Arial" w:hAnsi="Arial"/>
          <w:sz w:val="16"/>
          <w:szCs w:val="16"/>
          <w:color w:val="auto"/>
        </w:rPr>
        <w:t xml:space="preserve">, (i) with respect to any Letter of Credit the expiration date for which extends beyond the maturity date for a Class of non-extended Revolving Credit Commitments, Participating Interests in such Letters of Credit on such maturity date shall be reallocated from Lenders holding Revolving Credit Commitments of such Class to Lenders holding Extended Revolving Credit Commitments in accordance with </w:t>
      </w:r>
      <w:r>
        <w:rPr>
          <w:rFonts w:ascii="Arial" w:cs="Arial" w:eastAsia="Arial" w:hAnsi="Arial"/>
          <w:sz w:val="16"/>
          <w:szCs w:val="16"/>
          <w:u w:val="single" w:color="auto"/>
          <w:color w:val="auto"/>
        </w:rPr>
        <w:t>Section 1.3(h)</w:t>
      </w:r>
      <w:r>
        <w:rPr>
          <w:rFonts w:ascii="Arial" w:cs="Arial" w:eastAsia="Arial" w:hAnsi="Arial"/>
          <w:sz w:val="16"/>
          <w:szCs w:val="16"/>
          <w:color w:val="auto"/>
        </w:rPr>
        <w:t xml:space="preserve"> and the terms of such Revolving Credit Commitment Extension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Participating Interests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-492125</wp:posOffset>
            </wp:positionV>
            <wp:extent cx="2857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92" w:name="page93"/>
    <w:bookmarkEnd w:id="92"/>
    <w:p>
      <w:pPr>
        <w:ind w:right="2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upon receipt thereof by the relevant Lenders holding Extended Revolving Credit Commitments, be deemed to be Participating Interests in respect of such Extended Revolving Credit Commitments and the terms of such Participating Interests (including, without limitation, the commission applicable thereto) shall be adjusted accordingly) and (ii) limitations on drawings of Revolving Loans and issuances, extensions and amendments to Letters of Credit shall be implemented giving effect to the foregoing reallocation prior to such reallocation actually occurring to ensure that sufficient Extended Revolving Credit Commitments are available to participate in any such Letters of Credit.</w:t>
      </w:r>
    </w:p>
    <w:p>
      <w:pPr>
        <w:spacing w:after="0" w:line="28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1.20</w:t>
      </w:r>
      <w:r>
        <w:rPr>
          <w:sz w:val="20"/>
          <w:szCs w:val="20"/>
          <w:color w:val="auto"/>
        </w:rPr>
        <w:tab/>
      </w:r>
      <w:r>
        <w:rPr>
          <w:rFonts w:ascii="Arial" w:cs="Arial" w:eastAsia="Arial" w:hAnsi="Arial"/>
          <w:sz w:val="16"/>
          <w:szCs w:val="16"/>
          <w:i w:val="1"/>
          <w:iCs w:val="1"/>
          <w:color w:val="auto"/>
        </w:rPr>
        <w:t>Refinancing/Replacement Facilities</w:t>
      </w:r>
      <w:r>
        <w:rPr>
          <w:rFonts w:ascii="Arial" w:cs="Arial" w:eastAsia="Arial" w:hAnsi="Arial"/>
          <w:sz w:val="16"/>
          <w:szCs w:val="16"/>
          <w:color w:val="auto"/>
        </w:rPr>
        <w:t>.</w:t>
      </w:r>
    </w:p>
    <w:p>
      <w:pPr>
        <w:spacing w:after="0" w:line="117" w:lineRule="exact"/>
        <w:rPr>
          <w:sz w:val="20"/>
          <w:szCs w:val="20"/>
          <w:color w:val="auto"/>
        </w:rPr>
      </w:pPr>
    </w:p>
    <w:p>
      <w:pPr>
        <w:ind w:left="1360" w:hanging="373"/>
        <w:spacing w:after="0"/>
        <w:tabs>
          <w:tab w:leader="none" w:pos="136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Refinancing Term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28"/>
        <w:spacing w:after="0" w:line="271" w:lineRule="auto"/>
        <w:tabs>
          <w:tab w:leader="none" w:pos="1782" w:val="left"/>
        </w:tabs>
        <w:numPr>
          <w:ilvl w:val="1"/>
          <w:numId w:val="104"/>
        </w:numPr>
        <w:rPr>
          <w:rFonts w:ascii="Arial" w:cs="Arial" w:eastAsia="Arial" w:hAnsi="Arial"/>
          <w:sz w:val="17"/>
          <w:szCs w:val="17"/>
          <w:color w:val="auto"/>
        </w:rPr>
      </w:pPr>
      <w:r>
        <w:rPr>
          <w:rFonts w:ascii="Arial" w:cs="Arial" w:eastAsia="Arial" w:hAnsi="Arial"/>
          <w:sz w:val="17"/>
          <w:szCs w:val="17"/>
          <w:color w:val="FF0000"/>
          <w:strike w:val="1"/>
        </w:rPr>
        <w:t>The</w:t>
      </w:r>
      <w:r>
        <w:rPr>
          <w:rFonts w:ascii="Arial" w:cs="Arial" w:eastAsia="Arial" w:hAnsi="Arial"/>
          <w:sz w:val="17"/>
          <w:szCs w:val="17"/>
          <w:u w:val="single" w:color="auto"/>
          <w:color w:val="0000E1"/>
        </w:rPr>
        <w:t>Other than during the Basket Suspension Period, the</w:t>
      </w:r>
      <w:r>
        <w:rPr>
          <w:rFonts w:ascii="Arial" w:cs="Arial" w:eastAsia="Arial" w:hAnsi="Arial"/>
          <w:sz w:val="17"/>
          <w:szCs w:val="17"/>
          <w:color w:val="FF0000"/>
        </w:rPr>
        <w:t xml:space="preserve"> </w:t>
      </w:r>
      <w:r>
        <w:rPr>
          <w:rFonts w:ascii="Arial" w:cs="Arial" w:eastAsia="Arial" w:hAnsi="Arial"/>
          <w:sz w:val="17"/>
          <w:szCs w:val="17"/>
          <w:color w:val="000000"/>
        </w:rPr>
        <w:t>Borrower may by written notice to the Administrative Agent elect to</w:t>
      </w:r>
      <w:r>
        <w:rPr>
          <w:rFonts w:ascii="Arial" w:cs="Arial" w:eastAsia="Arial" w:hAnsi="Arial"/>
          <w:sz w:val="17"/>
          <w:szCs w:val="17"/>
          <w:color w:val="FF0000"/>
        </w:rPr>
        <w:t xml:space="preserve"> </w:t>
      </w:r>
      <w:r>
        <w:rPr>
          <w:rFonts w:ascii="Arial" w:cs="Arial" w:eastAsia="Arial" w:hAnsi="Arial"/>
          <w:sz w:val="17"/>
          <w:szCs w:val="17"/>
          <w:color w:val="000000"/>
        </w:rPr>
        <w:t>request the establishment of one or more additional Classes of term loans under this Agreement (“</w:t>
      </w:r>
      <w:r>
        <w:rPr>
          <w:rFonts w:ascii="Arial" w:cs="Arial" w:eastAsia="Arial" w:hAnsi="Arial"/>
          <w:sz w:val="17"/>
          <w:szCs w:val="17"/>
          <w:i w:val="1"/>
          <w:iCs w:val="1"/>
          <w:color w:val="000000"/>
        </w:rPr>
        <w:t>Refinancing Term Loans</w:t>
      </w:r>
      <w:r>
        <w:rPr>
          <w:rFonts w:ascii="Arial" w:cs="Arial" w:eastAsia="Arial" w:hAnsi="Arial"/>
          <w:sz w:val="17"/>
          <w:szCs w:val="17"/>
          <w:color w:val="000000"/>
        </w:rPr>
        <w:t>”), which refinances, renews, replaces, defeases or refunds (collectively, “</w:t>
      </w:r>
      <w:r>
        <w:rPr>
          <w:rFonts w:ascii="Arial" w:cs="Arial" w:eastAsia="Arial" w:hAnsi="Arial"/>
          <w:sz w:val="17"/>
          <w:szCs w:val="17"/>
          <w:i w:val="1"/>
          <w:iCs w:val="1"/>
          <w:color w:val="000000"/>
        </w:rPr>
        <w:t>Refinance</w:t>
      </w:r>
      <w:r>
        <w:rPr>
          <w:rFonts w:ascii="Arial" w:cs="Arial" w:eastAsia="Arial" w:hAnsi="Arial"/>
          <w:sz w:val="17"/>
          <w:szCs w:val="17"/>
          <w:color w:val="000000"/>
        </w:rPr>
        <w:t xml:space="preserve">”) one or more Classes of Term Loans and/or Revolving Credit Commitments (and Revolving Loans thereunder) under this Agreement; </w:t>
      </w:r>
      <w:r>
        <w:rPr>
          <w:rFonts w:ascii="Arial" w:cs="Arial" w:eastAsia="Arial" w:hAnsi="Arial"/>
          <w:sz w:val="17"/>
          <w:szCs w:val="17"/>
          <w:i w:val="1"/>
          <w:iCs w:val="1"/>
          <w:color w:val="000000"/>
        </w:rPr>
        <w:t>provided</w:t>
      </w:r>
      <w:r>
        <w:rPr>
          <w:rFonts w:ascii="Arial" w:cs="Arial" w:eastAsia="Arial" w:hAnsi="Arial"/>
          <w:sz w:val="17"/>
          <w:szCs w:val="17"/>
          <w:color w:val="FF0000"/>
          <w:strike w:val="1"/>
        </w:rPr>
        <w:t>,</w:t>
      </w:r>
      <w:r>
        <w:rPr>
          <w:rFonts w:ascii="Arial" w:cs="Arial" w:eastAsia="Arial" w:hAnsi="Arial"/>
          <w:sz w:val="17"/>
          <w:szCs w:val="17"/>
          <w:color w:val="000000"/>
        </w:rPr>
        <w:t xml:space="preserve"> that such Refinancing Term Loans may not be in an amount greater than the Term Loans and/or Revolving Credit Commitments being Refinanced plus unpaid accrued interest, fees, expenses and premium (if any) thereon and underwriting discounts, fees, commissions and expenses incurred in connection with the Refinancing Term Loans. Each such notice shall specify the date (each, a “</w:t>
      </w:r>
      <w:r>
        <w:rPr>
          <w:rFonts w:ascii="Arial" w:cs="Arial" w:eastAsia="Arial" w:hAnsi="Arial"/>
          <w:sz w:val="17"/>
          <w:szCs w:val="17"/>
          <w:i w:val="1"/>
          <w:iCs w:val="1"/>
          <w:color w:val="000000"/>
        </w:rPr>
        <w:t>Refinancing</w:t>
      </w:r>
      <w:r>
        <w:rPr>
          <w:rFonts w:ascii="Arial" w:cs="Arial" w:eastAsia="Arial" w:hAnsi="Arial"/>
          <w:sz w:val="17"/>
          <w:szCs w:val="17"/>
          <w:color w:val="000000"/>
        </w:rPr>
        <w:t xml:space="preserve"> </w:t>
      </w:r>
      <w:r>
        <w:rPr>
          <w:rFonts w:ascii="Arial" w:cs="Arial" w:eastAsia="Arial" w:hAnsi="Arial"/>
          <w:sz w:val="17"/>
          <w:szCs w:val="17"/>
          <w:i w:val="1"/>
          <w:iCs w:val="1"/>
          <w:color w:val="000000"/>
        </w:rPr>
        <w:t>Effective Date</w:t>
      </w:r>
      <w:r>
        <w:rPr>
          <w:rFonts w:ascii="Arial" w:cs="Arial" w:eastAsia="Arial" w:hAnsi="Arial"/>
          <w:sz w:val="17"/>
          <w:szCs w:val="17"/>
          <w:color w:val="000000"/>
        </w:rPr>
        <w:t>”) on which the Borrower proposes that the Refinancing Term Loans shall be made, which shall be a date not less than three</w:t>
      </w:r>
      <w:r>
        <w:rPr>
          <w:rFonts w:ascii="Arial" w:cs="Arial" w:eastAsia="Arial" w:hAnsi="Arial"/>
          <w:sz w:val="17"/>
          <w:szCs w:val="17"/>
          <w:i w:val="1"/>
          <w:iCs w:val="1"/>
          <w:color w:val="000000"/>
        </w:rPr>
        <w:t xml:space="preserve"> </w:t>
      </w:r>
      <w:r>
        <w:rPr>
          <w:rFonts w:ascii="Arial" w:cs="Arial" w:eastAsia="Arial" w:hAnsi="Arial"/>
          <w:sz w:val="17"/>
          <w:szCs w:val="17"/>
          <w:u w:val="single" w:color="auto"/>
          <w:color w:val="0000E1"/>
        </w:rPr>
        <w:t>(3)</w:t>
      </w:r>
      <w:r>
        <w:rPr>
          <w:rFonts w:ascii="Arial" w:cs="Arial" w:eastAsia="Arial" w:hAnsi="Arial"/>
          <w:sz w:val="17"/>
          <w:szCs w:val="17"/>
          <w:i w:val="1"/>
          <w:iCs w:val="1"/>
          <w:color w:val="000000"/>
        </w:rPr>
        <w:t xml:space="preserve"> </w:t>
      </w:r>
      <w:r>
        <w:rPr>
          <w:rFonts w:ascii="Arial" w:cs="Arial" w:eastAsia="Arial" w:hAnsi="Arial"/>
          <w:sz w:val="17"/>
          <w:szCs w:val="17"/>
          <w:color w:val="000000"/>
        </w:rPr>
        <w:t>Business</w:t>
      </w:r>
      <w:r>
        <w:rPr>
          <w:rFonts w:ascii="Arial" w:cs="Arial" w:eastAsia="Arial" w:hAnsi="Arial"/>
          <w:sz w:val="17"/>
          <w:szCs w:val="17"/>
          <w:i w:val="1"/>
          <w:iCs w:val="1"/>
          <w:color w:val="000000"/>
        </w:rPr>
        <w:t xml:space="preserve"> </w:t>
      </w:r>
      <w:r>
        <w:rPr>
          <w:rFonts w:ascii="Arial" w:cs="Arial" w:eastAsia="Arial" w:hAnsi="Arial"/>
          <w:sz w:val="17"/>
          <w:szCs w:val="17"/>
          <w:color w:val="000000"/>
        </w:rPr>
        <w:t xml:space="preserve">Days after the date on which such notice is delivered to the Administrative Agent;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that:</w:t>
      </w:r>
    </w:p>
    <w:p>
      <w:pPr>
        <w:spacing w:after="0" w:line="70" w:lineRule="exact"/>
        <w:rPr>
          <w:rFonts w:ascii="Arial" w:cs="Arial" w:eastAsia="Arial" w:hAnsi="Arial"/>
          <w:sz w:val="17"/>
          <w:szCs w:val="17"/>
          <w:color w:val="auto"/>
        </w:rPr>
      </w:pPr>
    </w:p>
    <w:p>
      <w:pPr>
        <w:jc w:val="both"/>
        <w:ind w:left="980" w:right="260" w:firstLine="910"/>
        <w:spacing w:after="0" w:line="259" w:lineRule="auto"/>
        <w:tabs>
          <w:tab w:leader="none" w:pos="2312"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the Weighted Average Life to Maturity of such Refinancing Term Loans shall not be shorter than the then remaining Weighted Average Life to Maturity of the Class or Classes of Term Loans being Refinanced and the Refinancing Term Loans shall not have a final maturity before the maturity date of the Term Loans and/or the Revolving Credit Termination Date of the Revolving Credit Commitments being Refinanced;</w:t>
      </w:r>
    </w:p>
    <w:p>
      <w:pPr>
        <w:spacing w:after="0" w:line="78" w:lineRule="exact"/>
        <w:rPr>
          <w:rFonts w:ascii="Arial" w:cs="Arial" w:eastAsia="Arial" w:hAnsi="Arial"/>
          <w:sz w:val="18"/>
          <w:szCs w:val="18"/>
          <w:color w:val="auto"/>
        </w:rPr>
      </w:pPr>
    </w:p>
    <w:p>
      <w:pPr>
        <w:ind w:left="980" w:right="620" w:firstLine="910"/>
        <w:spacing w:after="0" w:line="342" w:lineRule="auto"/>
        <w:tabs>
          <w:tab w:leader="none" w:pos="2302" w:val="left"/>
        </w:tabs>
        <w:numPr>
          <w:ilvl w:val="2"/>
          <w:numId w:val="104"/>
        </w:numPr>
        <w:rPr>
          <w:rFonts w:ascii="Arial" w:cs="Arial" w:eastAsia="Arial" w:hAnsi="Arial"/>
          <w:sz w:val="16"/>
          <w:szCs w:val="16"/>
          <w:color w:val="auto"/>
        </w:rPr>
      </w:pPr>
      <w:r>
        <w:rPr>
          <w:rFonts w:ascii="Arial" w:cs="Arial" w:eastAsia="Arial" w:hAnsi="Arial"/>
          <w:sz w:val="16"/>
          <w:szCs w:val="16"/>
          <w:color w:val="auto"/>
        </w:rPr>
        <w:t>the Refinancing Term Loans shall have such interest rates, fees, discounts, premiums, optional prepayments and redemption terms as may be agreed among the Borrower and the Lenders providing such Refinancing Term Loans;</w:t>
      </w:r>
    </w:p>
    <w:p>
      <w:pPr>
        <w:spacing w:after="0" w:line="15" w:lineRule="exact"/>
        <w:rPr>
          <w:rFonts w:ascii="Arial" w:cs="Arial" w:eastAsia="Arial" w:hAnsi="Arial"/>
          <w:sz w:val="16"/>
          <w:szCs w:val="16"/>
          <w:color w:val="auto"/>
        </w:rPr>
      </w:pPr>
    </w:p>
    <w:p>
      <w:pPr>
        <w:ind w:left="980" w:right="80" w:firstLine="910"/>
        <w:spacing w:after="0" w:line="255" w:lineRule="auto"/>
        <w:tabs>
          <w:tab w:leader="none" w:pos="2302" w:val="left"/>
        </w:tabs>
        <w:numPr>
          <w:ilvl w:val="2"/>
          <w:numId w:val="104"/>
        </w:numPr>
        <w:rPr>
          <w:rFonts w:ascii="Arial" w:cs="Arial" w:eastAsia="Arial" w:hAnsi="Arial"/>
          <w:sz w:val="18"/>
          <w:szCs w:val="18"/>
          <w:color w:val="auto"/>
        </w:rPr>
      </w:pPr>
      <w:r>
        <w:rPr>
          <w:rFonts w:ascii="Arial" w:cs="Arial" w:eastAsia="Arial" w:hAnsi="Arial"/>
          <w:sz w:val="18"/>
          <w:szCs w:val="18"/>
          <w:color w:val="auto"/>
        </w:rPr>
        <w:t xml:space="preserve">other than as provided for in </w:t>
      </w:r>
      <w:r>
        <w:rPr>
          <w:rFonts w:ascii="Arial" w:cs="Arial" w:eastAsia="Arial" w:hAnsi="Arial"/>
          <w:sz w:val="18"/>
          <w:szCs w:val="18"/>
          <w:color w:val="FF0000"/>
          <w:strike w:val="1"/>
        </w:rPr>
        <w:t>Section 1.20(a)(i)</w:t>
      </w:r>
      <w:r>
        <w:rPr>
          <w:rFonts w:ascii="Arial" w:cs="Arial" w:eastAsia="Arial" w:hAnsi="Arial"/>
          <w:sz w:val="18"/>
          <w:szCs w:val="18"/>
          <w:u w:val="single" w:color="auto"/>
          <w:color w:val="0000E1"/>
        </w:rPr>
        <w:t>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such Refinancing Term Loans shall have terms and conditions agreed to by the Borrower and the lenders providing such Refinancing Term Loans, but shall be substantially the same as (or, taken as a whole, no more favorable to, the lenders providing such Refinancing Term Loans than) those applicable to the then outstanding Term Loans and/or Revolving Credit Commitments, except to the extent such covenants and other terms apply solely to any period after the final maturity of the Term Loans and/or Revolving Credit Commitments being Refinanced or such terms are on current market terms for such type of indebtedness;</w:t>
      </w:r>
    </w:p>
    <w:p>
      <w:pPr>
        <w:spacing w:after="0" w:line="84" w:lineRule="exact"/>
        <w:rPr>
          <w:rFonts w:ascii="Arial" w:cs="Arial" w:eastAsia="Arial" w:hAnsi="Arial"/>
          <w:sz w:val="18"/>
          <w:szCs w:val="18"/>
          <w:color w:val="auto"/>
        </w:rPr>
      </w:pPr>
    </w:p>
    <w:p>
      <w:pPr>
        <w:ind w:left="980" w:right="140" w:firstLine="910"/>
        <w:spacing w:after="0" w:line="342" w:lineRule="auto"/>
        <w:tabs>
          <w:tab w:leader="none" w:pos="2312" w:val="left"/>
        </w:tabs>
        <w:numPr>
          <w:ilvl w:val="2"/>
          <w:numId w:val="104"/>
        </w:numPr>
        <w:rPr>
          <w:rFonts w:ascii="Arial" w:cs="Arial" w:eastAsia="Arial" w:hAnsi="Arial"/>
          <w:sz w:val="16"/>
          <w:szCs w:val="16"/>
          <w:color w:val="auto"/>
        </w:rPr>
      </w:pPr>
      <w:r>
        <w:rPr>
          <w:rFonts w:ascii="Arial" w:cs="Arial" w:eastAsia="Arial" w:hAnsi="Arial"/>
          <w:sz w:val="16"/>
          <w:szCs w:val="16"/>
          <w:color w:val="auto"/>
        </w:rPr>
        <w:t>the proceeds of any Refinancing Term Loans shall be applied substantially concurrently with the incurrence thereof, to the pro rata prepayment the Class or Classes of Term Loans and/or Revolving Credit Commitments being Refinanced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-3195320</wp:posOffset>
            </wp:positionV>
            <wp:extent cx="239141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-2586355</wp:posOffset>
            </wp:positionV>
            <wp:extent cx="2857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-2372360</wp:posOffset>
            </wp:positionV>
            <wp:extent cx="1371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-1069340</wp:posOffset>
            </wp:positionV>
            <wp:extent cx="31750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93" w:name="page94"/>
    <w:bookmarkEnd w:id="93"/>
    <w:p>
      <w:pPr>
        <w:jc w:val="both"/>
        <w:ind w:left="984" w:right="60" w:firstLine="910"/>
        <w:spacing w:after="0" w:line="259" w:lineRule="auto"/>
        <w:tabs>
          <w:tab w:leader="none" w:pos="2296" w:val="left"/>
        </w:tabs>
        <w:numPr>
          <w:ilvl w:val="3"/>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Refinancing Term Loan Amendment shall set forth the principal installment payment dates of the Refinancing Term Loans, which dates may be delayed to later dates than the corresponding scheduled principal installment payment dates of the Term Loans being refinanced (with any such Refinancing of Term Loans resulting in a corresponding adjustment to the scheduled amortization payments reflected in </w:t>
      </w:r>
      <w:r>
        <w:rPr>
          <w:rFonts w:ascii="Arial" w:cs="Arial" w:eastAsia="Arial" w:hAnsi="Arial"/>
          <w:sz w:val="18"/>
          <w:szCs w:val="18"/>
          <w:u w:val="single" w:color="auto"/>
          <w:color w:val="auto"/>
        </w:rPr>
        <w:t>Section 1.8</w:t>
      </w:r>
      <w:r>
        <w:rPr>
          <w:rFonts w:ascii="Arial" w:cs="Arial" w:eastAsia="Arial" w:hAnsi="Arial"/>
          <w:sz w:val="18"/>
          <w:szCs w:val="18"/>
          <w:color w:val="auto"/>
        </w:rPr>
        <w:t>); and</w:t>
      </w:r>
    </w:p>
    <w:p>
      <w:pPr>
        <w:spacing w:after="0" w:line="78" w:lineRule="exact"/>
        <w:rPr>
          <w:rFonts w:ascii="Arial" w:cs="Arial" w:eastAsia="Arial" w:hAnsi="Arial"/>
          <w:sz w:val="18"/>
          <w:szCs w:val="18"/>
          <w:color w:val="auto"/>
        </w:rPr>
      </w:pPr>
    </w:p>
    <w:p>
      <w:pPr>
        <w:ind w:left="984" w:right="100" w:firstLine="910"/>
        <w:spacing w:after="0" w:line="270" w:lineRule="auto"/>
        <w:tabs>
          <w:tab w:leader="none" w:pos="2286" w:val="left"/>
        </w:tabs>
        <w:numPr>
          <w:ilvl w:val="3"/>
          <w:numId w:val="105"/>
        </w:numPr>
        <w:rPr>
          <w:rFonts w:ascii="Arial" w:cs="Arial" w:eastAsia="Arial" w:hAnsi="Arial"/>
          <w:sz w:val="17"/>
          <w:szCs w:val="17"/>
          <w:color w:val="auto"/>
        </w:rPr>
      </w:pPr>
      <w:r>
        <w:rPr>
          <w:rFonts w:ascii="Arial" w:cs="Arial" w:eastAsia="Arial" w:hAnsi="Arial"/>
          <w:sz w:val="17"/>
          <w:szCs w:val="17"/>
          <w:color w:val="auto"/>
        </w:rPr>
        <w:t>the Loan Parties and the Collateral Agent shall (i) enter into such amendments to the Collateral Documents as may be reasonably requested by the Collateral Agent (which shall not require any consent from any Lender) in order to ensure that the Refinancing Term Loans are provided with the benefit of the applicable Collateral Documents on a pari passu basis with the other Obligations (or, to the extent applicable, the Loan Parties and the Collateral Agent (to the extent that it is acting in the capacity of collateral agent with respect to such Refinancing Term Loans) will enter into junior lien collateral documents without the consent of the Lenders so long as the Administrative Agent has been provided reasonably requested assurances that such documentation is not more restrictive than the Collateral Documents in any material respect) and (ii) deliver such other documents and certificates as may be reasonably requested by the Collateral Agent (including an intercreditor agreement reasonably satisfactory to the Administrative Agent to the extent reasonably necessary).</w:t>
      </w:r>
    </w:p>
    <w:p>
      <w:pPr>
        <w:spacing w:after="0" w:line="180" w:lineRule="exact"/>
        <w:rPr>
          <w:rFonts w:ascii="Arial" w:cs="Arial" w:eastAsia="Arial" w:hAnsi="Arial"/>
          <w:sz w:val="17"/>
          <w:szCs w:val="17"/>
          <w:color w:val="auto"/>
        </w:rPr>
      </w:pPr>
    </w:p>
    <w:p>
      <w:pPr>
        <w:ind w:left="4" w:right="160" w:firstLine="1428"/>
        <w:spacing w:after="0" w:line="285" w:lineRule="auto"/>
        <w:tabs>
          <w:tab w:leader="none" w:pos="1833" w:val="left"/>
        </w:tabs>
        <w:numPr>
          <w:ilvl w:val="2"/>
          <w:numId w:val="106"/>
        </w:numPr>
        <w:rPr>
          <w:rFonts w:ascii="Arial" w:cs="Arial" w:eastAsia="Arial" w:hAnsi="Arial"/>
          <w:sz w:val="16"/>
          <w:szCs w:val="16"/>
          <w:color w:val="auto"/>
        </w:rPr>
      </w:pPr>
      <w:r>
        <w:rPr>
          <w:rFonts w:ascii="Arial" w:cs="Arial" w:eastAsia="Arial" w:hAnsi="Arial"/>
          <w:sz w:val="16"/>
          <w:szCs w:val="16"/>
          <w:color w:val="auto"/>
        </w:rPr>
        <w:t>The Borrower may approach any Lender or any other Person that would be an Eligible Assignee to provide all or a portion of the Refinancing Term Loans (a “</w:t>
      </w:r>
      <w:r>
        <w:rPr>
          <w:rFonts w:ascii="Arial" w:cs="Arial" w:eastAsia="Arial" w:hAnsi="Arial"/>
          <w:sz w:val="16"/>
          <w:szCs w:val="16"/>
          <w:i w:val="1"/>
          <w:iCs w:val="1"/>
          <w:color w:val="auto"/>
        </w:rPr>
        <w:t>Refinancing Term Lender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Lender offered or approached to provide all or a portion of the Refinancing Term Loans may elect or decline, in its sole discretion, to provide a Refinancing Term Loan. Any Refinancing Term Loans made on any Refinancing Effective Date shall be designated a series (a “</w:t>
      </w:r>
      <w:r>
        <w:rPr>
          <w:rFonts w:ascii="Arial" w:cs="Arial" w:eastAsia="Arial" w:hAnsi="Arial"/>
          <w:sz w:val="16"/>
          <w:szCs w:val="16"/>
          <w:i w:val="1"/>
          <w:iCs w:val="1"/>
          <w:color w:val="auto"/>
        </w:rPr>
        <w:t>Refinancing Term Loan Series</w:t>
      </w:r>
      <w:r>
        <w:rPr>
          <w:rFonts w:ascii="Arial" w:cs="Arial" w:eastAsia="Arial" w:hAnsi="Arial"/>
          <w:sz w:val="16"/>
          <w:szCs w:val="16"/>
          <w:color w:val="auto"/>
        </w:rPr>
        <w:t xml:space="preserve">”) of Refinancing Term Loans for all purposes of this Agreement and the selection of Refinancing Term Lenders shall be subject to any consent that would be required pursuant to </w:t>
      </w:r>
      <w:r>
        <w:rPr>
          <w:rFonts w:ascii="Arial" w:cs="Arial" w:eastAsia="Arial" w:hAnsi="Arial"/>
          <w:sz w:val="16"/>
          <w:szCs w:val="16"/>
          <w:u w:val="single" w:color="auto"/>
          <w:color w:val="auto"/>
        </w:rPr>
        <w:t>Section 13.12(</w:t>
      </w:r>
      <w:r>
        <w:rPr>
          <w:rFonts w:ascii="Arial" w:cs="Arial" w:eastAsia="Arial" w:hAnsi="Arial"/>
          <w:sz w:val="16"/>
          <w:szCs w:val="16"/>
          <w:color w:val="FF0000"/>
          <w:strike w:val="1"/>
        </w:rPr>
        <w:t>a</w:t>
      </w:r>
      <w:r>
        <w:rPr>
          <w:rFonts w:ascii="Arial" w:cs="Arial" w:eastAsia="Arial" w:hAnsi="Arial"/>
          <w:sz w:val="16"/>
          <w:szCs w:val="16"/>
          <w:u w:val="single" w:color="auto"/>
          <w:color w:val="0000E1"/>
        </w:rPr>
        <w:t>b</w:t>
      </w:r>
      <w:r>
        <w:rPr>
          <w:rFonts w:ascii="Arial" w:cs="Arial" w:eastAsia="Arial" w:hAnsi="Arial"/>
          <w:sz w:val="16"/>
          <w:szCs w:val="16"/>
          <w:u w:val="single" w:color="auto"/>
          <w:color w:val="auto"/>
        </w:rPr>
        <w:t>)</w:t>
      </w:r>
    </w:p>
    <w:p>
      <w:pPr>
        <w:spacing w:after="0" w:line="1" w:lineRule="exact"/>
        <w:rPr>
          <w:rFonts w:ascii="Arial" w:cs="Arial" w:eastAsia="Arial" w:hAnsi="Arial"/>
          <w:sz w:val="16"/>
          <w:szCs w:val="16"/>
          <w:color w:val="auto"/>
        </w:rPr>
      </w:pPr>
    </w:p>
    <w:p>
      <w:pPr>
        <w:ind w:left="4" w:right="40" w:hanging="4"/>
        <w:spacing w:after="0" w:line="290" w:lineRule="auto"/>
        <w:tabs>
          <w:tab w:leader="none" w:pos="319" w:val="left"/>
        </w:tabs>
        <w:numPr>
          <w:ilvl w:val="0"/>
          <w:numId w:val="107"/>
        </w:numPr>
        <w:rPr>
          <w:rFonts w:ascii="Arial" w:cs="Arial" w:eastAsia="Arial" w:hAnsi="Arial"/>
          <w:sz w:val="17"/>
          <w:szCs w:val="17"/>
          <w:u w:val="single" w:color="auto"/>
          <w:color w:val="auto"/>
        </w:rPr>
      </w:pPr>
      <w:r>
        <w:rPr>
          <w:rFonts w:ascii="Arial" w:cs="Arial" w:eastAsia="Arial" w:hAnsi="Arial"/>
          <w:sz w:val="17"/>
          <w:szCs w:val="17"/>
          <w:color w:val="FF0000"/>
          <w:strike w:val="1"/>
        </w:rPr>
        <w:t>hereof</w:t>
      </w:r>
      <w:r>
        <w:rPr>
          <w:rFonts w:ascii="Arial" w:cs="Arial" w:eastAsia="Arial" w:hAnsi="Arial"/>
          <w:sz w:val="17"/>
          <w:szCs w:val="17"/>
          <w:color w:val="000000"/>
        </w:rPr>
        <w:t>;</w:t>
      </w:r>
      <w:r>
        <w:rPr>
          <w:rFonts w:ascii="Arial" w:cs="Arial" w:eastAsia="Arial" w:hAnsi="Arial"/>
          <w:sz w:val="17"/>
          <w:szCs w:val="17"/>
          <w:color w:val="FF0000"/>
        </w:rPr>
        <w:t xml:space="preserve"> </w:t>
      </w:r>
      <w:r>
        <w:rPr>
          <w:rFonts w:ascii="Arial" w:cs="Arial" w:eastAsia="Arial" w:hAnsi="Arial"/>
          <w:sz w:val="17"/>
          <w:szCs w:val="17"/>
          <w:i w:val="1"/>
          <w:iCs w:val="1"/>
          <w:color w:val="000000"/>
        </w:rPr>
        <w:t>provided</w:t>
      </w:r>
      <w:r>
        <w:rPr>
          <w:rFonts w:ascii="Arial" w:cs="Arial" w:eastAsia="Arial" w:hAnsi="Arial"/>
          <w:sz w:val="17"/>
          <w:szCs w:val="17"/>
          <w:color w:val="FF0000"/>
        </w:rPr>
        <w:t xml:space="preserve"> </w:t>
      </w:r>
      <w:r>
        <w:rPr>
          <w:rFonts w:ascii="Arial" w:cs="Arial" w:eastAsia="Arial" w:hAnsi="Arial"/>
          <w:sz w:val="17"/>
          <w:szCs w:val="17"/>
          <w:color w:val="000000"/>
        </w:rPr>
        <w:t>that any Refinancing Term Loans may, to the extent provided in the applicable Refinancing Term Loan Amendment, be designated</w:t>
      </w:r>
      <w:r>
        <w:rPr>
          <w:rFonts w:ascii="Arial" w:cs="Arial" w:eastAsia="Arial" w:hAnsi="Arial"/>
          <w:sz w:val="17"/>
          <w:szCs w:val="17"/>
          <w:color w:val="FF0000"/>
        </w:rPr>
        <w:t xml:space="preserve"> </w:t>
      </w:r>
      <w:r>
        <w:rPr>
          <w:rFonts w:ascii="Arial" w:cs="Arial" w:eastAsia="Arial" w:hAnsi="Arial"/>
          <w:sz w:val="17"/>
          <w:szCs w:val="17"/>
          <w:color w:val="000000"/>
        </w:rPr>
        <w:t>as an increase in any previously established Refinancing Term Loan Series of Refinancing Term Loans made to the Borrower.</w:t>
      </w:r>
    </w:p>
    <w:p>
      <w:pPr>
        <w:spacing w:after="0" w:line="161" w:lineRule="exact"/>
        <w:rPr>
          <w:rFonts w:ascii="Arial" w:cs="Arial" w:eastAsia="Arial" w:hAnsi="Arial"/>
          <w:sz w:val="17"/>
          <w:szCs w:val="17"/>
          <w:u w:val="single" w:color="auto"/>
          <w:color w:val="auto"/>
        </w:rPr>
      </w:pPr>
    </w:p>
    <w:p>
      <w:pPr>
        <w:ind w:left="4" w:firstLine="1428"/>
        <w:spacing w:after="0" w:line="289" w:lineRule="auto"/>
        <w:tabs>
          <w:tab w:leader="none" w:pos="1883" w:val="left"/>
        </w:tabs>
        <w:numPr>
          <w:ilvl w:val="2"/>
          <w:numId w:val="107"/>
        </w:numPr>
        <w:rPr>
          <w:rFonts w:ascii="Arial" w:cs="Arial" w:eastAsia="Arial" w:hAnsi="Arial"/>
          <w:sz w:val="16"/>
          <w:szCs w:val="16"/>
          <w:color w:val="auto"/>
        </w:rPr>
      </w:pPr>
      <w:r>
        <w:rPr>
          <w:rFonts w:ascii="Arial" w:cs="Arial" w:eastAsia="Arial" w:hAnsi="Arial"/>
          <w:sz w:val="16"/>
          <w:szCs w:val="16"/>
          <w:color w:val="auto"/>
        </w:rPr>
        <w:t>The Refinancing Term Loans shall be established pursuant to an amendment to this Agreement among Holdings, the Borrower and the Refinancing Term Lenders providing such Refinancing Term Loans (a “</w:t>
      </w:r>
      <w:r>
        <w:rPr>
          <w:rFonts w:ascii="Arial" w:cs="Arial" w:eastAsia="Arial" w:hAnsi="Arial"/>
          <w:sz w:val="16"/>
          <w:szCs w:val="16"/>
          <w:i w:val="1"/>
          <w:iCs w:val="1"/>
          <w:color w:val="auto"/>
        </w:rPr>
        <w:t>Refinancing Term Loan Amendment</w:t>
      </w:r>
      <w:r>
        <w:rPr>
          <w:rFonts w:ascii="Arial" w:cs="Arial" w:eastAsia="Arial" w:hAnsi="Arial"/>
          <w:sz w:val="16"/>
          <w:szCs w:val="16"/>
          <w:color w:val="auto"/>
        </w:rPr>
        <w:t>”) which shall be consistent with the provisions set forth in paragraph (i) above. Each Refinancing Term Loan Amendment shall be binding on the Lenders, the Administrative Agent, the Loan Parties party thereto and the other parties hereto. Each of the Administrative Agent and the Collateral Agent shall be permitted, and each is hereby authorized, to enter into such amendments with the Borrower to effect the foregoing. Any Refinancing Term Loan made by a Term Loan Lender pursuant to a Refinancing Term Loan Amendment shall be deemed a “Term Loan” for all purposes of this Agreement and each Lender with a Refinancing Term Loan shall become a Lender with respect to such Refinancing Term Loans and all matters relating thereto. Notwithstanding anything to the contrary herein, at no time shall there be Term Loans (including Refinancing Term Loans, Extended Term Loans and New Term Loans) which have more than five different scheduled final maturity dates or shall there be more than five different “Term Credit Facilities”.</w:t>
      </w:r>
    </w:p>
    <w:p>
      <w:pPr>
        <w:spacing w:after="0" w:line="274" w:lineRule="exact"/>
        <w:rPr>
          <w:rFonts w:ascii="Arial" w:cs="Arial" w:eastAsia="Arial" w:hAnsi="Arial"/>
          <w:sz w:val="16"/>
          <w:szCs w:val="16"/>
          <w:color w:val="auto"/>
        </w:rPr>
      </w:pPr>
    </w:p>
    <w:p>
      <w:pPr>
        <w:ind w:left="1384" w:hanging="393"/>
        <w:spacing w:after="0"/>
        <w:tabs>
          <w:tab w:leader="none" w:pos="1384" w:val="left"/>
        </w:tabs>
        <w:numPr>
          <w:ilvl w:val="1"/>
          <w:numId w:val="107"/>
        </w:numPr>
        <w:rPr>
          <w:rFonts w:ascii="Arial" w:cs="Arial" w:eastAsia="Arial" w:hAnsi="Arial"/>
          <w:sz w:val="18"/>
          <w:szCs w:val="18"/>
          <w:color w:val="auto"/>
        </w:rPr>
      </w:pPr>
      <w:r>
        <w:rPr>
          <w:rFonts w:ascii="Arial" w:cs="Arial" w:eastAsia="Arial" w:hAnsi="Arial"/>
          <w:sz w:val="18"/>
          <w:szCs w:val="18"/>
          <w:i w:val="1"/>
          <w:iCs w:val="1"/>
          <w:color w:val="auto"/>
        </w:rPr>
        <w:t>Replacement Revolving Credit Commitments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60" w:firstLine="1428"/>
        <w:spacing w:after="0" w:line="263" w:lineRule="auto"/>
        <w:tabs>
          <w:tab w:leader="none" w:pos="1786" w:val="left"/>
        </w:tabs>
        <w:numPr>
          <w:ilvl w:val="2"/>
          <w:numId w:val="108"/>
        </w:numPr>
        <w:rPr>
          <w:rFonts w:ascii="Arial" w:cs="Arial" w:eastAsia="Arial" w:hAnsi="Arial"/>
          <w:sz w:val="18"/>
          <w:szCs w:val="18"/>
          <w:color w:val="auto"/>
        </w:rPr>
      </w:pPr>
      <w:r>
        <w:rPr>
          <w:rFonts w:ascii="Arial" w:cs="Arial" w:eastAsia="Arial" w:hAnsi="Arial"/>
          <w:sz w:val="18"/>
          <w:szCs w:val="18"/>
          <w:color w:val="FF0000"/>
          <w:strike w:val="1"/>
        </w:rPr>
        <w:t>The</w:t>
      </w:r>
      <w:r>
        <w:rPr>
          <w:rFonts w:ascii="Arial" w:cs="Arial" w:eastAsia="Arial" w:hAnsi="Arial"/>
          <w:sz w:val="18"/>
          <w:szCs w:val="18"/>
          <w:u w:val="single" w:color="auto"/>
          <w:color w:val="0000E1"/>
        </w:rPr>
        <w:t>Other than during the Basket Suspension Period, the</w:t>
      </w:r>
      <w:r>
        <w:rPr>
          <w:rFonts w:ascii="Arial" w:cs="Arial" w:eastAsia="Arial" w:hAnsi="Arial"/>
          <w:sz w:val="18"/>
          <w:szCs w:val="18"/>
          <w:color w:val="FF0000"/>
        </w:rPr>
        <w:t xml:space="preserve"> </w:t>
      </w:r>
      <w:r>
        <w:rPr>
          <w:rFonts w:ascii="Arial" w:cs="Arial" w:eastAsia="Arial" w:hAnsi="Arial"/>
          <w:sz w:val="18"/>
          <w:szCs w:val="18"/>
          <w:color w:val="000000"/>
        </w:rPr>
        <w:t>Borrower may by written notice to Administrative Agent elect to</w:t>
      </w:r>
      <w:r>
        <w:rPr>
          <w:rFonts w:ascii="Arial" w:cs="Arial" w:eastAsia="Arial" w:hAnsi="Arial"/>
          <w:sz w:val="18"/>
          <w:szCs w:val="18"/>
          <w:color w:val="FF0000"/>
        </w:rPr>
        <w:t xml:space="preserve"> </w:t>
      </w:r>
      <w:r>
        <w:rPr>
          <w:rFonts w:ascii="Arial" w:cs="Arial" w:eastAsia="Arial" w:hAnsi="Arial"/>
          <w:sz w:val="18"/>
          <w:szCs w:val="18"/>
          <w:color w:val="000000"/>
        </w:rPr>
        <w:t>request the establishment of one or more additional revolving facilities providing for revolving commitments (“</w:t>
      </w:r>
      <w:r>
        <w:rPr>
          <w:rFonts w:ascii="Arial" w:cs="Arial" w:eastAsia="Arial" w:hAnsi="Arial"/>
          <w:sz w:val="18"/>
          <w:szCs w:val="18"/>
          <w:i w:val="1"/>
          <w:iCs w:val="1"/>
          <w:color w:val="000000"/>
        </w:rPr>
        <w:t>Replacement Revolving Credit</w:t>
      </w:r>
      <w:r>
        <w:rPr>
          <w:rFonts w:ascii="Arial" w:cs="Arial" w:eastAsia="Arial" w:hAnsi="Arial"/>
          <w:sz w:val="18"/>
          <w:szCs w:val="18"/>
          <w:color w:val="000000"/>
        </w:rPr>
        <w:t xml:space="preserve"> </w:t>
      </w:r>
      <w:r>
        <w:rPr>
          <w:rFonts w:ascii="Arial" w:cs="Arial" w:eastAsia="Arial" w:hAnsi="Arial"/>
          <w:sz w:val="18"/>
          <w:szCs w:val="18"/>
          <w:i w:val="1"/>
          <w:iCs w:val="1"/>
          <w:color w:val="000000"/>
        </w:rPr>
        <w:t>Commitments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4809490</wp:posOffset>
            </wp:positionH>
            <wp:positionV relativeFrom="paragraph">
              <wp:posOffset>-2822575</wp:posOffset>
            </wp:positionV>
            <wp:extent cx="2857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6446520</wp:posOffset>
            </wp:positionH>
            <wp:positionV relativeFrom="paragraph">
              <wp:posOffset>-2471420</wp:posOffset>
            </wp:positionV>
            <wp:extent cx="596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-1725295</wp:posOffset>
            </wp:positionV>
            <wp:extent cx="2857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-1588135</wp:posOffset>
            </wp:positionV>
            <wp:extent cx="2857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1311275</wp:posOffset>
            </wp:positionH>
            <wp:positionV relativeFrom="paragraph">
              <wp:posOffset>-276860</wp:posOffset>
            </wp:positionV>
            <wp:extent cx="239141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94" w:name="page95"/>
    <w:bookmarkEnd w:id="94"/>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the revolving loans thereunder, “</w:t>
      </w:r>
      <w:r>
        <w:rPr>
          <w:rFonts w:ascii="Arial" w:cs="Arial" w:eastAsia="Arial" w:hAnsi="Arial"/>
          <w:sz w:val="17"/>
          <w:szCs w:val="17"/>
          <w:i w:val="1"/>
          <w:iCs w:val="1"/>
          <w:color w:val="auto"/>
        </w:rPr>
        <w:t>Replacement Revolving Loans</w:t>
      </w:r>
      <w:r>
        <w:rPr>
          <w:rFonts w:ascii="Arial" w:cs="Arial" w:eastAsia="Arial" w:hAnsi="Arial"/>
          <w:sz w:val="17"/>
          <w:szCs w:val="17"/>
          <w:color w:val="auto"/>
        </w:rPr>
        <w:t xml:space="preserve">”) which Refinances one or more Classes of Revolving Credit Commitments and/or Term Loans under this Agreement; </w:t>
      </w:r>
      <w:r>
        <w:rPr>
          <w:rFonts w:ascii="Arial" w:cs="Arial" w:eastAsia="Arial" w:hAnsi="Arial"/>
          <w:sz w:val="17"/>
          <w:szCs w:val="17"/>
          <w:i w:val="1"/>
          <w:iCs w:val="1"/>
          <w:color w:val="auto"/>
        </w:rPr>
        <w:t>provided</w:t>
      </w:r>
      <w:r>
        <w:rPr>
          <w:rFonts w:ascii="Arial" w:cs="Arial" w:eastAsia="Arial" w:hAnsi="Arial"/>
          <w:sz w:val="17"/>
          <w:szCs w:val="17"/>
          <w:color w:val="FF0000"/>
          <w:strike w:val="1"/>
        </w:rPr>
        <w:t>,</w:t>
      </w:r>
      <w:r>
        <w:rPr>
          <w:rFonts w:ascii="Arial" w:cs="Arial" w:eastAsia="Arial" w:hAnsi="Arial"/>
          <w:sz w:val="17"/>
          <w:szCs w:val="17"/>
          <w:color w:val="auto"/>
        </w:rPr>
        <w:t xml:space="preserve"> that any such Replacement Revolving Credit Commitments may not be in an aggregate principal amount greater than the Revolving Credit Commitments and/or Term Loans being Refinanced plus unpaid accrued interest, fees, expenses and premium (if any) thereon and underwriting discounts, fees, commissions and expenses in connection with the Replacement Revolving Credit Commitments and/or Replacement Revolving Loans. Each such notice shall specify the date (each, a “</w:t>
      </w:r>
      <w:r>
        <w:rPr>
          <w:rFonts w:ascii="Arial" w:cs="Arial" w:eastAsia="Arial" w:hAnsi="Arial"/>
          <w:sz w:val="17"/>
          <w:szCs w:val="17"/>
          <w:i w:val="1"/>
          <w:iCs w:val="1"/>
          <w:color w:val="auto"/>
        </w:rPr>
        <w:t>Replacement Revolving Credit Effective Date</w:t>
      </w:r>
      <w:r>
        <w:rPr>
          <w:rFonts w:ascii="Arial" w:cs="Arial" w:eastAsia="Arial" w:hAnsi="Arial"/>
          <w:sz w:val="17"/>
          <w:szCs w:val="17"/>
          <w:color w:val="auto"/>
        </w:rPr>
        <w:t xml:space="preserve">”) on which the Borrower proposes that the Replacement Revolving Credit Commitments shall become effective, which shall be a date not less than three </w:t>
      </w:r>
      <w:r>
        <w:rPr>
          <w:rFonts w:ascii="Arial" w:cs="Arial" w:eastAsia="Arial" w:hAnsi="Arial"/>
          <w:sz w:val="17"/>
          <w:szCs w:val="17"/>
          <w:u w:val="single" w:color="auto"/>
          <w:color w:val="0000E1"/>
        </w:rPr>
        <w:t>(3)</w:t>
      </w:r>
      <w:r>
        <w:rPr>
          <w:rFonts w:ascii="Arial" w:cs="Arial" w:eastAsia="Arial" w:hAnsi="Arial"/>
          <w:sz w:val="17"/>
          <w:szCs w:val="17"/>
          <w:color w:val="auto"/>
        </w:rPr>
        <w:t xml:space="preserve"> Business Days after the date on which such notice is delivered to 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5843905</wp:posOffset>
            </wp:positionH>
            <wp:positionV relativeFrom="paragraph">
              <wp:posOffset>-143510</wp:posOffset>
            </wp:positionV>
            <wp:extent cx="13716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49" w:lineRule="exact"/>
        <w:rPr>
          <w:sz w:val="20"/>
          <w:szCs w:val="20"/>
          <w:color w:val="auto"/>
        </w:rPr>
      </w:pPr>
    </w:p>
    <w:p>
      <w:pPr>
        <w:ind w:left="980" w:right="20" w:firstLine="910"/>
        <w:spacing w:after="0" w:line="263" w:lineRule="auto"/>
        <w:tabs>
          <w:tab w:leader="none" w:pos="231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no Replacement Revolving Credit Commitment shall have a scheduled termination date prior to the Revolving Credit Termination Date for the Revolving Credit Commitments being Refinanced or the maturity date for such Term Loans being Refinanced, as the case may be;</w:t>
      </w:r>
    </w:p>
    <w:p>
      <w:pPr>
        <w:spacing w:after="0" w:line="75" w:lineRule="exact"/>
        <w:rPr>
          <w:rFonts w:ascii="Arial" w:cs="Arial" w:eastAsia="Arial" w:hAnsi="Arial"/>
          <w:sz w:val="18"/>
          <w:szCs w:val="18"/>
          <w:color w:val="auto"/>
        </w:rPr>
      </w:pPr>
    </w:p>
    <w:p>
      <w:pPr>
        <w:ind w:left="980" w:right="60" w:firstLine="910"/>
        <w:spacing w:after="0" w:line="263" w:lineRule="auto"/>
        <w:tabs>
          <w:tab w:leader="none" w:pos="230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Replacement Revolving Credit Commitments shall have such interest rates, fees, discounts, premiums, optional prepayments and redemption terms as may be agreed among the Borrower and the Lenders providing such Replacement Revolving Credit Commitments;</w:t>
      </w:r>
    </w:p>
    <w:p>
      <w:pPr>
        <w:spacing w:after="0" w:line="75" w:lineRule="exact"/>
        <w:rPr>
          <w:rFonts w:ascii="Arial" w:cs="Arial" w:eastAsia="Arial" w:hAnsi="Arial"/>
          <w:sz w:val="18"/>
          <w:szCs w:val="18"/>
          <w:color w:val="auto"/>
        </w:rPr>
      </w:pPr>
    </w:p>
    <w:p>
      <w:pPr>
        <w:ind w:left="980" w:right="140" w:firstLine="910"/>
        <w:spacing w:after="0" w:line="293" w:lineRule="auto"/>
        <w:tabs>
          <w:tab w:leader="none" w:pos="2302"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other than as provided in </w:t>
      </w:r>
      <w:r>
        <w:rPr>
          <w:rFonts w:ascii="Arial" w:cs="Arial" w:eastAsia="Arial" w:hAnsi="Arial"/>
          <w:sz w:val="16"/>
          <w:szCs w:val="16"/>
          <w:color w:val="FF0000"/>
          <w:strike w:val="1"/>
        </w:rPr>
        <w:t>Section 1.20(b)(i)</w:t>
      </w:r>
      <w:r>
        <w:rPr>
          <w:rFonts w:ascii="Arial" w:cs="Arial" w:eastAsia="Arial" w:hAnsi="Arial"/>
          <w:sz w:val="16"/>
          <w:szCs w:val="16"/>
          <w:u w:val="single" w:color="auto"/>
          <w:color w:val="0000E1"/>
        </w:rPr>
        <w:t>clause</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applicable to such Replacement Revolving Credit Commitments shall have terms and conditions agreed to by the Borrower and the lenders providing such Replacement Revolving Credit Commitments, but shall be substantially the same as (or, taken as a whole, no more favorable to, the lenders providing such Replacement Revolving Credit Commitments than) those applicable to the Class of Revolving Credit Commitments and/or Term Loans being so replaced, except to the extent such covenants and other terms apply solely to any period after the final maturity of the Revolving Credit Commitments and/or Term Loans being Refinanced or such terms are on current market terms for such type of indebtedness; and</w:t>
      </w:r>
    </w:p>
    <w:p>
      <w:pPr>
        <w:spacing w:after="0" w:line="56" w:lineRule="exact"/>
        <w:rPr>
          <w:rFonts w:ascii="Arial" w:cs="Arial" w:eastAsia="Arial" w:hAnsi="Arial"/>
          <w:sz w:val="16"/>
          <w:szCs w:val="16"/>
          <w:color w:val="auto"/>
        </w:rPr>
      </w:pPr>
    </w:p>
    <w:p>
      <w:pPr>
        <w:ind w:left="980" w:firstLine="910"/>
        <w:spacing w:after="0" w:line="270" w:lineRule="auto"/>
        <w:tabs>
          <w:tab w:leader="none" w:pos="2312"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the Loan Parties and the Collateral Agent shall (i) enter into such amendments to the Collateral Documents as may be reasonably requested by the Collateral Agent (which shall not require any consent from any Lender) in order to ensure that the Replacement Revolving Credit Commitments and the Replacement Revolving Loans are provided with the benefit of the applicable Collateral Documents on a pari passu basis with the other Obligations (or, to the extent applicable, the Loan Parties and the Collateral Agent (to the extent that it is acting in the capacity of collateral agent with respect to such Replacement Revolving Loans) will enter into junior lien collateral documents without the consent of the Lenders so long as the Administrative Agent has been provided reasonably requested assurances that such documentation is not more restrictive than the Collateral Documents in any material respect) and (ii) deliver such other documents and certificates as may be reasonably requested by the Collateral Agent (including an intercreditor agreement reasonably acceptable to the Administrative Agent to the extent reasonably necessary).</w:t>
      </w:r>
    </w:p>
    <w:p>
      <w:pPr>
        <w:spacing w:after="0" w:line="180" w:lineRule="exact"/>
        <w:rPr>
          <w:rFonts w:ascii="Arial" w:cs="Arial" w:eastAsia="Arial" w:hAnsi="Arial"/>
          <w:sz w:val="17"/>
          <w:szCs w:val="17"/>
          <w:color w:val="auto"/>
        </w:rPr>
      </w:pPr>
    </w:p>
    <w:p>
      <w:pPr>
        <w:ind w:right="20" w:firstLine="1428"/>
        <w:spacing w:after="0" w:line="263" w:lineRule="auto"/>
        <w:tabs>
          <w:tab w:leader="none" w:pos="182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may approach any Lender or any other Person that would be an Eligible Assignee to provide all or a portion of the Replacement Revolving Credit Commitments (a “</w:t>
      </w:r>
      <w:r>
        <w:rPr>
          <w:rFonts w:ascii="Arial" w:cs="Arial" w:eastAsia="Arial" w:hAnsi="Arial"/>
          <w:sz w:val="18"/>
          <w:szCs w:val="18"/>
          <w:i w:val="1"/>
          <w:iCs w:val="1"/>
          <w:color w:val="auto"/>
        </w:rPr>
        <w:t>Replacement Revolving Lender</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Lender offered or approached to provide all or a portion of the Replacement Revolving Credit Commitments may elect or decline, in its sole discretion,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-2540000</wp:posOffset>
            </wp:positionV>
            <wp:extent cx="3175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95" w:name="page96"/>
    <w:bookmarkEnd w:id="95"/>
    <w:p>
      <w:pPr>
        <w:ind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provide a Replacement Revolving Credit Commitment and the selection of Replacement Revolving Lenders shall be subject to any consent that would be required pursuant to </w:t>
      </w:r>
      <w:r>
        <w:rPr>
          <w:rFonts w:ascii="Arial" w:cs="Arial" w:eastAsia="Arial" w:hAnsi="Arial"/>
          <w:sz w:val="16"/>
          <w:szCs w:val="16"/>
          <w:u w:val="single" w:color="auto"/>
          <w:color w:val="auto"/>
        </w:rPr>
        <w:t>Section 13.12(</w:t>
      </w:r>
      <w:r>
        <w:rPr>
          <w:rFonts w:ascii="Arial" w:cs="Arial" w:eastAsia="Arial" w:hAnsi="Arial"/>
          <w:sz w:val="16"/>
          <w:szCs w:val="16"/>
          <w:color w:val="FF0000"/>
          <w:strike w:val="1"/>
        </w:rPr>
        <w:t>a</w:t>
      </w:r>
      <w:r>
        <w:rPr>
          <w:rFonts w:ascii="Arial" w:cs="Arial" w:eastAsia="Arial" w:hAnsi="Arial"/>
          <w:sz w:val="16"/>
          <w:szCs w:val="16"/>
          <w:u w:val="single" w:color="auto"/>
          <w:color w:val="0000E1"/>
        </w:rPr>
        <w:t>b</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Any Replacement Revolving Credit Commitment made on any Replacement Revolving Credit Effective Date shall be designated a series (a “</w:t>
      </w:r>
      <w:r>
        <w:rPr>
          <w:rFonts w:ascii="Arial" w:cs="Arial" w:eastAsia="Arial" w:hAnsi="Arial"/>
          <w:sz w:val="16"/>
          <w:szCs w:val="16"/>
          <w:i w:val="1"/>
          <w:iCs w:val="1"/>
          <w:color w:val="auto"/>
        </w:rPr>
        <w:t>Replacement Revolving Commitment Series</w:t>
      </w:r>
      <w:r>
        <w:rPr>
          <w:rFonts w:ascii="Arial" w:cs="Arial" w:eastAsia="Arial" w:hAnsi="Arial"/>
          <w:sz w:val="16"/>
          <w:szCs w:val="16"/>
          <w:color w:val="auto"/>
        </w:rPr>
        <w:t xml:space="preserve">”) of Replacement Revolving Credit Commitments for all purposes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Replacement Revolving Credit Commitments may, to the extent provided in the applicable Replacement Revolving Credit Amendment, be designated as an increase in any previously established Replacement Revolving Commitment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-427990</wp:posOffset>
            </wp:positionV>
            <wp:extent cx="514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1" w:lineRule="exact"/>
        <w:rPr>
          <w:sz w:val="20"/>
          <w:szCs w:val="20"/>
          <w:color w:val="auto"/>
        </w:rPr>
      </w:pPr>
    </w:p>
    <w:p>
      <w:pPr>
        <w:ind w:firstLine="1428"/>
        <w:spacing w:after="0" w:line="268" w:lineRule="auto"/>
        <w:tabs>
          <w:tab w:leader="none" w:pos="1879"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Replacement Revolving Credit Commitments shall be established pursuant to an amendment to this Agreement among Holdings, the Borrower, the Replacement Revolving Lenders providing such Replacement Revolving Loans and any Replacement L/C Issuer and/or Replacement Swing Line Lender thereunder (a “</w:t>
      </w:r>
      <w:r>
        <w:rPr>
          <w:rFonts w:ascii="Arial" w:cs="Arial" w:eastAsia="Arial" w:hAnsi="Arial"/>
          <w:sz w:val="17"/>
          <w:szCs w:val="17"/>
          <w:i w:val="1"/>
          <w:iCs w:val="1"/>
          <w:color w:val="auto"/>
        </w:rPr>
        <w:t>Replacement Revolving Credit Amendment</w:t>
      </w:r>
      <w:r>
        <w:rPr>
          <w:rFonts w:ascii="Arial" w:cs="Arial" w:eastAsia="Arial" w:hAnsi="Arial"/>
          <w:sz w:val="17"/>
          <w:szCs w:val="17"/>
          <w:color w:val="auto"/>
        </w:rPr>
        <w:t>”) which shall be consistent with the provisions set forth in paragraph (i) above. Each Replacement Revolving Credit Amendment shall be binding on the Lenders, the Administrative Agent, the Loan Parties party thereto and the other parties hereto. Each of the Administrative Agent and the Collateral Agent shall be permitted, and each is hereby authorized to enter into such amendments with the Borrower to effect the foregoing. Any Replacement Revolving Credit Commitment (and the Loans made thereunder) made by a Replacement Revolving Lender pursuant to a Replacement Revolving Credit Amendment shall be deemed a “Revolving Credit Commitment” and “Revolving Loan,” as applicable, for all purposes of this Agreement and each Lender with a Replacement Revolving Loan shall become a Lender with respect to such Replacement Revolving Loans and all matters relating thereto. Notwithstanding anything to the contrary herein, at no time shall there be Revolving Loans or Revolving Credit Commitments (including Extended Revolving Loans, Extended Revolving Credit Commitments, Replacement Revolving Loans, Replacement Revolving Credit Commitments, New Revolving Loans and New Revolving Credit Commitments) which have more than five different scheduled final maturity dates or shall there be more than five different “Revolving Credit Facilities.”</w:t>
      </w:r>
    </w:p>
    <w:p>
      <w:pPr>
        <w:spacing w:after="0" w:line="186" w:lineRule="exact"/>
        <w:rPr>
          <w:rFonts w:ascii="Arial" w:cs="Arial" w:eastAsia="Arial" w:hAnsi="Arial"/>
          <w:sz w:val="17"/>
          <w:szCs w:val="17"/>
          <w:color w:val="auto"/>
        </w:rPr>
      </w:pPr>
    </w:p>
    <w:p>
      <w:pPr>
        <w:ind w:firstLine="1428"/>
        <w:spacing w:after="0" w:line="269" w:lineRule="auto"/>
        <w:tabs>
          <w:tab w:leader="none" w:pos="187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On any Replacement Revolving Credit Effective Date, subject to the satisfaction of the foregoing terms and conditions, each of the Replacement Revolving Lenders with Replacement Revolving Credit Commitments of the same Class shall purchase from each of the other Lenders with Replacement Revolving Credit Commitments of such Class, at the principal amount thereof and in the applicable currencies, such interests in the Revolving Loans under such Replacement Revolving Credit Commitments outstanding immediately prior to such Refinancing as shall be necessary in order that, after giving effect to all such assignments and purchases, the Replacement Revolving Loans of such Class will be held by Replacement Revolving Lenders thereunder ratably in accordance with their Replacement Revolving Credit Percentages. Subject to the provisions of </w:t>
      </w:r>
      <w:r>
        <w:rPr>
          <w:rFonts w:ascii="Arial" w:cs="Arial" w:eastAsia="Arial" w:hAnsi="Arial"/>
          <w:sz w:val="17"/>
          <w:szCs w:val="17"/>
          <w:u w:val="single" w:color="auto"/>
          <w:color w:val="auto"/>
        </w:rPr>
        <w:t>Section 1.3(h)</w:t>
      </w:r>
      <w:r>
        <w:rPr>
          <w:rFonts w:ascii="Arial" w:cs="Arial" w:eastAsia="Arial" w:hAnsi="Arial"/>
          <w:sz w:val="17"/>
          <w:szCs w:val="17"/>
          <w:color w:val="auto"/>
        </w:rPr>
        <w:t xml:space="preserve"> to the extent relating to Letters of Credit which mature or expire after a maturity date when there exists Revolving Credit Commitments with a longer maturity date, all Letters of Credit shall be participated on a pro rata basis by all Lenders with Revolving Credit Commitments in accordance with their percentage of the Revolving Credit Commitments (and except as provided in </w:t>
      </w:r>
      <w:r>
        <w:rPr>
          <w:rFonts w:ascii="Arial" w:cs="Arial" w:eastAsia="Arial" w:hAnsi="Arial"/>
          <w:sz w:val="17"/>
          <w:szCs w:val="17"/>
          <w:u w:val="single" w:color="auto"/>
          <w:color w:val="auto"/>
        </w:rPr>
        <w:t>Section 1.3(h)</w:t>
      </w:r>
      <w:r>
        <w:rPr>
          <w:rFonts w:ascii="Arial" w:cs="Arial" w:eastAsia="Arial" w:hAnsi="Arial"/>
          <w:sz w:val="17"/>
          <w:szCs w:val="17"/>
          <w:color w:val="auto"/>
        </w:rPr>
        <w:t>, without giving effect to changes thereto on an earlier maturity date with respect to Letters of Credit theretofore incurred or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-2684780</wp:posOffset>
            </wp:positionV>
            <wp:extent cx="2857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i w:val="1"/>
          <w:iCs w:val="1"/>
          <w:color w:val="auto"/>
        </w:rPr>
        <w:t>Certain Permitted Term Loan Repurchases.</w:t>
      </w:r>
      <w:r>
        <w:rPr>
          <w:rFonts w:ascii="Arial" w:cs="Arial" w:eastAsia="Arial" w:hAnsi="Arial"/>
          <w:sz w:val="18"/>
          <w:szCs w:val="18"/>
          <w:color w:val="auto"/>
        </w:rPr>
        <w:t xml:space="preserve"> Notwithstanding anything to the contrary contained in this Agreement, </w:t>
      </w:r>
      <w:r>
        <w:rPr>
          <w:rFonts w:ascii="Arial" w:cs="Arial" w:eastAsia="Arial" w:hAnsi="Arial"/>
          <w:sz w:val="18"/>
          <w:szCs w:val="18"/>
          <w:u w:val="single" w:color="auto"/>
          <w:color w:val="0000E1"/>
        </w:rPr>
        <w:t>other than</w:t>
      </w:r>
      <w:r>
        <w:rPr>
          <w:rFonts w:ascii="Arial" w:cs="Arial" w:eastAsia="Arial" w:hAnsi="Arial"/>
          <w:sz w:val="18"/>
          <w:szCs w:val="18"/>
          <w:color w:val="auto"/>
        </w:rPr>
        <w:t xml:space="preserve"> </w:t>
      </w:r>
      <w:r>
        <w:rPr>
          <w:rFonts w:ascii="Arial" w:cs="Arial" w:eastAsia="Arial" w:hAnsi="Arial"/>
          <w:sz w:val="18"/>
          <w:szCs w:val="18"/>
          <w:u w:val="single" w:color="auto"/>
          <w:color w:val="0000E1"/>
        </w:rPr>
        <w:t>during the Basket Suspension Period,</w:t>
      </w:r>
      <w:r>
        <w:rPr>
          <w:rFonts w:ascii="Arial" w:cs="Arial" w:eastAsia="Arial" w:hAnsi="Arial"/>
          <w:sz w:val="18"/>
          <w:szCs w:val="18"/>
          <w:color w:val="0000E1"/>
        </w:rPr>
        <w:t xml:space="preserve"> </w:t>
      </w:r>
      <w:r>
        <w:rPr>
          <w:rFonts w:ascii="Arial" w:cs="Arial" w:eastAsia="Arial" w:hAnsi="Arial"/>
          <w:sz w:val="18"/>
          <w:szCs w:val="18"/>
          <w:color w:val="000000"/>
        </w:rPr>
        <w:t>so long as (x) no Default or Event of Default has occurred and is continuing or would result therefrom and (y) the</w:t>
      </w:r>
      <w:r>
        <w:rPr>
          <w:rFonts w:ascii="Arial" w:cs="Arial" w:eastAsia="Arial" w:hAnsi="Arial"/>
          <w:sz w:val="18"/>
          <w:szCs w:val="18"/>
          <w:color w:val="0000E1"/>
        </w:rPr>
        <w:t xml:space="preserve"> </w:t>
      </w:r>
      <w:r>
        <w:rPr>
          <w:rFonts w:ascii="Arial" w:cs="Arial" w:eastAsia="Arial" w:hAnsi="Arial"/>
          <w:sz w:val="18"/>
          <w:szCs w:val="18"/>
          <w:color w:val="000000"/>
        </w:rPr>
        <w:t xml:space="preserve">Borrower shall be in compliance with the financial covenants set forth in </w:t>
      </w:r>
      <w:r>
        <w:rPr>
          <w:rFonts w:ascii="Arial" w:cs="Arial" w:eastAsia="Arial" w:hAnsi="Arial"/>
          <w:sz w:val="18"/>
          <w:szCs w:val="18"/>
          <w:u w:val="single" w:color="auto"/>
          <w:color w:val="000000"/>
        </w:rPr>
        <w:t>Section 8.22</w:t>
      </w:r>
      <w:r>
        <w:rPr>
          <w:rFonts w:ascii="Arial" w:cs="Arial" w:eastAsia="Arial" w:hAnsi="Arial"/>
          <w:sz w:val="18"/>
          <w:szCs w:val="18"/>
          <w:color w:val="000000"/>
        </w:rPr>
        <w:t xml:space="preserve"> </w:t>
      </w:r>
      <w:r>
        <w:rPr>
          <w:rFonts w:ascii="Arial" w:cs="Arial" w:eastAsia="Arial" w:hAnsi="Arial"/>
          <w:sz w:val="18"/>
          <w:szCs w:val="18"/>
          <w:color w:val="FF0000"/>
          <w:strike w:val="1"/>
        </w:rPr>
        <w:t>hereof</w:t>
      </w:r>
      <w:r>
        <w:rPr>
          <w:rFonts w:ascii="Arial" w:cs="Arial" w:eastAsia="Arial" w:hAnsi="Arial"/>
          <w:sz w:val="18"/>
          <w:szCs w:val="18"/>
          <w:color w:val="000000"/>
        </w:rPr>
        <w:t xml:space="preserve"> on a Pro Forma Basis </w:t>
      </w:r>
      <w:r>
        <w:rPr>
          <w:rFonts w:ascii="Arial" w:cs="Arial" w:eastAsia="Arial" w:hAnsi="Arial"/>
          <w:sz w:val="18"/>
          <w:szCs w:val="18"/>
          <w:color w:val="FF0000"/>
          <w:strike w:val="1"/>
        </w:rPr>
        <w:t>(in each case under this</w:t>
      </w:r>
      <w:r>
        <w:rPr>
          <w:rFonts w:ascii="Arial" w:cs="Arial" w:eastAsia="Arial" w:hAnsi="Arial"/>
          <w:sz w:val="18"/>
          <w:szCs w:val="18"/>
          <w:color w:val="000000"/>
        </w:rPr>
        <w:t xml:space="preserve"> </w:t>
      </w:r>
      <w:r>
        <w:rPr>
          <w:rFonts w:ascii="Arial" w:cs="Arial" w:eastAsia="Arial" w:hAnsi="Arial"/>
          <w:sz w:val="18"/>
          <w:szCs w:val="18"/>
          <w:u w:val="single" w:color="auto"/>
          <w:color w:val="FF0000"/>
          <w:strike w:val="1"/>
        </w:rPr>
        <w:t>clause (ii)</w:t>
      </w:r>
      <w:r>
        <w:rPr>
          <w:rFonts w:ascii="Arial" w:cs="Arial" w:eastAsia="Arial" w:hAnsi="Arial"/>
          <w:sz w:val="18"/>
          <w:szCs w:val="18"/>
          <w:color w:val="FF0000"/>
          <w:strike w:val="1"/>
        </w:rPr>
        <w:t>,</w:t>
      </w:r>
      <w:r>
        <w:rPr>
          <w:rFonts w:ascii="Arial" w:cs="Arial" w:eastAsia="Arial" w:hAnsi="Arial"/>
          <w:sz w:val="18"/>
          <w:szCs w:val="18"/>
          <w:color w:val="000000"/>
        </w:rPr>
        <w:t xml:space="preserve"> </w:t>
      </w:r>
      <w:r>
        <w:rPr>
          <w:rFonts w:ascii="Arial" w:cs="Arial" w:eastAsia="Arial" w:hAnsi="Arial"/>
          <w:sz w:val="18"/>
          <w:szCs w:val="18"/>
          <w:color w:val="FF0000"/>
          <w:strike w:val="1"/>
        </w:rPr>
        <w:t>after giving effect to any related waivers or amendments obtained in connection therewith)</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2950210</wp:posOffset>
            </wp:positionH>
            <wp:positionV relativeFrom="paragraph">
              <wp:posOffset>-488950</wp:posOffset>
            </wp:positionV>
            <wp:extent cx="2857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-412115</wp:posOffset>
            </wp:positionV>
            <wp:extent cx="46291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171450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96" w:name="page97"/>
    <w:bookmarkEnd w:id="96"/>
    <w:p>
      <w:pPr>
        <w:ind w:left="4"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Holdings or any of its Restricted Subsidiaries (the foregoing, the “</w:t>
      </w:r>
      <w:r>
        <w:rPr>
          <w:rFonts w:ascii="Arial" w:cs="Arial" w:eastAsia="Arial" w:hAnsi="Arial"/>
          <w:sz w:val="18"/>
          <w:szCs w:val="18"/>
          <w:i w:val="1"/>
          <w:iCs w:val="1"/>
          <w:color w:val="auto"/>
        </w:rPr>
        <w:t>Buyback Parties</w:t>
      </w:r>
      <w:r>
        <w:rPr>
          <w:rFonts w:ascii="Arial" w:cs="Arial" w:eastAsia="Arial" w:hAnsi="Arial"/>
          <w:sz w:val="18"/>
          <w:szCs w:val="18"/>
          <w:color w:val="auto"/>
        </w:rPr>
        <w:t>” and each, a “</w:t>
      </w:r>
      <w:r>
        <w:rPr>
          <w:rFonts w:ascii="Arial" w:cs="Arial" w:eastAsia="Arial" w:hAnsi="Arial"/>
          <w:sz w:val="18"/>
          <w:szCs w:val="18"/>
          <w:i w:val="1"/>
          <w:iCs w:val="1"/>
          <w:color w:val="auto"/>
        </w:rPr>
        <w:t>Buyback Party</w:t>
      </w:r>
      <w:r>
        <w:rPr>
          <w:rFonts w:ascii="Arial" w:cs="Arial" w:eastAsia="Arial" w:hAnsi="Arial"/>
          <w:sz w:val="18"/>
          <w:szCs w:val="18"/>
          <w:color w:val="auto"/>
        </w:rPr>
        <w:t>”) may repurchase outstanding Term Loans on the following basis:</w:t>
      </w:r>
    </w:p>
    <w:p>
      <w:pPr>
        <w:spacing w:after="0" w:line="170" w:lineRule="exact"/>
        <w:rPr>
          <w:sz w:val="20"/>
          <w:szCs w:val="20"/>
          <w:color w:val="auto"/>
        </w:rPr>
      </w:pPr>
    </w:p>
    <w:p>
      <w:pPr>
        <w:ind w:left="4" w:right="180" w:firstLine="987"/>
        <w:spacing w:after="0" w:line="277" w:lineRule="auto"/>
        <w:tabs>
          <w:tab w:leader="none" w:pos="136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 Buyback Party may conduct one or more modified Dutch auctions (each, an “</w:t>
      </w:r>
      <w:r>
        <w:rPr>
          <w:rFonts w:ascii="Arial" w:cs="Arial" w:eastAsia="Arial" w:hAnsi="Arial"/>
          <w:sz w:val="18"/>
          <w:szCs w:val="18"/>
          <w:i w:val="1"/>
          <w:iCs w:val="1"/>
          <w:color w:val="auto"/>
        </w:rPr>
        <w:t>Auction</w:t>
      </w:r>
      <w:r>
        <w:rPr>
          <w:rFonts w:ascii="Arial" w:cs="Arial" w:eastAsia="Arial" w:hAnsi="Arial"/>
          <w:sz w:val="18"/>
          <w:szCs w:val="18"/>
          <w:color w:val="auto"/>
        </w:rPr>
        <w:t>”) to repurchase a portion of Term Loans of Lenders in accordance with the auction procedures established for each such purchase.</w:t>
      </w:r>
    </w:p>
    <w:p>
      <w:pPr>
        <w:spacing w:after="0" w:line="170" w:lineRule="exact"/>
        <w:rPr>
          <w:rFonts w:ascii="Arial" w:cs="Arial" w:eastAsia="Arial" w:hAnsi="Arial"/>
          <w:sz w:val="18"/>
          <w:szCs w:val="18"/>
          <w:color w:val="auto"/>
        </w:rPr>
      </w:pPr>
    </w:p>
    <w:p>
      <w:pPr>
        <w:ind w:left="4" w:right="60" w:firstLine="987"/>
        <w:spacing w:after="0" w:line="255" w:lineRule="auto"/>
        <w:tabs>
          <w:tab w:leader="none" w:pos="138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With respect to all repurchases made by a Buyback Party pursuant to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(A) such Buyback Party shall pay to the applicable assigning Lender all accrued and unpaid interest, if any, on the repurchased Term Loans through and including the date of repurchase of such Term Loans at the time of such purchase, (B) no Buyback Party shall be permitted to use the proceeds of a Borrowing of the Revolving Loans for the purpose of such repurchase and (C) such repurchases shall not be deemed to be voluntary prepayments pursuant to </w:t>
      </w:r>
      <w:r>
        <w:rPr>
          <w:rFonts w:ascii="Arial" w:cs="Arial" w:eastAsia="Arial" w:hAnsi="Arial"/>
          <w:sz w:val="18"/>
          <w:szCs w:val="18"/>
          <w:u w:val="single" w:color="auto"/>
          <w:color w:val="auto"/>
        </w:rPr>
        <w:t>Section 1.9(a)</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except that the principal amount of any Term Loans so cancelled shall be applied as directed by the Borrower (or, in the absence of such direction, in direct order of maturity).</w:t>
      </w:r>
    </w:p>
    <w:p>
      <w:pPr>
        <w:spacing w:after="0" w:line="192" w:lineRule="exact"/>
        <w:rPr>
          <w:rFonts w:ascii="Arial" w:cs="Arial" w:eastAsia="Arial" w:hAnsi="Arial"/>
          <w:sz w:val="18"/>
          <w:szCs w:val="18"/>
          <w:color w:val="auto"/>
        </w:rPr>
      </w:pPr>
    </w:p>
    <w:p>
      <w:pPr>
        <w:ind w:left="4" w:right="120" w:firstLine="987"/>
        <w:spacing w:after="0" w:line="284" w:lineRule="auto"/>
        <w:tabs>
          <w:tab w:leader="none" w:pos="1375" w:val="left"/>
        </w:tabs>
        <w:numPr>
          <w:ilvl w:val="1"/>
          <w:numId w:val="112"/>
        </w:numPr>
        <w:rPr>
          <w:rFonts w:ascii="Arial" w:cs="Arial" w:eastAsia="Arial" w:hAnsi="Arial"/>
          <w:sz w:val="16"/>
          <w:szCs w:val="16"/>
          <w:color w:val="auto"/>
        </w:rPr>
      </w:pPr>
      <w:r>
        <w:rPr>
          <w:rFonts w:ascii="Arial" w:cs="Arial" w:eastAsia="Arial" w:hAnsi="Arial"/>
          <w:sz w:val="16"/>
          <w:szCs w:val="16"/>
          <w:color w:val="auto"/>
        </w:rPr>
        <w:t xml:space="preserve">Following repurchase in an Auction pursuant to this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by (x) the Borrower, the Term Loans so repurchased shall, without further action by any Person, be deemed cancelled for all purposes and no longer outstanding (and may not be resold by any Buyback Party), for all purposes of this Agreement and all other Loan Documents and (y) Holdings or any of its Restricted Subsidiaries, shall be contributed (or deemed contributed) to the Borrower for purposes of cancellation and may in return receive Equity Interests of the Borrower (to the extent not constituting a Change of Control). Any Term Loans so contributed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shall, without further action by any Person, be deemed cancelled for all purposes and no longer outstanding (and may not be resold by the Borrower), for all purposes of this Agreement and all other Loan Documents, including, but not limited to (i) the making of, or the application of, any payments to the Lenders under this Agreement or any other Loan Document,</w:t>
      </w:r>
    </w:p>
    <w:p>
      <w:pPr>
        <w:spacing w:after="0" w:line="2" w:lineRule="exact"/>
        <w:rPr>
          <w:rFonts w:ascii="Arial" w:cs="Arial" w:eastAsia="Arial" w:hAnsi="Arial"/>
          <w:sz w:val="16"/>
          <w:szCs w:val="16"/>
          <w:color w:val="auto"/>
        </w:rPr>
      </w:pPr>
    </w:p>
    <w:p>
      <w:pPr>
        <w:ind w:left="4" w:right="40" w:hanging="4"/>
        <w:spacing w:after="0" w:line="292" w:lineRule="auto"/>
        <w:tabs>
          <w:tab w:leader="none" w:pos="26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the making of any request, demand, authorization, direction, notice, consent or waiver under this Agreement or any other Loan Document or (iii) the determination of Required Lenders of one or more pertinent Classes, or for any similar or related purpose, under this Agreement or any other Loan Document, in each case in its capacity as a Lender. In connection with any Term Loans repurchased and cancelled pursuant to this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the Administrative Agent is authorized to make appropriate entries in the Register to reflect any such cancellation. Any payment made by any Buyback Party in connection with a repurchase permitted by this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shall not be subject to the provisions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ind w:left="4" w:firstLine="987"/>
        <w:spacing w:after="0" w:line="283" w:lineRule="auto"/>
        <w:tabs>
          <w:tab w:leader="none" w:pos="1385"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Each Lender that sells its Term Loans pursuant to this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acknowledges and agrees that (i) the Buyback Parties may come into possession of additional information regarding the Loans or the Loan Parties at any time after a repurchase has been consummated pursuant to an Auction hereunder that was not known to such Lender or the Buyback Parties at the time such repurchase was consummated and that, when taken together with information that was known to the Buyback Parties at the time such repurchase was consummated, may be information that would have been material to such Lender’s decision to enter into an assignment of such Term Loans hereunder (“</w:t>
      </w:r>
      <w:r>
        <w:rPr>
          <w:rFonts w:ascii="Arial" w:cs="Arial" w:eastAsia="Arial" w:hAnsi="Arial"/>
          <w:sz w:val="16"/>
          <w:szCs w:val="16"/>
          <w:i w:val="1"/>
          <w:iCs w:val="1"/>
          <w:color w:val="auto"/>
        </w:rPr>
        <w:t>Excluded Information</w:t>
      </w:r>
      <w:r>
        <w:rPr>
          <w:rFonts w:ascii="Arial" w:cs="Arial" w:eastAsia="Arial" w:hAnsi="Arial"/>
          <w:sz w:val="16"/>
          <w:szCs w:val="16"/>
          <w:color w:val="auto"/>
        </w:rPr>
        <w:t xml:space="preserve">”), (ii) such Lender will independently make its own analysis and determination to enter into an assignment of its Loans and to consummate the transactions contemplated by an Auction notwithstanding such Lender’s lack of knowledge of Excluded Information and (iii) none of the Buyback Parties or any other Person shall have any liability to such Lender with respect to the nondisclosure of the Excluded Information. Each Lender that tenders Term Loans pursuant to an Auction agrees to the foregoing provisions of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The Administrative Agent and the Lenders hereby consent to the Auctions and the other transactions contemplated by this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and hereby waive the requirements of any provision of this Agreement (including, without limitation, any pro rata payment requirements) (it being understood and acknowledged that purchases of the Loans by a Buyback Party contemplated by this</w:t>
      </w:r>
    </w:p>
    <w:p>
      <w:pPr>
        <w:spacing w:after="0" w:line="3" w:lineRule="exact"/>
        <w:rPr>
          <w:rFonts w:ascii="Arial" w:cs="Arial" w:eastAsia="Arial" w:hAnsi="Arial"/>
          <w:sz w:val="16"/>
          <w:szCs w:val="16"/>
          <w:color w:val="auto"/>
        </w:rPr>
      </w:pPr>
    </w:p>
    <w:p>
      <w:pPr>
        <w:ind w:left="4" w:right="4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shall not constitute investments by such Buyback Party) or any other Loan Document that may otherwise prohibit any Auction or any other transaction contemplated by this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-2958465</wp:posOffset>
            </wp:positionV>
            <wp:extent cx="2857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-2272665</wp:posOffset>
            </wp:positionV>
            <wp:extent cx="2857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5057140</wp:posOffset>
            </wp:positionH>
            <wp:positionV relativeFrom="paragraph">
              <wp:posOffset>-2135505</wp:posOffset>
            </wp:positionV>
            <wp:extent cx="2857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-763905</wp:posOffset>
            </wp:positionV>
            <wp:extent cx="2857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2376170</wp:posOffset>
            </wp:positionH>
            <wp:positionV relativeFrom="paragraph">
              <wp:posOffset>-626745</wp:posOffset>
            </wp:positionV>
            <wp:extent cx="2857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97" w:name="page98"/>
    <w:bookmarkEnd w:id="97"/>
    <w:p>
      <w:pPr>
        <w:ind w:right="120" w:firstLine="987"/>
        <w:spacing w:after="0" w:line="287" w:lineRule="auto"/>
        <w:tabs>
          <w:tab w:leader="none" w:pos="1361" w:val="left"/>
        </w:tabs>
        <w:numPr>
          <w:ilvl w:val="0"/>
          <w:numId w:val="1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repurchase of Term Loans pursuant to this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shall be effective upon recordation in the Register (in the manner set forth below) by the Administrative Agent (it being understood that such recordation by the Administrative Agent shall only occur following receipt by the Administrative Agent of a fully executed and completed Assignment and Assumption effecting the assignment thereof (as provided in </w:t>
      </w:r>
      <w:r>
        <w:rPr>
          <w:rFonts w:ascii="Arial" w:cs="Arial" w:eastAsia="Arial" w:hAnsi="Arial"/>
          <w:sz w:val="16"/>
          <w:szCs w:val="16"/>
          <w:u w:val="single" w:color="auto"/>
          <w:color w:val="auto"/>
        </w:rPr>
        <w:t>Section</w:t>
      </w:r>
    </w:p>
    <w:p>
      <w:pPr>
        <w:spacing w:after="0" w:line="2" w:lineRule="exact"/>
        <w:rPr>
          <w:rFonts w:ascii="Arial" w:cs="Arial" w:eastAsia="Arial" w:hAnsi="Arial"/>
          <w:sz w:val="16"/>
          <w:szCs w:val="16"/>
          <w:color w:val="auto"/>
        </w:rPr>
      </w:pPr>
    </w:p>
    <w:p>
      <w:pPr>
        <w:ind w:right="120"/>
        <w:spacing w:after="0" w:line="295" w:lineRule="auto"/>
        <w:rPr>
          <w:rFonts w:ascii="Arial" w:cs="Arial" w:eastAsia="Arial" w:hAnsi="Arial"/>
          <w:sz w:val="16"/>
          <w:szCs w:val="16"/>
          <w:color w:val="auto"/>
        </w:rPr>
      </w:pPr>
      <w:r>
        <w:rPr>
          <w:rFonts w:ascii="Arial" w:cs="Arial" w:eastAsia="Arial" w:hAnsi="Arial"/>
          <w:sz w:val="16"/>
          <w:szCs w:val="16"/>
          <w:u w:val="single" w:color="auto"/>
          <w:color w:val="auto"/>
        </w:rPr>
        <w:t>13.12(</w:t>
      </w:r>
      <w:r>
        <w:rPr>
          <w:rFonts w:ascii="Arial" w:cs="Arial" w:eastAsia="Arial" w:hAnsi="Arial"/>
          <w:sz w:val="16"/>
          <w:szCs w:val="16"/>
          <w:color w:val="FF0000"/>
          <w:strike w:val="1"/>
        </w:rPr>
        <w:t>a</w:t>
      </w:r>
      <w:r>
        <w:rPr>
          <w:rFonts w:ascii="Arial" w:cs="Arial" w:eastAsia="Arial" w:hAnsi="Arial"/>
          <w:sz w:val="16"/>
          <w:szCs w:val="16"/>
          <w:u w:val="single" w:color="auto"/>
          <w:color w:val="0000E1"/>
        </w:rPr>
        <w:t>b</w:t>
      </w:r>
      <w:r>
        <w:rPr>
          <w:rFonts w:ascii="Arial" w:cs="Arial" w:eastAsia="Arial" w:hAnsi="Arial"/>
          <w:sz w:val="16"/>
          <w:szCs w:val="16"/>
          <w:u w:val="single" w:color="auto"/>
          <w:color w:val="auto"/>
        </w:rPr>
        <w:t>)(iv)</w:t>
      </w:r>
      <w:r>
        <w:rPr>
          <w:rFonts w:ascii="Arial" w:cs="Arial" w:eastAsia="Arial" w:hAnsi="Arial"/>
          <w:sz w:val="16"/>
          <w:szCs w:val="16"/>
          <w:color w:val="auto"/>
        </w:rPr>
        <w:t xml:space="preserve">)). Each assignment shall be recorded in the Register following the completion of the relevant Auction conducted pursuant to the auction procedures set forth on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w:t>
      </w:r>
      <w:r>
        <w:rPr>
          <w:rFonts w:ascii="Arial" w:cs="Arial" w:eastAsia="Arial" w:hAnsi="Arial"/>
          <w:sz w:val="16"/>
          <w:szCs w:val="16"/>
          <w:color w:val="FF0000"/>
          <w:strike w:val="1"/>
        </w:rPr>
        <w:t>hereto</w:t>
      </w:r>
      <w:r>
        <w:rPr>
          <w:rFonts w:ascii="Arial" w:cs="Arial" w:eastAsia="Arial" w:hAnsi="Arial"/>
          <w:sz w:val="16"/>
          <w:szCs w:val="16"/>
          <w:color w:val="auto"/>
        </w:rPr>
        <w:t xml:space="preserve"> on the Business Day that the Administrative Agent has received the executed Assignment and Assumption if received by 3:00 pm (New York time), and on the following Business Day if received after such time. Prompt notice of such recordation shall be provided to the applicable Buyback Party and a copy of such Assignment and Assumption shall be maintained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-427990</wp:posOffset>
            </wp:positionV>
            <wp:extent cx="596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color w:val="auto"/>
        </w:rPr>
        <w:t>F</w:t>
      </w:r>
      <w:r>
        <w:rPr>
          <w:rFonts w:ascii="Arial" w:cs="Arial" w:eastAsia="Arial" w:hAnsi="Arial"/>
          <w:sz w:val="12"/>
          <w:szCs w:val="12"/>
          <w:color w:val="auto"/>
        </w:rPr>
        <w:t>EES</w:t>
      </w:r>
      <w:r>
        <w:rPr>
          <w:rFonts w:ascii="Arial" w:cs="Arial" w:eastAsia="Arial" w:hAnsi="Arial"/>
          <w:sz w:val="16"/>
          <w:szCs w:val="16"/>
          <w:color w:val="auto"/>
        </w:rPr>
        <w:t>.</w:t>
      </w:r>
    </w:p>
    <w:p>
      <w:pPr>
        <w:spacing w:after="0" w:line="117"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5"/>
          <w:szCs w:val="15"/>
          <w:i w:val="1"/>
          <w:iCs w:val="1"/>
          <w:color w:val="auto"/>
        </w:rPr>
        <w:t>Fees</w:t>
      </w:r>
      <w:r>
        <w:rPr>
          <w:rFonts w:ascii="Arial" w:cs="Arial" w:eastAsia="Arial" w:hAnsi="Arial"/>
          <w:sz w:val="15"/>
          <w:szCs w:val="15"/>
          <w:color w:val="FF0000"/>
          <w:strike w:val="1"/>
        </w:rPr>
        <w:t>(a)</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FF0000"/>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-53340</wp:posOffset>
            </wp:positionV>
            <wp:extent cx="15494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54940" cy="8255"/>
                    </a:xfrm>
                    <a:prstGeom prst="rect">
                      <a:avLst/>
                    </a:prstGeom>
                    <a:noFill/>
                  </pic:spPr>
                </pic:pic>
              </a:graphicData>
            </a:graphic>
          </wp:anchor>
        </w:drawing>
      </w:r>
    </w:p>
    <w:p>
      <w:pPr>
        <w:spacing w:after="0" w:line="97" w:lineRule="exact"/>
        <w:rPr>
          <w:sz w:val="20"/>
          <w:szCs w:val="20"/>
          <w:color w:val="auto"/>
        </w:rPr>
      </w:pPr>
    </w:p>
    <w:p>
      <w:pPr>
        <w:ind w:right="20" w:firstLine="987"/>
        <w:spacing w:after="0" w:line="254" w:lineRule="auto"/>
        <w:tabs>
          <w:tab w:leader="none" w:pos="1371" w:val="left"/>
        </w:tabs>
        <w:numPr>
          <w:ilvl w:val="0"/>
          <w:numId w:val="115"/>
        </w:numPr>
        <w:rPr>
          <w:rFonts w:ascii="Arial" w:cs="Arial" w:eastAsia="Arial" w:hAnsi="Arial"/>
          <w:sz w:val="18"/>
          <w:szCs w:val="18"/>
          <w:u w:val="single" w:color="auto"/>
          <w:color w:val="0000E1"/>
        </w:rPr>
      </w:pPr>
      <w:r>
        <w:rPr>
          <w:rFonts w:ascii="Arial" w:cs="Arial" w:eastAsia="Arial" w:hAnsi="Arial"/>
          <w:sz w:val="18"/>
          <w:szCs w:val="18"/>
          <w:i w:val="1"/>
          <w:iCs w:val="1"/>
          <w:color w:val="auto"/>
        </w:rPr>
        <w:t>Revolving Credit Commitment Fee</w:t>
      </w:r>
      <w:r>
        <w:rPr>
          <w:rFonts w:ascii="Arial" w:cs="Arial" w:eastAsia="Arial" w:hAnsi="Arial"/>
          <w:sz w:val="18"/>
          <w:szCs w:val="18"/>
          <w:color w:val="auto"/>
        </w:rPr>
        <w:t>. The Borrower shall pay to the Administrative Agent for the ratable account of the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Lenders (other than Defaulting Lenders) in accordance with their Revolver Percentages a commitment fee at the rate per annum equal to the Commitment Fee Rate (computed on the basis of a year of 360 days and the actual number of days elapsed) of the average daily Unused Revolving Credit Commitments. Such commitment fee shall be payable quarterly in arrears on the last day of each March, June, September, and December in each year (commencing on September 30, 2017) and on the Revolving Credit Termination Date, unless the Revolving Credit Commitments are terminated in whole on an earlier date, in which event the commitment fee for the period to the date of such termination in whole shall be paid on the date of such termination. For purposes of determining the commitment fee under this </w:t>
      </w:r>
      <w:r>
        <w:rPr>
          <w:rFonts w:ascii="Arial" w:cs="Arial" w:eastAsia="Arial" w:hAnsi="Arial"/>
          <w:sz w:val="18"/>
          <w:szCs w:val="18"/>
          <w:u w:val="single" w:color="auto"/>
          <w:color w:val="auto"/>
        </w:rPr>
        <w:t>Section 2.1</w:t>
      </w:r>
      <w:r>
        <w:rPr>
          <w:rFonts w:ascii="Arial" w:cs="Arial" w:eastAsia="Arial" w:hAnsi="Arial"/>
          <w:sz w:val="18"/>
          <w:szCs w:val="18"/>
          <w:u w:val="single" w:color="auto"/>
          <w:color w:val="0000E1"/>
        </w:rPr>
        <w:t>(a)</w:t>
      </w:r>
      <w:r>
        <w:rPr>
          <w:rFonts w:ascii="Arial" w:cs="Arial" w:eastAsia="Arial" w:hAnsi="Arial"/>
          <w:sz w:val="18"/>
          <w:szCs w:val="18"/>
          <w:color w:val="auto"/>
        </w:rPr>
        <w:t>, Swing Loans shall not be deemed to be a utilization of the Revolving Credit Commitments.</w:t>
      </w:r>
    </w:p>
    <w:p>
      <w:pPr>
        <w:spacing w:after="0" w:line="191" w:lineRule="exact"/>
        <w:rPr>
          <w:rFonts w:ascii="Arial" w:cs="Arial" w:eastAsia="Arial" w:hAnsi="Arial"/>
          <w:sz w:val="18"/>
          <w:szCs w:val="18"/>
          <w:u w:val="single" w:color="auto"/>
          <w:color w:val="0000E1"/>
        </w:rPr>
      </w:pPr>
    </w:p>
    <w:p>
      <w:pPr>
        <w:ind w:right="40" w:firstLine="987"/>
        <w:spacing w:after="0" w:line="288" w:lineRule="auto"/>
        <w:tabs>
          <w:tab w:leader="none" w:pos="1381"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Letter of Credit Fees</w:t>
      </w:r>
      <w:r>
        <w:rPr>
          <w:rFonts w:ascii="Arial" w:cs="Arial" w:eastAsia="Arial" w:hAnsi="Arial"/>
          <w:sz w:val="16"/>
          <w:szCs w:val="16"/>
          <w:color w:val="auto"/>
        </w:rPr>
        <w:t>. Quarterly in arrears, on the last day of each March, June, September and December, commencing on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date occurring after the issuance of any Letter of Credit pursuant to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the Borrower shall pay to the applicable L/C Issuer for its own account a fronting fee equal to 0.125% per annum of the daily average U.S. Dollar Equivalent of the undrawn face amount of such Letter of Credit (computed on the basis of a year of 360 days and the actual number of days elapsed). Quarterly in arrears, on the last day of each March, June, September, and December, commencing on September 30, 2017, the Borrower shall pay to the Administrative Agent, for the ratable benefit of the Revolving Lenders in accordance with their Revolver Percentages, a letter of credit fee at a rate per annum equal to the Applicable Margin for Revolving Loans that are Eurodollar Loans (computed on the basis of a year of 360 days and the actual number of days elapsed) in effect during each day of such quarter applied to the daily average U.S. Dollar Equivalent of the undrawn face amount of Letters of Credit outstanding during such quarter. In addition, the Borrower shall pay to the L/C Issuer for its own account the L/C Issuer’s standard issuance, drawing, negotiation, amendment, assignment, and other administrative fees for each Letter of Credit as established by the L/C Issuer and disclosed to the Borrower from time to time.</w:t>
      </w:r>
    </w:p>
    <w:p>
      <w:pPr>
        <w:spacing w:after="0" w:line="168" w:lineRule="exact"/>
        <w:rPr>
          <w:rFonts w:ascii="Arial" w:cs="Arial" w:eastAsia="Arial" w:hAnsi="Arial"/>
          <w:sz w:val="16"/>
          <w:szCs w:val="16"/>
          <w:color w:val="auto"/>
        </w:rPr>
      </w:pPr>
    </w:p>
    <w:p>
      <w:pPr>
        <w:ind w:right="560" w:firstLine="987"/>
        <w:spacing w:after="0" w:line="308" w:lineRule="auto"/>
        <w:tabs>
          <w:tab w:leader="none" w:pos="1371"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Other Fees</w:t>
      </w:r>
      <w:r>
        <w:rPr>
          <w:rFonts w:ascii="Arial" w:cs="Arial" w:eastAsia="Arial" w:hAnsi="Arial"/>
          <w:sz w:val="17"/>
          <w:szCs w:val="17"/>
          <w:color w:val="auto"/>
        </w:rPr>
        <w:t>. The Borrower shall pay all fees on the dates due, in immediately available funds, to the Administrative Agent for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if and as appropriate, to the Lenders ratably in accordance with the written agreements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-2906395</wp:posOffset>
            </wp:positionV>
            <wp:extent cx="12890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-2571750</wp:posOffset>
            </wp:positionV>
            <wp:extent cx="2857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-2083435</wp:posOffset>
            </wp:positionV>
            <wp:extent cx="12890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1853565</wp:posOffset>
            </wp:positionH>
            <wp:positionV relativeFrom="paragraph">
              <wp:posOffset>-1748790</wp:posOffset>
            </wp:positionV>
            <wp:extent cx="2857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-1337310</wp:posOffset>
            </wp:positionV>
            <wp:extent cx="2857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-651510</wp:posOffset>
            </wp:positionV>
            <wp:extent cx="2857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-240030</wp:posOffset>
            </wp:positionV>
            <wp:extent cx="2857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w:t>
        <w:tab/>
        <w:t>P</w:t>
      </w:r>
      <w:r>
        <w:rPr>
          <w:rFonts w:ascii="Arial" w:cs="Arial" w:eastAsia="Arial" w:hAnsi="Arial"/>
          <w:sz w:val="14"/>
          <w:szCs w:val="14"/>
          <w:color w:val="auto"/>
        </w:rPr>
        <w:t>LACE AND</w:t>
      </w:r>
      <w:r>
        <w:rPr>
          <w:rFonts w:ascii="Arial" w:cs="Arial" w:eastAsia="Arial" w:hAnsi="Arial"/>
          <w:sz w:val="18"/>
          <w:szCs w:val="18"/>
          <w:color w:val="auto"/>
        </w:rPr>
        <w:t xml:space="preserve"> A</w:t>
      </w:r>
      <w:r>
        <w:rPr>
          <w:rFonts w:ascii="Arial" w:cs="Arial" w:eastAsia="Arial" w:hAnsi="Arial"/>
          <w:sz w:val="14"/>
          <w:szCs w:val="14"/>
          <w:color w:val="auto"/>
        </w:rPr>
        <w:t>PPLICATION OF</w:t>
      </w:r>
      <w:r>
        <w:rPr>
          <w:rFonts w:ascii="Arial" w:cs="Arial" w:eastAsia="Arial" w:hAnsi="Arial"/>
          <w:sz w:val="18"/>
          <w:szCs w:val="18"/>
          <w:color w:val="auto"/>
        </w:rPr>
        <w:t xml:space="preserve"> P</w:t>
      </w:r>
      <w:r>
        <w:rPr>
          <w:rFonts w:ascii="Arial" w:cs="Arial" w:eastAsia="Arial" w:hAnsi="Arial"/>
          <w:sz w:val="14"/>
          <w:szCs w:val="14"/>
          <w:color w:val="auto"/>
        </w:rPr>
        <w:t>AYMENTS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i w:val="1"/>
          <w:iCs w:val="1"/>
          <w:color w:val="auto"/>
        </w:rPr>
        <w:t>Place and Application of Payments.</w:t>
      </w:r>
      <w:r>
        <w:rPr>
          <w:rFonts w:ascii="Arial" w:cs="Arial" w:eastAsia="Arial" w:hAnsi="Arial"/>
          <w:sz w:val="16"/>
          <w:szCs w:val="16"/>
          <w:color w:val="auto"/>
        </w:rPr>
        <w:t xml:space="preserve"> All payments to be made by the Borrower shall be made free and clear of and without condition or deduction for any counterclaim, defense, recoupment or setoff. All payments of principal of and interest on the Loans and the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2545715</wp:posOffset>
            </wp:positionH>
            <wp:positionV relativeFrom="paragraph">
              <wp:posOffset>-254635</wp:posOffset>
            </wp:positionV>
            <wp:extent cx="2857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-117475</wp:posOffset>
            </wp:positionV>
            <wp:extent cx="2857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4" w:right="499" w:bottom="1440" w:gutter="0" w:footer="0" w:header="0"/>
        </w:sectPr>
      </w:pPr>
    </w:p>
    <w:bookmarkStart w:id="98" w:name="page99"/>
    <w:bookmarkEnd w:id="9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Obligations, and of all other Obligations payable by the Borrower under this Agreement and the other Loan Documents, shall be made by the Borrower to the Administrative Agent for the account of the respective Lenders to which such payments is owed, by no later than 2:00 p.m. (New York time) on the due date thereof at the office of the Administrative Agent in New York, New York (or such other location as the Administrative Agent may designate to the Borrower) for the benefit of the Lender(s) or L/C Issuer entitled thereto. Any payments received after such time shall be deemed to have been received by the Administrative Agent on the next Business Day for purposes of calculating interest under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(but not for purposes of determining Events of Default). All such payments shall be made in U.S. Dollars (or, as to any Letter of Credit payable in an Eligible Foreign Currency, the Reimbursement Obligation shall be payable in either (x) the U.S. Dollar Equivalent of the relevant amount of such Eligible Foreign Currency at the rate of exchange then current in New York, New York for transfers of such Eligible Foreign Currency to the place of payment or (y) such Eligible Foreign Currency), in immediately available funds at the place of payment, in each case without set off or counterclaim. The Administrative Agent will promptly thereafter cause to be distributed like funds relating to the payment of principal or interest on Loans and on Reimbursement Obligations in which the Lenders have purchased Participating Interests ratably to the Lenders entitled to such amounts and like funds relating to the payment of any other amount payable to any Lender to such Lender, in each case to be applied in accordance with the terms of this Agreement. If the Administrative Agent causes amounts to be distributed to the Lenders in reliance upon the assumption that the Borrower will make a scheduled payment and such scheduled payment is not so made, each Lender shall, on demand, repay to the Administrative Agent the amount distributed to such Lender together with interest thereon in respect of each day during the period commencing on the date such amount was distributed to such Lender and ending on (but excluding) the date such Lender repays such amount to the Administrative Agent, at a rate per annum equal to: (i) from the date the distribution was made to the date two (2) Business Days after payment by such Lender is due hereunder, the Federal Funds </w:t>
      </w:r>
      <w:r>
        <w:rPr>
          <w:rFonts w:ascii="Arial" w:cs="Arial" w:eastAsia="Arial" w:hAnsi="Arial"/>
          <w:sz w:val="16"/>
          <w:szCs w:val="16"/>
          <w:u w:val="single" w:color="auto"/>
          <w:color w:val="0000E1"/>
        </w:rPr>
        <w:t>Effective</w:t>
      </w:r>
      <w:r>
        <w:rPr>
          <w:rFonts w:ascii="Arial" w:cs="Arial" w:eastAsia="Arial" w:hAnsi="Arial"/>
          <w:sz w:val="16"/>
          <w:szCs w:val="16"/>
          <w:color w:val="auto"/>
        </w:rPr>
        <w:t xml:space="preserve"> Rate for each such day and (ii) from the date two (2) Business Days after the date such payment is due from such Lender to the date such payment is made by such Lender, the Alternate Base Rate in effect for each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3576320</wp:posOffset>
            </wp:positionH>
            <wp:positionV relativeFrom="paragraph">
              <wp:posOffset>-2007235</wp:posOffset>
            </wp:positionV>
            <wp:extent cx="2857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1450340</wp:posOffset>
            </wp:positionH>
            <wp:positionV relativeFrom="paragraph">
              <wp:posOffset>-1732915</wp:posOffset>
            </wp:positionV>
            <wp:extent cx="2857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5487035</wp:posOffset>
            </wp:positionH>
            <wp:positionV relativeFrom="paragraph">
              <wp:posOffset>-1321435</wp:posOffset>
            </wp:positionV>
            <wp:extent cx="2857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-909955</wp:posOffset>
            </wp:positionV>
            <wp:extent cx="2857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-147320</wp:posOffset>
            </wp:positionV>
            <wp:extent cx="4197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36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Anything contained herein to the contrary notwithstanding (including, without limitation, </w:t>
      </w:r>
      <w:r>
        <w:rPr>
          <w:rFonts w:ascii="Arial" w:cs="Arial" w:eastAsia="Arial" w:hAnsi="Arial"/>
          <w:sz w:val="18"/>
          <w:szCs w:val="18"/>
          <w:u w:val="single" w:color="auto"/>
          <w:color w:val="auto"/>
        </w:rPr>
        <w:t>Section 1.9(b)</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all payments and collections received in respect of the Obligations and all proceeds of the Collateral received, in each instance, by the Administrative Agent or any of the Lenders after acceleration or the final maturity of the Obligations or termination of the Commitments as a result of an Event of Default shall be, remitted to the Administrative Agent and distributed as follows:</w:t>
      </w:r>
    </w:p>
    <w:p>
      <w:pPr>
        <w:spacing w:after="0" w:line="187" w:lineRule="exact"/>
        <w:rPr>
          <w:sz w:val="20"/>
          <w:szCs w:val="20"/>
          <w:color w:val="auto"/>
        </w:rPr>
      </w:pPr>
    </w:p>
    <w:p>
      <w:pPr>
        <w:jc w:val="both"/>
        <w:ind w:right="40" w:firstLine="987"/>
        <w:spacing w:after="0" w:line="259" w:lineRule="auto"/>
        <w:tabs>
          <w:tab w:leader="none" w:pos="137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first, to the payment of all costs and expenses which the Borrower has agreed to pay the Administrative Agent and the Lenders under </w:t>
      </w:r>
      <w:r>
        <w:rPr>
          <w:rFonts w:ascii="Arial" w:cs="Arial" w:eastAsia="Arial" w:hAnsi="Arial"/>
          <w:sz w:val="18"/>
          <w:szCs w:val="18"/>
          <w:u w:val="single" w:color="auto"/>
          <w:color w:val="auto"/>
        </w:rPr>
        <w:t>Section 13.15</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(such funds, if applicable,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w:t>
      </w:r>
    </w:p>
    <w:p>
      <w:pPr>
        <w:spacing w:after="0" w:line="186" w:lineRule="exact"/>
        <w:rPr>
          <w:rFonts w:ascii="Arial" w:cs="Arial" w:eastAsia="Arial" w:hAnsi="Arial"/>
          <w:sz w:val="18"/>
          <w:szCs w:val="18"/>
          <w:color w:val="auto"/>
        </w:rPr>
      </w:pPr>
    </w:p>
    <w:p>
      <w:pPr>
        <w:ind w:right="300" w:firstLine="987"/>
        <w:spacing w:after="0" w:line="277" w:lineRule="auto"/>
        <w:tabs>
          <w:tab w:leader="none" w:pos="138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second, to the payment of any outstanding interest and fees due under the Loan Documents to be allocated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aggregate unpaid amounts owing to each holder thereof;</w:t>
      </w:r>
    </w:p>
    <w:p>
      <w:pPr>
        <w:spacing w:after="0" w:line="170" w:lineRule="exact"/>
        <w:rPr>
          <w:rFonts w:ascii="Arial" w:cs="Arial" w:eastAsia="Arial" w:hAnsi="Arial"/>
          <w:sz w:val="18"/>
          <w:szCs w:val="18"/>
          <w:color w:val="auto"/>
        </w:rPr>
      </w:pPr>
    </w:p>
    <w:p>
      <w:pPr>
        <w:ind w:right="180" w:firstLine="987"/>
        <w:spacing w:after="0" w:line="275" w:lineRule="auto"/>
        <w:tabs>
          <w:tab w:leader="none" w:pos="137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third, to the payment of principal on the Loans, unpaid Reimbursement Obligations, together with amounts to be held by the Administrative Agent as collateral security for any outstanding L/C Obligations pursuant to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w:t>
      </w:r>
      <w:r>
        <w:rPr>
          <w:rFonts w:ascii="Arial" w:cs="Arial" w:eastAsia="Arial" w:hAnsi="Arial"/>
          <w:sz w:val="17"/>
          <w:szCs w:val="17"/>
          <w:color w:val="FF0000"/>
          <w:strike w:val="1"/>
        </w:rPr>
        <w:t>hereof</w:t>
      </w:r>
      <w:r>
        <w:rPr>
          <w:rFonts w:ascii="Arial" w:cs="Arial" w:eastAsia="Arial" w:hAnsi="Arial"/>
          <w:sz w:val="17"/>
          <w:szCs w:val="17"/>
          <w:color w:val="auto"/>
        </w:rPr>
        <w:t xml:space="preserve"> (until the Administrative Agent is holding an amount of cash equal to 103% of the then outstanding amount of all such L/C Obligations), and Hedging Liability, Funds Transfer, Deposit Account Liability and Foreign LCs, with the aggregate amount paid to, or held as collateral security for, the Lenders and L/C Issuer and, in the case of Hedging Liability, Funds Transfer, Deposit Account Liability and Foreign LCs, the Administrative Agent, the Lenders or their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99" w:name="page100"/>
    <w:bookmarkEnd w:id="99"/>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Affiliates to be allocated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aggregate unpaid amounts owing to each holder thereof (with such pro rata allocation to be adjusted such that no payment made by a Guarantor who is not a Qualified ECP Guarantor, and no proceeds derived from Collateral in which a security interest is granted by a Person who is not a Qualified ECP Guarantor, shall be applied to any amounts owing in respect of any Hedging Liability that is an Excluded Swap Obligation);</w:t>
      </w:r>
    </w:p>
    <w:p>
      <w:pPr>
        <w:spacing w:after="0" w:line="187" w:lineRule="exact"/>
        <w:rPr>
          <w:sz w:val="20"/>
          <w:szCs w:val="20"/>
          <w:color w:val="auto"/>
        </w:rPr>
      </w:pPr>
    </w:p>
    <w:p>
      <w:pPr>
        <w:ind w:right="260" w:firstLine="987"/>
        <w:spacing w:after="0" w:line="263" w:lineRule="auto"/>
        <w:tabs>
          <w:tab w:leader="none" w:pos="138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fourth, to the payment of all other unpaid Obligations and all other indebtedness, obligations, and liabilities of Holdings and its Subsidiaries secured by the Loan Documents to be allocated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aggregate unpaid amounts owing to each holder thereof; and</w:t>
      </w:r>
    </w:p>
    <w:p>
      <w:pPr>
        <w:spacing w:after="0" w:line="183" w:lineRule="exact"/>
        <w:rPr>
          <w:rFonts w:ascii="Arial" w:cs="Arial" w:eastAsia="Arial" w:hAnsi="Arial"/>
          <w:sz w:val="18"/>
          <w:szCs w:val="18"/>
          <w:color w:val="auto"/>
        </w:rPr>
      </w:pPr>
    </w:p>
    <w:p>
      <w:pPr>
        <w:ind w:left="1360" w:hanging="373"/>
        <w:spacing w:after="0"/>
        <w:tabs>
          <w:tab w:leader="none" w:pos="13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finally, to the Borrower, or whoever else may be lawfully entitled thereto.</w:t>
      </w:r>
    </w:p>
    <w:p>
      <w:pPr>
        <w:spacing w:after="0" w:line="33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4.</w:t>
        <w:tab/>
        <w:t>J</w:t>
      </w:r>
      <w:r>
        <w:rPr>
          <w:rFonts w:ascii="Arial" w:cs="Arial" w:eastAsia="Arial" w:hAnsi="Arial"/>
          <w:sz w:val="14"/>
          <w:szCs w:val="14"/>
          <w:color w:val="auto"/>
        </w:rPr>
        <w:t>OINT AND</w:t>
      </w:r>
      <w:r>
        <w:rPr>
          <w:rFonts w:ascii="Arial" w:cs="Arial" w:eastAsia="Arial" w:hAnsi="Arial"/>
          <w:sz w:val="18"/>
          <w:szCs w:val="18"/>
          <w:color w:val="auto"/>
        </w:rPr>
        <w:t xml:space="preserve"> S</w:t>
      </w:r>
      <w:r>
        <w:rPr>
          <w:rFonts w:ascii="Arial" w:cs="Arial" w:eastAsia="Arial" w:hAnsi="Arial"/>
          <w:sz w:val="14"/>
          <w:szCs w:val="14"/>
          <w:color w:val="auto"/>
        </w:rPr>
        <w:t>EVERAL</w:t>
      </w:r>
      <w:r>
        <w:rPr>
          <w:rFonts w:ascii="Arial" w:cs="Arial" w:eastAsia="Arial" w:hAnsi="Arial"/>
          <w:sz w:val="18"/>
          <w:szCs w:val="18"/>
          <w:color w:val="auto"/>
        </w:rPr>
        <w:t xml:space="preserve"> O</w:t>
      </w:r>
      <w:r>
        <w:rPr>
          <w:rFonts w:ascii="Arial" w:cs="Arial" w:eastAsia="Arial" w:hAnsi="Arial"/>
          <w:sz w:val="14"/>
          <w:szCs w:val="14"/>
          <w:color w:val="auto"/>
        </w:rPr>
        <w:t>BLIGORS</w:t>
      </w:r>
      <w:r>
        <w:rPr>
          <w:rFonts w:ascii="Arial" w:cs="Arial" w:eastAsia="Arial" w:hAnsi="Arial"/>
          <w:sz w:val="18"/>
          <w:szCs w:val="18"/>
          <w:color w:val="auto"/>
        </w:rPr>
        <w:t>, G</w:t>
      </w:r>
      <w:r>
        <w:rPr>
          <w:rFonts w:ascii="Arial" w:cs="Arial" w:eastAsia="Arial" w:hAnsi="Arial"/>
          <w:sz w:val="14"/>
          <w:szCs w:val="14"/>
          <w:color w:val="auto"/>
        </w:rPr>
        <w:t>UARANTEES AND</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Subject to the time periods set forth in </w:t>
      </w:r>
      <w:r>
        <w:rPr>
          <w:rFonts w:ascii="Arial" w:cs="Arial" w:eastAsia="Arial" w:hAnsi="Arial"/>
          <w:sz w:val="16"/>
          <w:szCs w:val="16"/>
          <w:u w:val="single" w:color="auto"/>
          <w:color w:val="auto"/>
        </w:rPr>
        <w:t>Section 8.17</w:t>
      </w:r>
      <w:r>
        <w:rPr>
          <w:rFonts w:ascii="Arial" w:cs="Arial" w:eastAsia="Arial" w:hAnsi="Arial"/>
          <w:sz w:val="16"/>
          <w:szCs w:val="16"/>
          <w:color w:val="auto"/>
        </w:rPr>
        <w:t xml:space="preserve">, the payment and performance of the Obligations, Hedging Liability, and Funds Transfer, Deposit Account Liability and Foreign LCs shall at all times be guaranteed by Holdings and each direct and indirect Domestic Wholly-owned Subsidiary of the Borrower and, with respect to Hedging Liability or Funds Transfer </w:t>
      </w:r>
      <w:r>
        <w:rPr>
          <w:rFonts w:ascii="Arial" w:cs="Arial" w:eastAsia="Arial" w:hAnsi="Arial"/>
          <w:sz w:val="16"/>
          <w:szCs w:val="16"/>
          <w:color w:val="FF0000"/>
          <w:strike w:val="1"/>
        </w:rPr>
        <w:t>and</w:t>
      </w:r>
      <w:r>
        <w:rPr>
          <w:rFonts w:ascii="Arial" w:cs="Arial" w:eastAsia="Arial" w:hAnsi="Arial"/>
          <w:sz w:val="16"/>
          <w:szCs w:val="16"/>
          <w:u w:val="single" w:color="auto"/>
          <w:color w:val="0000E1"/>
        </w:rPr>
        <w:t>,</w:t>
      </w:r>
      <w:r>
        <w:rPr>
          <w:rFonts w:ascii="Arial" w:cs="Arial" w:eastAsia="Arial" w:hAnsi="Arial"/>
          <w:sz w:val="16"/>
          <w:szCs w:val="16"/>
          <w:color w:val="auto"/>
        </w:rPr>
        <w:t xml:space="preserve"> Deposit Account Liabilities </w:t>
      </w:r>
      <w:r>
        <w:rPr>
          <w:rFonts w:ascii="Arial" w:cs="Arial" w:eastAsia="Arial" w:hAnsi="Arial"/>
          <w:sz w:val="16"/>
          <w:szCs w:val="16"/>
          <w:u w:val="single" w:color="auto"/>
          <w:color w:val="0000E1"/>
        </w:rPr>
        <w:t>and</w:t>
      </w:r>
      <w:r>
        <w:rPr>
          <w:rFonts w:ascii="Arial" w:cs="Arial" w:eastAsia="Arial" w:hAnsi="Arial"/>
          <w:sz w:val="16"/>
          <w:szCs w:val="16"/>
          <w:color w:val="auto"/>
        </w:rPr>
        <w:t xml:space="preserve"> </w:t>
      </w:r>
      <w:r>
        <w:rPr>
          <w:rFonts w:ascii="Arial" w:cs="Arial" w:eastAsia="Arial" w:hAnsi="Arial"/>
          <w:sz w:val="16"/>
          <w:szCs w:val="16"/>
          <w:u w:val="single" w:color="auto"/>
          <w:color w:val="0000E1"/>
        </w:rPr>
        <w:t>Foreign LCs</w:t>
      </w:r>
      <w:r>
        <w:rPr>
          <w:rFonts w:ascii="Arial" w:cs="Arial" w:eastAsia="Arial" w:hAnsi="Arial"/>
          <w:sz w:val="16"/>
          <w:szCs w:val="16"/>
          <w:color w:val="0000E1"/>
        </w:rPr>
        <w:t xml:space="preserve"> </w:t>
      </w:r>
      <w:r>
        <w:rPr>
          <w:rFonts w:ascii="Arial" w:cs="Arial" w:eastAsia="Arial" w:hAnsi="Arial"/>
          <w:sz w:val="16"/>
          <w:szCs w:val="16"/>
          <w:color w:val="000000"/>
        </w:rPr>
        <w:t>of Holdings or any other Guarantor permitted to be incurred by Holdings or such other Guarantor hereunder, the Borrower (individually a</w:t>
      </w:r>
      <w:r>
        <w:rPr>
          <w:rFonts w:ascii="Arial" w:cs="Arial" w:eastAsia="Arial" w:hAnsi="Arial"/>
          <w:sz w:val="16"/>
          <w:szCs w:val="16"/>
          <w:color w:val="0000E1"/>
        </w:rPr>
        <w:t xml:space="preserve"> </w:t>
      </w:r>
      <w:r>
        <w:rPr>
          <w:rFonts w:ascii="Arial" w:cs="Arial" w:eastAsia="Arial" w:hAnsi="Arial"/>
          <w:sz w:val="16"/>
          <w:szCs w:val="16"/>
          <w:color w:val="000000"/>
        </w:rPr>
        <w:t>“</w:t>
      </w:r>
      <w:r>
        <w:rPr>
          <w:rFonts w:ascii="Arial" w:cs="Arial" w:eastAsia="Arial" w:hAnsi="Arial"/>
          <w:sz w:val="16"/>
          <w:szCs w:val="16"/>
          <w:i w:val="1"/>
          <w:iCs w:val="1"/>
          <w:color w:val="000000"/>
        </w:rPr>
        <w:t>Guarantor</w:t>
      </w:r>
      <w:r>
        <w:rPr>
          <w:rFonts w:ascii="Arial" w:cs="Arial" w:eastAsia="Arial" w:hAnsi="Arial"/>
          <w:sz w:val="16"/>
          <w:szCs w:val="16"/>
          <w:color w:val="000000"/>
        </w:rPr>
        <w:t>” and collectively the “</w:t>
      </w:r>
      <w:r>
        <w:rPr>
          <w:rFonts w:ascii="Arial" w:cs="Arial" w:eastAsia="Arial" w:hAnsi="Arial"/>
          <w:sz w:val="16"/>
          <w:szCs w:val="16"/>
          <w:i w:val="1"/>
          <w:iCs w:val="1"/>
          <w:color w:val="000000"/>
        </w:rPr>
        <w:t>Guarantors</w:t>
      </w:r>
      <w:r>
        <w:rPr>
          <w:rFonts w:ascii="Arial" w:cs="Arial" w:eastAsia="Arial" w:hAnsi="Arial"/>
          <w:sz w:val="16"/>
          <w:szCs w:val="16"/>
          <w:color w:val="000000"/>
        </w:rPr>
        <w:t xml:space="preserve">”) pursuant to </w:t>
      </w:r>
      <w:r>
        <w:rPr>
          <w:rFonts w:ascii="Arial" w:cs="Arial" w:eastAsia="Arial" w:hAnsi="Arial"/>
          <w:sz w:val="16"/>
          <w:szCs w:val="16"/>
          <w:u w:val="single" w:color="auto"/>
          <w:color w:val="000000"/>
        </w:rPr>
        <w:t>Section 12</w:t>
      </w:r>
      <w:r>
        <w:rPr>
          <w:rFonts w:ascii="Arial" w:cs="Arial" w:eastAsia="Arial" w:hAnsi="Arial"/>
          <w:sz w:val="16"/>
          <w:szCs w:val="16"/>
          <w:color w:val="000000"/>
        </w:rPr>
        <w:t xml:space="preserve"> </w:t>
      </w:r>
      <w:r>
        <w:rPr>
          <w:rFonts w:ascii="Arial" w:cs="Arial" w:eastAsia="Arial" w:hAnsi="Arial"/>
          <w:sz w:val="16"/>
          <w:szCs w:val="16"/>
          <w:color w:val="FF0000"/>
          <w:strike w:val="1"/>
        </w:rPr>
        <w:t>hereof</w:t>
      </w:r>
      <w:r>
        <w:rPr>
          <w:rFonts w:ascii="Arial" w:cs="Arial" w:eastAsia="Arial" w:hAnsi="Arial"/>
          <w:sz w:val="16"/>
          <w:szCs w:val="16"/>
          <w:color w:val="000000"/>
        </w:rPr>
        <w:t xml:space="preserve"> (individually a “</w:t>
      </w:r>
      <w:r>
        <w:rPr>
          <w:rFonts w:ascii="Arial" w:cs="Arial" w:eastAsia="Arial" w:hAnsi="Arial"/>
          <w:sz w:val="16"/>
          <w:szCs w:val="16"/>
          <w:i w:val="1"/>
          <w:iCs w:val="1"/>
          <w:color w:val="000000"/>
        </w:rPr>
        <w:t>Guarantee</w:t>
      </w:r>
      <w:r>
        <w:rPr>
          <w:rFonts w:ascii="Arial" w:cs="Arial" w:eastAsia="Arial" w:hAnsi="Arial"/>
          <w:sz w:val="16"/>
          <w:szCs w:val="16"/>
          <w:color w:val="000000"/>
        </w:rPr>
        <w:t>” and collectively the “</w:t>
      </w:r>
      <w:r>
        <w:rPr>
          <w:rFonts w:ascii="Arial" w:cs="Arial" w:eastAsia="Arial" w:hAnsi="Arial"/>
          <w:sz w:val="16"/>
          <w:szCs w:val="16"/>
          <w:i w:val="1"/>
          <w:iCs w:val="1"/>
          <w:color w:val="000000"/>
        </w:rPr>
        <w:t>Guarantees</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 no Subsidiary shall be required to be a Guarantor hereunder if providing such Guarantee would result in material adverse tax consequences as reasonably determined by the Borrower, (ii) Immaterial Subsidiaries and Unrestricted Subsidiaries shall not be required to be a Guarantor hereunder, (iii) no Subsidiary that is prohibited by law, regulation or contractual obligation (in the case of any contractual obligation, to the extent (x) existing on the Closing Date or, if such Subsidiary was acquired by the Borrower or another Loan Party after the Closing Date, on the date on which such Restricted Subsidiary was acquired and (y) such prohibition was not agreed in contemplation hereof) from providing such Guarantee or that would require a governmental (including regulatory) consent, approval, license or authorization in order to provide such Guarantee shall be required to be a Guarantor hereunder, (iv) no CFC Holdco nor any Domestic Subsidiary that is a direct or indirect Subsidiary of a CFC shall be required to be a Guarantor hereunder, (v) no Subsidiary to the extent the burden or cost of providing such Guarantee outweighs the benefit to the Lenders afforded thereby, as reasonably determined by the Administrative Agent and the Borrower, shall be required to be a Guarantor hereunder and (vi) the enforcement of the Guarantee of any Restricted Subsidiary that is treated as a disregarded entity for U.S. federal income tax purposes, solely with respect to any of its Subsidiaries that are CFCs, shall be limited to 65% of the Voting Stock (and 100% of the non-Voting Stock) of such CFCs.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-2141220</wp:posOffset>
            </wp:positionV>
            <wp:extent cx="2857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-1790065</wp:posOffset>
            </wp:positionV>
            <wp:extent cx="342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-1790065</wp:posOffset>
            </wp:positionV>
            <wp:extent cx="16319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-1652905</wp:posOffset>
            </wp:positionV>
            <wp:extent cx="57404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56"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i w:val="1"/>
          <w:iCs w:val="1"/>
          <w:color w:val="auto"/>
        </w:rPr>
        <w:t>Collateral.</w:t>
      </w:r>
      <w:r>
        <w:rPr>
          <w:rFonts w:ascii="Arial" w:cs="Arial" w:eastAsia="Arial" w:hAnsi="Arial"/>
          <w:sz w:val="16"/>
          <w:szCs w:val="16"/>
          <w:color w:val="auto"/>
        </w:rPr>
        <w:t xml:space="preserve"> Subject to the time periods set forth in </w:t>
      </w:r>
      <w:r>
        <w:rPr>
          <w:rFonts w:ascii="Arial" w:cs="Arial" w:eastAsia="Arial" w:hAnsi="Arial"/>
          <w:sz w:val="16"/>
          <w:szCs w:val="16"/>
          <w:u w:val="single" w:color="auto"/>
          <w:color w:val="auto"/>
        </w:rPr>
        <w:t>Section 8.17</w:t>
      </w:r>
      <w:r>
        <w:rPr>
          <w:rFonts w:ascii="Arial" w:cs="Arial" w:eastAsia="Arial" w:hAnsi="Arial"/>
          <w:sz w:val="16"/>
          <w:szCs w:val="16"/>
          <w:color w:val="auto"/>
        </w:rPr>
        <w:t xml:space="preserve"> and the Collateral Documents, the Obligations, Hedging Liability, and Funds Transfer, Deposit Account Liability and Foreign LCs shall (in the case of any Hedging Liability or Funds Transfer, Deposit Account Liability and Foreign LCs, unless otherwise notified by the Borrower to the Administrative Agent) be secured by valid, perfected, and enforceable Liens on and security interests in (subject to Permitted Liens) all right, title, and interest of the Borrower and each Guarantor in substantially all of their respective accounts, chattel paper, instruments, documents, contracts, general intangibles, letter of credit rights, supporting obligations, deposit accounts, investment property, inventory, equipment, fixtures, Intellectual Property, money, cash and Cash Equivalents, commercial tort claims, real estate and certain other Property, whether now owned or hereafter acquired or arising, and all proceeds thereof, in each case subject to the terms and conditions of the Collateral Documents; provided, however, that: (i) Liens on the Voting Stock of a Foreign Subsidiary or a Disregarded Domestic Person shall be limited to 65% of the total outstanding Voting Stock (and 100% of non-Voting Stock) of any Foreign Subsidiary or any Disregarded Domestic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-1188085</wp:posOffset>
            </wp:positionV>
            <wp:extent cx="2857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100" w:name="page101"/>
    <w:bookmarkEnd w:id="10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 owned directly by the Borrower or one of its Domestic Subsidiaries</w:t>
      </w:r>
      <w:r>
        <w:rPr>
          <w:rFonts w:ascii="Arial" w:cs="Arial" w:eastAsia="Arial" w:hAnsi="Arial"/>
          <w:sz w:val="16"/>
          <w:szCs w:val="16"/>
          <w:u w:val="single" w:color="auto"/>
          <w:color w:val="0000E1"/>
        </w:rPr>
        <w:t>;</w:t>
      </w:r>
      <w:r>
        <w:rPr>
          <w:rFonts w:ascii="Arial" w:cs="Arial" w:eastAsia="Arial" w:hAnsi="Arial"/>
          <w:sz w:val="16"/>
          <w:szCs w:val="16"/>
          <w:color w:val="auto"/>
        </w:rPr>
        <w:t xml:space="preserve"> and provided</w:t>
      </w:r>
      <w:r>
        <w:rPr>
          <w:rFonts w:ascii="Arial" w:cs="Arial" w:eastAsia="Arial" w:hAnsi="Arial"/>
          <w:sz w:val="16"/>
          <w:szCs w:val="16"/>
          <w:u w:val="single" w:color="auto"/>
          <w:color w:val="0000E1"/>
        </w:rPr>
        <w:t>,</w:t>
      </w:r>
      <w:r>
        <w:rPr>
          <w:rFonts w:ascii="Arial" w:cs="Arial" w:eastAsia="Arial" w:hAnsi="Arial"/>
          <w:sz w:val="16"/>
          <w:szCs w:val="16"/>
          <w:color w:val="auto"/>
        </w:rPr>
        <w:t xml:space="preserve"> further </w:t>
      </w:r>
      <w:r>
        <w:rPr>
          <w:rFonts w:ascii="Arial" w:cs="Arial" w:eastAsia="Arial" w:hAnsi="Arial"/>
          <w:sz w:val="16"/>
          <w:szCs w:val="16"/>
          <w:u w:val="single" w:color="auto"/>
          <w:color w:val="0000E1"/>
        </w:rPr>
        <w:t>,</w:t>
      </w:r>
      <w:r>
        <w:rPr>
          <w:rFonts w:ascii="Arial" w:cs="Arial" w:eastAsia="Arial" w:hAnsi="Arial"/>
          <w:sz w:val="16"/>
          <w:szCs w:val="16"/>
          <w:color w:val="auto"/>
        </w:rPr>
        <w:t xml:space="preserve"> </w:t>
      </w:r>
      <w:r>
        <w:rPr>
          <w:rFonts w:ascii="Arial" w:cs="Arial" w:eastAsia="Arial" w:hAnsi="Arial"/>
          <w:sz w:val="16"/>
          <w:szCs w:val="16"/>
          <w:color w:val="0000E1"/>
        </w:rPr>
        <w:t>that no stock of any Foreign Subsidiary or any</w:t>
      </w:r>
      <w:r>
        <w:rPr>
          <w:rFonts w:ascii="Arial" w:cs="Arial" w:eastAsia="Arial" w:hAnsi="Arial"/>
          <w:sz w:val="16"/>
          <w:szCs w:val="16"/>
          <w:color w:val="auto"/>
        </w:rPr>
        <w:t xml:space="preserve"> </w:t>
      </w:r>
      <w:r>
        <w:rPr>
          <w:rFonts w:ascii="Arial" w:cs="Arial" w:eastAsia="Arial" w:hAnsi="Arial"/>
          <w:sz w:val="16"/>
          <w:szCs w:val="16"/>
          <w:color w:val="0000E1"/>
        </w:rPr>
        <w:t xml:space="preserve">Disregarded Domestic Person not owned directly by the Borrower or one of its Domestic Subsidiaries shall be pledged hereunder; (ii) no Lien shall be granted with respect to any leasehold real property; (iii) no Liens shall be granted with respect to any fee-owned real property </w:t>
      </w:r>
      <w:r>
        <w:rPr>
          <w:rFonts w:ascii="Arial" w:cs="Arial" w:eastAsia="Arial" w:hAnsi="Arial"/>
          <w:sz w:val="16"/>
          <w:szCs w:val="16"/>
          <w:color w:val="FF0000"/>
          <w:strike w:val="1"/>
        </w:rPr>
        <w:t>other than as provided for</w:t>
      </w:r>
      <w:r>
        <w:rPr>
          <w:rFonts w:ascii="Arial" w:cs="Arial" w:eastAsia="Arial" w:hAnsi="Arial"/>
          <w:sz w:val="16"/>
          <w:szCs w:val="16"/>
          <w:color w:val="0000E1"/>
        </w:rPr>
        <w:t xml:space="preserve"> </w:t>
      </w:r>
      <w:r>
        <w:rPr>
          <w:rFonts w:ascii="Arial" w:cs="Arial" w:eastAsia="Arial" w:hAnsi="Arial"/>
          <w:sz w:val="16"/>
          <w:szCs w:val="16"/>
          <w:color w:val="FF0000"/>
          <w:strike w:val="1"/>
        </w:rPr>
        <w:t>in Section 4.3 below</w:t>
      </w:r>
      <w:r>
        <w:rPr>
          <w:rFonts w:ascii="Arial" w:cs="Arial" w:eastAsia="Arial" w:hAnsi="Arial"/>
          <w:sz w:val="16"/>
          <w:szCs w:val="16"/>
          <w:color w:val="0000E1"/>
        </w:rPr>
        <w:t>; (iv) no Liens shall be granted with respect to any (x) Equity Interests in partnerships, joint ventures and any other Subsidiary that</w:t>
      </w:r>
      <w:r>
        <w:rPr>
          <w:rFonts w:ascii="Arial" w:cs="Arial" w:eastAsia="Arial" w:hAnsi="Arial"/>
          <w:sz w:val="16"/>
          <w:szCs w:val="16"/>
          <w:color w:val="FF0000"/>
        </w:rPr>
        <w:t xml:space="preserve"> </w:t>
      </w:r>
      <w:r>
        <w:rPr>
          <w:rFonts w:ascii="Arial" w:cs="Arial" w:eastAsia="Arial" w:hAnsi="Arial"/>
          <w:sz w:val="16"/>
          <w:szCs w:val="16"/>
          <w:color w:val="0000E1"/>
        </w:rPr>
        <w:t xml:space="preserve">is not a Wholly-owned Subsidiary if such Equity Interests cannot be pledged without the consent of one or more Persons that is not a Loan Party or an Affiliate thereof, but only to the extent that any such prohibition is not rendered ineffective pursuant to Section 9-406, 9-407, 9-408 or 9-409 of the UCC (or any successor provision or provisions thereof) or any other applicable law, (y) the assets of a Foreign Subsidiary or a Disregarded Domestic Person, and (z) margin stock (within the meaning of Regulation U issued by the Federal Reserve Board); (v) no Lien shall be granted with respect to any Property or assets which are specifically the subject of any permit, lease, license, contract or agreement to which any Loan Party is a party or any of its rights or interests thereunder if and only to the extent that the grant of the lien and security interest under a Collateral Document (x) is prohibited by or a violation of any law, rule or regulation applicable to such Loan Party or (y) shall constitute or result in a breach of a term or provision of, or the termination of or a default under the terms of, such permit, lease, license, contract or agreement (other than to the extent that any such law, rule, regulation, term or provision would be rendered ineffective pursuant to Section 9-406, 9-407, 9-408 or 9-409 of the UCC of any relevant jurisdiction or any other applicable law (including any debtor relief law or principle of equity)); (vi) no Liens shall be granted with respect to any Property or assets the pledge of which under a Collateral Document would require governmental consent, approval, license or authorization, but only to the extent that any such restriction on such pledge is not rendered ineffective pursuant to Sections 9-406, 9-407, 9-408 or 9-409 of the UCC (or any successor provision or provisions thereof) or any other applicable law (provided, however, that the Collateral shall include (and such Lien shall attach) immediately at such time as, as applicable, the consent referred to above is obtained or the contractual or legal provisions referred to above shall be obtained or shall no longer be applicable and to the extent severable, and shall attach immediately to any portion of (x) such Equity Interests not subject to such consent specified in preceding </w:t>
      </w:r>
      <w:r>
        <w:rPr>
          <w:rFonts w:ascii="Arial" w:cs="Arial" w:eastAsia="Arial" w:hAnsi="Arial"/>
          <w:sz w:val="16"/>
          <w:szCs w:val="16"/>
          <w:u w:val="single" w:color="auto"/>
          <w:color w:val="0000E1"/>
        </w:rPr>
        <w:t>clause (iv)</w:t>
      </w:r>
      <w:r>
        <w:rPr>
          <w:rFonts w:ascii="Arial" w:cs="Arial" w:eastAsia="Arial" w:hAnsi="Arial"/>
          <w:sz w:val="16"/>
          <w:szCs w:val="16"/>
          <w:color w:val="0000E1"/>
        </w:rPr>
        <w:t xml:space="preserve">, (y) such Property and assets not specifically subject to such permit, lease, license, contract or agreement specified in preceding </w:t>
      </w:r>
      <w:r>
        <w:rPr>
          <w:rFonts w:ascii="Arial" w:cs="Arial" w:eastAsia="Arial" w:hAnsi="Arial"/>
          <w:sz w:val="16"/>
          <w:szCs w:val="16"/>
          <w:u w:val="single" w:color="auto"/>
          <w:color w:val="0000E1"/>
        </w:rPr>
        <w:t>clause (v)</w:t>
      </w:r>
      <w:r>
        <w:rPr>
          <w:rFonts w:ascii="Arial" w:cs="Arial" w:eastAsia="Arial" w:hAnsi="Arial"/>
          <w:sz w:val="16"/>
          <w:szCs w:val="16"/>
          <w:color w:val="0000E1"/>
        </w:rPr>
        <w:t xml:space="preserve"> and (z) such Property and assets not subject to such consent, approval, license or authorization specified in </w:t>
      </w:r>
      <w:r>
        <w:rPr>
          <w:rFonts w:ascii="Arial" w:cs="Arial" w:eastAsia="Arial" w:hAnsi="Arial"/>
          <w:sz w:val="16"/>
          <w:szCs w:val="16"/>
          <w:u w:val="single" w:color="auto"/>
          <w:color w:val="0000E1"/>
        </w:rPr>
        <w:t>this clause (vi);</w:t>
      </w:r>
      <w:r>
        <w:rPr>
          <w:rFonts w:ascii="Arial" w:cs="Arial" w:eastAsia="Arial" w:hAnsi="Arial"/>
          <w:sz w:val="16"/>
          <w:szCs w:val="16"/>
          <w:color w:val="0000E1"/>
        </w:rPr>
        <w:t xml:space="preserve"> and</w:t>
      </w:r>
      <w:r>
        <w:rPr>
          <w:rFonts w:ascii="Arial" w:cs="Arial" w:eastAsia="Arial" w:hAnsi="Arial"/>
          <w:sz w:val="16"/>
          <w:szCs w:val="16"/>
          <w:color w:val="FF0000"/>
          <w:strike w:val="1"/>
        </w:rPr>
        <w:t>,</w:t>
      </w:r>
      <w:r>
        <w:rPr>
          <w:rFonts w:ascii="Arial" w:cs="Arial" w:eastAsia="Arial" w:hAnsi="Arial"/>
          <w:sz w:val="16"/>
          <w:szCs w:val="16"/>
          <w:color w:val="0000E1"/>
        </w:rPr>
        <w:t xml:space="preserve"> </w:t>
      </w:r>
      <w:r>
        <w:rPr>
          <w:rFonts w:ascii="Arial" w:cs="Arial" w:eastAsia="Arial" w:hAnsi="Arial"/>
          <w:sz w:val="16"/>
          <w:szCs w:val="16"/>
          <w:i w:val="1"/>
          <w:iCs w:val="1"/>
          <w:color w:val="0000E1"/>
        </w:rPr>
        <w:t>provided</w:t>
      </w:r>
      <w:r>
        <w:rPr>
          <w:rFonts w:ascii="Arial" w:cs="Arial" w:eastAsia="Arial" w:hAnsi="Arial"/>
          <w:sz w:val="16"/>
          <w:szCs w:val="16"/>
          <w:color w:val="0000E1"/>
        </w:rPr>
        <w:t>,</w:t>
      </w:r>
      <w:r>
        <w:rPr>
          <w:rFonts w:ascii="Arial" w:cs="Arial" w:eastAsia="Arial" w:hAnsi="Arial"/>
          <w:sz w:val="16"/>
          <w:szCs w:val="16"/>
          <w:i w:val="1"/>
          <w:iCs w:val="1"/>
          <w:color w:val="0000E1"/>
        </w:rPr>
        <w:t xml:space="preserve"> further</w:t>
      </w:r>
      <w:r>
        <w:rPr>
          <w:rFonts w:ascii="Arial" w:cs="Arial" w:eastAsia="Arial" w:hAnsi="Arial"/>
          <w:sz w:val="16"/>
          <w:szCs w:val="16"/>
          <w:color w:val="0000E1"/>
        </w:rPr>
        <w:t>, that the exclusions referred to in</w:t>
      </w:r>
      <w:r>
        <w:rPr>
          <w:rFonts w:ascii="Arial" w:cs="Arial" w:eastAsia="Arial" w:hAnsi="Arial"/>
          <w:sz w:val="16"/>
          <w:szCs w:val="16"/>
          <w:i w:val="1"/>
          <w:iCs w:val="1"/>
          <w:color w:val="0000E1"/>
        </w:rPr>
        <w:t xml:space="preserve"> </w:t>
      </w:r>
      <w:r>
        <w:rPr>
          <w:rFonts w:ascii="Arial" w:cs="Arial" w:eastAsia="Arial" w:hAnsi="Arial"/>
          <w:sz w:val="16"/>
          <w:szCs w:val="16"/>
          <w:color w:val="FF0000"/>
          <w:strike w:val="1"/>
        </w:rPr>
        <w:t>preceding</w:t>
      </w:r>
      <w:r>
        <w:rPr>
          <w:rFonts w:ascii="Arial" w:cs="Arial" w:eastAsia="Arial" w:hAnsi="Arial"/>
          <w:sz w:val="16"/>
          <w:szCs w:val="16"/>
          <w:i w:val="1"/>
          <w:iCs w:val="1"/>
          <w:color w:val="0000E1"/>
        </w:rPr>
        <w:t xml:space="preserve"> </w:t>
      </w:r>
      <w:r>
        <w:rPr>
          <w:rFonts w:ascii="Arial" w:cs="Arial" w:eastAsia="Arial" w:hAnsi="Arial"/>
          <w:sz w:val="16"/>
          <w:szCs w:val="16"/>
          <w:u w:val="single" w:color="auto"/>
          <w:color w:val="0000E1"/>
        </w:rPr>
        <w:t>clauses (iv)</w:t>
      </w:r>
      <w:r>
        <w:rPr>
          <w:rFonts w:ascii="Arial" w:cs="Arial" w:eastAsia="Arial" w:hAnsi="Arial"/>
          <w:sz w:val="16"/>
          <w:szCs w:val="16"/>
          <w:color w:val="0000E1"/>
        </w:rPr>
        <w:t>,</w:t>
      </w:r>
      <w:r>
        <w:rPr>
          <w:rFonts w:ascii="Arial" w:cs="Arial" w:eastAsia="Arial" w:hAnsi="Arial"/>
          <w:sz w:val="16"/>
          <w:szCs w:val="16"/>
          <w:i w:val="1"/>
          <w:iCs w:val="1"/>
          <w:color w:val="0000E1"/>
        </w:rPr>
        <w:t xml:space="preserve"> </w:t>
      </w:r>
      <w:r>
        <w:rPr>
          <w:rFonts w:ascii="Arial" w:cs="Arial" w:eastAsia="Arial" w:hAnsi="Arial"/>
          <w:sz w:val="16"/>
          <w:szCs w:val="16"/>
          <w:u w:val="single" w:color="auto"/>
          <w:color w:val="0000E1"/>
        </w:rPr>
        <w:t>(v)</w:t>
      </w:r>
      <w:r>
        <w:rPr>
          <w:rFonts w:ascii="Arial" w:cs="Arial" w:eastAsia="Arial" w:hAnsi="Arial"/>
          <w:sz w:val="16"/>
          <w:szCs w:val="16"/>
          <w:i w:val="1"/>
          <w:iCs w:val="1"/>
          <w:color w:val="0000E1"/>
        </w:rPr>
        <w:t xml:space="preserve"> </w:t>
      </w:r>
      <w:r>
        <w:rPr>
          <w:rFonts w:ascii="Arial" w:cs="Arial" w:eastAsia="Arial" w:hAnsi="Arial"/>
          <w:sz w:val="16"/>
          <w:szCs w:val="16"/>
          <w:color w:val="0000E1"/>
        </w:rPr>
        <w:t>and</w:t>
      </w:r>
      <w:r>
        <w:rPr>
          <w:rFonts w:ascii="Arial" w:cs="Arial" w:eastAsia="Arial" w:hAnsi="Arial"/>
          <w:sz w:val="16"/>
          <w:szCs w:val="16"/>
          <w:i w:val="1"/>
          <w:iCs w:val="1"/>
          <w:color w:val="0000E1"/>
        </w:rPr>
        <w:t xml:space="preserve"> </w:t>
      </w:r>
      <w:r>
        <w:rPr>
          <w:rFonts w:ascii="Arial" w:cs="Arial" w:eastAsia="Arial" w:hAnsi="Arial"/>
          <w:sz w:val="16"/>
          <w:szCs w:val="16"/>
          <w:u w:val="single" w:color="auto"/>
          <w:color w:val="0000E1"/>
        </w:rPr>
        <w:t>(vi)</w:t>
      </w:r>
      <w:r>
        <w:rPr>
          <w:rFonts w:ascii="Arial" w:cs="Arial" w:eastAsia="Arial" w:hAnsi="Arial"/>
          <w:sz w:val="16"/>
          <w:szCs w:val="16"/>
          <w:i w:val="1"/>
          <w:iCs w:val="1"/>
          <w:color w:val="0000E1"/>
        </w:rPr>
        <w:t xml:space="preserve"> </w:t>
      </w:r>
      <w:r>
        <w:rPr>
          <w:rFonts w:ascii="Arial" w:cs="Arial" w:eastAsia="Arial" w:hAnsi="Arial"/>
          <w:sz w:val="16"/>
          <w:szCs w:val="16"/>
          <w:color w:val="0000E1"/>
        </w:rPr>
        <w:t>shall not include any Proceeds (as defined in the</w:t>
      </w:r>
      <w:r>
        <w:rPr>
          <w:rFonts w:ascii="Arial" w:cs="Arial" w:eastAsia="Arial" w:hAnsi="Arial"/>
          <w:sz w:val="16"/>
          <w:szCs w:val="16"/>
          <w:i w:val="1"/>
          <w:iCs w:val="1"/>
          <w:color w:val="0000E1"/>
        </w:rPr>
        <w:t xml:space="preserve"> </w:t>
      </w:r>
      <w:r>
        <w:rPr>
          <w:rFonts w:ascii="Arial" w:cs="Arial" w:eastAsia="Arial" w:hAnsi="Arial"/>
          <w:sz w:val="16"/>
          <w:szCs w:val="16"/>
          <w:color w:val="FF0000"/>
          <w:strike w:val="1"/>
        </w:rPr>
        <w:t>Security</w:t>
      </w:r>
      <w:r>
        <w:rPr>
          <w:rFonts w:ascii="Arial" w:cs="Arial" w:eastAsia="Arial" w:hAnsi="Arial"/>
          <w:sz w:val="16"/>
          <w:szCs w:val="16"/>
          <w:i w:val="1"/>
          <w:iCs w:val="1"/>
          <w:color w:val="0000E1"/>
        </w:rPr>
        <w:t xml:space="preserve"> </w:t>
      </w:r>
      <w:r>
        <w:rPr>
          <w:rFonts w:ascii="Arial" w:cs="Arial" w:eastAsia="Arial" w:hAnsi="Arial"/>
          <w:sz w:val="16"/>
          <w:szCs w:val="16"/>
          <w:color w:val="FF0000"/>
          <w:strike w:val="1"/>
        </w:rPr>
        <w:t>Agreement</w:t>
      </w:r>
      <w:r>
        <w:rPr>
          <w:rFonts w:ascii="Arial" w:cs="Arial" w:eastAsia="Arial" w:hAnsi="Arial"/>
          <w:sz w:val="16"/>
          <w:szCs w:val="16"/>
          <w:u w:val="single" w:color="auto"/>
          <w:color w:val="0000E1"/>
        </w:rPr>
        <w:t>UCC</w:t>
      </w:r>
      <w:r>
        <w:rPr>
          <w:rFonts w:ascii="Arial" w:cs="Arial" w:eastAsia="Arial" w:hAnsi="Arial"/>
          <w:sz w:val="16"/>
          <w:szCs w:val="16"/>
          <w:color w:val="0000E1"/>
        </w:rPr>
        <w:t>) of any such Equity Interests, Property or assets); (vii) no Liens shall be granted in any “intent to use” trademark applications filed</w:t>
      </w:r>
      <w:r>
        <w:rPr>
          <w:rFonts w:ascii="Arial" w:cs="Arial" w:eastAsia="Arial" w:hAnsi="Arial"/>
          <w:sz w:val="16"/>
          <w:szCs w:val="16"/>
          <w:color w:val="FF0000"/>
        </w:rPr>
        <w:t xml:space="preserve"> </w:t>
      </w:r>
      <w:r>
        <w:rPr>
          <w:rFonts w:ascii="Arial" w:cs="Arial" w:eastAsia="Arial" w:hAnsi="Arial"/>
          <w:sz w:val="16"/>
          <w:szCs w:val="16"/>
          <w:color w:val="0000E1"/>
        </w:rPr>
        <w:t>pursuant to Section 1(b) of the Lanham Act, 15 U.S.C. § 1051, prior to the filing of a “Statement of Use” pursuant to Section 1(d) of the Lanham Act or an “Amendment to Allege Use” pursuant to Section 1(c) of the Lanham Act with respect thereto, solely to the extent, if any, that, and solely during the period, if any, in which, a Lien therein would impair the validity or enforceability of any registration that issues from such intent-to-use application under applicable federal law; (viii) no Liens shall be granted (A) with respect to any property or assets to the extent the burden or cost of obtaining such Lien therein outweighs the benefit of the security afforded thereby as reasonably determined by the Borrower and the Administrative Agent, or (B) with respect to any other property or assets as shall be excluded from the Collateral pursuant to the Collateral Documents; and (ix) no Liens shall be granted with respect to any Property or assets to the extent that same would result in material adverse tax consequences as reasonably determined by the Borrower; provided, further, that (a) no Lien shall be perfected with respect to any Property or asset with respect to which the Borrower and the Collateral Agent reasonably determine that the burden or cost of perfecting a security interest in such Property or asset outweighs the benefit of perfection afforded thereby to the Secured Creditors, (b) no foreign law governed security or pledge agreement shall be required, (c) no landlord lien waivers, bailee letters or similar agreements shall be required and (d) the security interest granted pursuant the Collateral Documents upon the following Collateral shall not be required to be perfected: (i) cash and Cash Equivalents, deposit, securities and commodities accounts (including securities entitlements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-4665980</wp:posOffset>
            </wp:positionV>
            <wp:extent cx="342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-4665980</wp:posOffset>
            </wp:positionV>
            <wp:extent cx="254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-4665980</wp:posOffset>
            </wp:positionV>
            <wp:extent cx="6032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-4700270</wp:posOffset>
            </wp:positionV>
            <wp:extent cx="2857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-4743450</wp:posOffset>
            </wp:positionV>
            <wp:extent cx="2857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5852160</wp:posOffset>
            </wp:positionH>
            <wp:positionV relativeFrom="paragraph">
              <wp:posOffset>-1922780</wp:posOffset>
            </wp:positionV>
            <wp:extent cx="16256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-1922780</wp:posOffset>
            </wp:positionV>
            <wp:extent cx="254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-1648460</wp:posOffset>
            </wp:positionV>
            <wp:extent cx="24003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101" w:name="page102"/>
    <w:bookmarkEnd w:id="101"/>
    <w:p>
      <w:pPr>
        <w:ind w:left="4" w:right="2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related assets), in each case to the extent a security interest therein cannot be perfected by the filing of a financing statement under the UCC; (ii) other assets the security interest in which requires perfection through control agreements; (iii) vehicles and any other assets subject to certificates of title;</w:t>
      </w:r>
    </w:p>
    <w:p>
      <w:pPr>
        <w:ind w:left="4" w:right="40" w:hanging="4"/>
        <w:spacing w:after="0" w:line="252" w:lineRule="auto"/>
        <w:tabs>
          <w:tab w:leader="none" w:pos="30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commercial tort claims; and (v) letter of credit rights, in each case, to the extent a security interest therein cannot be perfected by the filing of a financing statement under the UCC. The Borrower acknowledges and agrees that the Liens on the Collateral shall be granted to the Administrative Agent for the benefit of the holders of the Obligations, the Hedging Liability, and the Funds Transfer, Deposit Account Liability and Foreign LCs and shall be valid and perfected first priority Liens subject, however, to the proviso appearing at the end of the preceding sentence and to Permitted Liens, in each case pursuant to one or more Collateral Documents entered into by such Persons, each in form and substance reasonably satisfactory to the Administrative Agent.</w:t>
      </w:r>
    </w:p>
    <w:p>
      <w:pPr>
        <w:spacing w:after="0" w:line="194" w:lineRule="exact"/>
        <w:rPr>
          <w:sz w:val="20"/>
          <w:szCs w:val="20"/>
          <w:color w:val="auto"/>
        </w:rPr>
      </w:pPr>
    </w:p>
    <w:p>
      <w:pPr>
        <w:ind w:left="444"/>
        <w:spacing w:after="0"/>
        <w:tabs>
          <w:tab w:leader="none" w:pos="1404"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i w:val="1"/>
          <w:iCs w:val="1"/>
          <w:color w:val="auto"/>
        </w:rPr>
        <w:t>Liens on Real Property</w:t>
      </w:r>
      <w:r>
        <w:rPr>
          <w:rFonts w:ascii="Arial" w:cs="Arial" w:eastAsia="Arial" w:hAnsi="Arial"/>
          <w:sz w:val="16"/>
          <w:szCs w:val="16"/>
          <w:color w:val="auto"/>
        </w:rPr>
        <w:t>. The Collateral shall not include any fee simple title to any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-53340</wp:posOffset>
            </wp:positionV>
            <wp:extent cx="2857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ind w:left="4" w:right="140" w:firstLine="440"/>
        <w:spacing w:after="0" w:line="279"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i w:val="1"/>
          <w:iCs w:val="1"/>
          <w:color w:val="auto"/>
        </w:rPr>
        <w:t>Further Assurances</w:t>
      </w:r>
      <w:r>
        <w:rPr>
          <w:rFonts w:ascii="Arial" w:cs="Arial" w:eastAsia="Arial" w:hAnsi="Arial"/>
          <w:sz w:val="17"/>
          <w:szCs w:val="17"/>
          <w:color w:val="auto"/>
        </w:rPr>
        <w:t xml:space="preserve">. The Borrower agrees that it shall, and shall cause each Guarantor to, from time to time at the reasonable request of the Administrative Agent or the Required Lenders, execute and deliver such documents and do such acts and things as the Administrative Agent or the Required Lenders may reasonably request in order to provide for or perfect or protect the Liens on the Collateral contemplated hereby, in each case subject to the limitations set forth in </w:t>
      </w:r>
      <w:r>
        <w:rPr>
          <w:rFonts w:ascii="Arial" w:cs="Arial" w:eastAsia="Arial" w:hAnsi="Arial"/>
          <w:sz w:val="17"/>
          <w:szCs w:val="17"/>
          <w:u w:val="single" w:color="auto"/>
          <w:color w:val="auto"/>
        </w:rPr>
        <w:t>Sections 4.2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w:t>
      </w:r>
      <w:r>
        <w:rPr>
          <w:rFonts w:ascii="Arial" w:cs="Arial" w:eastAsia="Arial" w:hAnsi="Arial"/>
          <w:sz w:val="17"/>
          <w:szCs w:val="17"/>
          <w:color w:val="FF0000"/>
          <w:strike w:val="1"/>
        </w:rPr>
        <w:t>hereof</w:t>
      </w:r>
      <w:r>
        <w:rPr>
          <w:rFonts w:ascii="Arial" w:cs="Arial" w:eastAsia="Arial" w:hAnsi="Arial"/>
          <w:sz w:val="17"/>
          <w:szCs w:val="17"/>
          <w:color w:val="auto"/>
        </w:rPr>
        <w:t xml:space="preserve"> and in the Collateral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-499110</wp:posOffset>
            </wp:positionV>
            <wp:extent cx="2857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59" w:lineRule="exact"/>
        <w:rPr>
          <w:sz w:val="20"/>
          <w:szCs w:val="20"/>
          <w:color w:val="auto"/>
        </w:rPr>
      </w:pPr>
    </w:p>
    <w:p>
      <w:pPr>
        <w:ind w:left="4"/>
        <w:spacing w:after="0"/>
        <w:tabs>
          <w:tab w:leader="none" w:pos="1104" w:val="left"/>
        </w:tabs>
        <w:rPr>
          <w:sz w:val="20"/>
          <w:szCs w:val="20"/>
          <w:color w:val="auto"/>
        </w:rPr>
      </w:pPr>
      <w:r>
        <w:rPr>
          <w:rFonts w:ascii="Arial" w:cs="Arial" w:eastAsia="Arial" w:hAnsi="Arial"/>
          <w:sz w:val="18"/>
          <w:szCs w:val="18"/>
          <w:color w:val="auto"/>
        </w:rPr>
        <w:t>SECTION 5.</w:t>
        <w:tab/>
        <w:t>D</w:t>
      </w:r>
      <w:r>
        <w:rPr>
          <w:rFonts w:ascii="Arial" w:cs="Arial" w:eastAsia="Arial" w:hAnsi="Arial"/>
          <w:sz w:val="14"/>
          <w:szCs w:val="14"/>
          <w:color w:val="auto"/>
        </w:rPr>
        <w:t>EFINITIONS</w:t>
      </w:r>
      <w:r>
        <w:rPr>
          <w:rFonts w:ascii="Arial" w:cs="Arial" w:eastAsia="Arial" w:hAnsi="Arial"/>
          <w:sz w:val="18"/>
          <w:szCs w:val="18"/>
          <w:color w:val="auto"/>
        </w:rPr>
        <w:t>, I</w:t>
      </w:r>
      <w:r>
        <w:rPr>
          <w:rFonts w:ascii="Arial" w:cs="Arial" w:eastAsia="Arial" w:hAnsi="Arial"/>
          <w:sz w:val="14"/>
          <w:szCs w:val="14"/>
          <w:color w:val="auto"/>
        </w:rPr>
        <w:t>NTERPRETATIONS</w:t>
      </w:r>
      <w:r>
        <w:rPr>
          <w:rFonts w:ascii="Arial" w:cs="Arial" w:eastAsia="Arial" w:hAnsi="Arial"/>
          <w:sz w:val="18"/>
          <w:szCs w:val="18"/>
          <w:color w:val="auto"/>
        </w:rPr>
        <w:t>; A</w:t>
      </w:r>
      <w:r>
        <w:rPr>
          <w:rFonts w:ascii="Arial" w:cs="Arial" w:eastAsia="Arial" w:hAnsi="Arial"/>
          <w:sz w:val="14"/>
          <w:szCs w:val="14"/>
          <w:color w:val="auto"/>
        </w:rPr>
        <w:t>CCOUNTING</w:t>
      </w:r>
      <w:r>
        <w:rPr>
          <w:rFonts w:ascii="Arial" w:cs="Arial" w:eastAsia="Arial" w:hAnsi="Arial"/>
          <w:sz w:val="18"/>
          <w:szCs w:val="18"/>
          <w:color w:val="auto"/>
        </w:rPr>
        <w:t xml:space="preserve"> T</w:t>
      </w:r>
      <w:r>
        <w:rPr>
          <w:rFonts w:ascii="Arial" w:cs="Arial" w:eastAsia="Arial" w:hAnsi="Arial"/>
          <w:sz w:val="14"/>
          <w:szCs w:val="14"/>
          <w:color w:val="auto"/>
        </w:rPr>
        <w:t>ERMS</w:t>
      </w:r>
      <w:r>
        <w:rPr>
          <w:rFonts w:ascii="Arial" w:cs="Arial" w:eastAsia="Arial" w:hAnsi="Arial"/>
          <w:sz w:val="18"/>
          <w:szCs w:val="18"/>
          <w:color w:val="auto"/>
        </w:rPr>
        <w:t>.</w:t>
      </w:r>
    </w:p>
    <w:p>
      <w:pPr>
        <w:spacing w:after="0" w:line="117" w:lineRule="exact"/>
        <w:rPr>
          <w:sz w:val="20"/>
          <w:szCs w:val="20"/>
          <w:color w:val="auto"/>
        </w:rPr>
      </w:pPr>
    </w:p>
    <w:p>
      <w:pPr>
        <w:ind w:left="444"/>
        <w:spacing w:after="0"/>
        <w:tabs>
          <w:tab w:leader="none" w:pos="1404"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color w:val="auto"/>
        </w:rPr>
        <w:t>Definitions. The following terms when used herein shall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1450340</wp:posOffset>
            </wp:positionH>
            <wp:positionV relativeFrom="paragraph">
              <wp:posOffset>-53340</wp:posOffset>
            </wp:positionV>
            <wp:extent cx="2857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Business</w:t>
      </w:r>
      <w:r>
        <w:rPr>
          <w:rFonts w:ascii="Arial" w:cs="Arial" w:eastAsia="Arial" w:hAnsi="Arial"/>
          <w:sz w:val="18"/>
          <w:szCs w:val="18"/>
          <w:color w:val="auto"/>
        </w:rPr>
        <w:t>” means the entity or assets acquired by the Borrower or a Restricted Subsidiary in an Acquisition.</w:t>
      </w:r>
    </w:p>
    <w:p>
      <w:pPr>
        <w:spacing w:after="0" w:line="225" w:lineRule="exact"/>
        <w:rPr>
          <w:sz w:val="20"/>
          <w:szCs w:val="20"/>
          <w:color w:val="auto"/>
        </w:rPr>
      </w:pPr>
    </w:p>
    <w:p>
      <w:pPr>
        <w:ind w:left="4" w:right="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Acquisition</w:t>
      </w:r>
      <w:r>
        <w:rPr>
          <w:rFonts w:ascii="Arial" w:cs="Arial" w:eastAsia="Arial" w:hAnsi="Arial"/>
          <w:sz w:val="16"/>
          <w:szCs w:val="16"/>
          <w:color w:val="auto"/>
        </w:rPr>
        <w:t>” means any transaction or series of related transactions for the purpose of or resulting, directly or indirectly, in (a) the acquisition of all or substantially all of the assets of a Person, or of any business or division of a Person, (b) the acquisition of in excess of 50% of the Equity Interests of any Person (other than a Person that is a Restricted Subsidiary, but, at the Borrower’s option, including acquisitions of Equity Interests increasing the ownership of the Borrower or a Restricted Subsidiary in such Restricted Subsidiary), or otherwise causing any Person to become a Restricted Subsidiary, or (c) a merger or consolidation or any other combination with another Person (other than a Person that is an existing Restricted Subsidiary).</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Eurodollar Rate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1.4(b)</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Adjustment</w:t>
      </w:r>
      <w:r>
        <w:rPr>
          <w:rFonts w:ascii="Arial" w:cs="Arial" w:eastAsia="Arial" w:hAnsi="Arial"/>
          <w:sz w:val="18"/>
          <w:szCs w:val="18"/>
          <w:u w:val="single" w:color="auto"/>
          <w:color w:val="0000E1"/>
        </w:rPr>
        <w:t>” is defined in Section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185991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0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Adjustment Date</w:t>
      </w:r>
      <w:r>
        <w:rPr>
          <w:rFonts w:ascii="Arial" w:cs="Arial" w:eastAsia="Arial" w:hAnsi="Arial"/>
          <w:sz w:val="18"/>
          <w:szCs w:val="18"/>
          <w:color w:val="auto"/>
        </w:rPr>
        <w:t xml:space="preserve">” means the date of delivery of financial statements required to be delivered pursuant to </w:t>
      </w:r>
      <w:r>
        <w:rPr>
          <w:rFonts w:ascii="Arial" w:cs="Arial" w:eastAsia="Arial" w:hAnsi="Arial"/>
          <w:sz w:val="18"/>
          <w:szCs w:val="18"/>
          <w:u w:val="single" w:color="auto"/>
          <w:color w:val="auto"/>
        </w:rPr>
        <w:t>Section 8.5(</w:t>
      </w:r>
      <w:r>
        <w:rPr>
          <w:rFonts w:ascii="Arial" w:cs="Arial" w:eastAsia="Arial" w:hAnsi="Arial"/>
          <w:sz w:val="18"/>
          <w:szCs w:val="18"/>
          <w:color w:val="FF0000"/>
          <w:strike w:val="1"/>
        </w:rPr>
        <w:t>A)(</w:t>
      </w:r>
      <w:r>
        <w:rPr>
          <w:rFonts w:ascii="Arial" w:cs="Arial" w:eastAsia="Arial" w:hAnsi="Arial"/>
          <w:sz w:val="18"/>
          <w:szCs w:val="18"/>
          <w:u w:val="single" w:color="auto"/>
          <w:color w:val="auto"/>
        </w:rPr>
        <w:t>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8.5(</w:t>
      </w:r>
      <w:r>
        <w:rPr>
          <w:rFonts w:ascii="Arial" w:cs="Arial" w:eastAsia="Arial" w:hAnsi="Arial"/>
          <w:sz w:val="18"/>
          <w:szCs w:val="18"/>
          <w:color w:val="FF0000"/>
          <w:strike w:val="1"/>
        </w:rPr>
        <w:t>A)(</w:t>
      </w:r>
      <w:r>
        <w:rPr>
          <w:rFonts w:ascii="Arial" w:cs="Arial" w:eastAsia="Arial" w:hAnsi="Arial"/>
          <w:sz w:val="18"/>
          <w:szCs w:val="18"/>
          <w:u w:val="single" w:color="auto"/>
          <w:color w:val="auto"/>
        </w:rPr>
        <w:t>b)</w:t>
      </w:r>
      <w:r>
        <w:rPr>
          <w:rFonts w:ascii="Arial" w:cs="Arial" w:eastAsia="Arial" w:hAnsi="Arial"/>
          <w:sz w:val="18"/>
          <w:szCs w:val="18"/>
          <w:color w:val="auto"/>
        </w:rPr>
        <w:t>, as applicable.</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w:t>
      </w:r>
      <w:r>
        <w:rPr>
          <w:rFonts w:ascii="Arial" w:cs="Arial" w:eastAsia="Arial" w:hAnsi="Arial"/>
          <w:sz w:val="18"/>
          <w:szCs w:val="18"/>
          <w:color w:val="auto"/>
        </w:rPr>
        <w:t xml:space="preserve">” </w:t>
      </w:r>
      <w:r>
        <w:rPr>
          <w:rFonts w:ascii="Arial" w:cs="Arial" w:eastAsia="Arial" w:hAnsi="Arial"/>
          <w:sz w:val="18"/>
          <w:szCs w:val="18"/>
          <w:color w:val="FF0000"/>
          <w:strike w:val="1"/>
        </w:rPr>
        <w:t>shall have the meaning assigned to such term</w:t>
      </w:r>
      <w:r>
        <w:rPr>
          <w:rFonts w:ascii="Arial" w:cs="Arial" w:eastAsia="Arial" w:hAnsi="Arial"/>
          <w:sz w:val="18"/>
          <w:szCs w:val="18"/>
          <w:u w:val="single" w:color="auto"/>
          <w:color w:val="0000E1"/>
        </w:rPr>
        <w:t>is defined</w:t>
      </w:r>
      <w:r>
        <w:rPr>
          <w:rFonts w:ascii="Arial" w:cs="Arial" w:eastAsia="Arial" w:hAnsi="Arial"/>
          <w:sz w:val="18"/>
          <w:szCs w:val="18"/>
          <w:color w:val="auto"/>
        </w:rPr>
        <w:t xml:space="preserve"> in the preamble hereto and includes each other person appointed as the successor administrative agent pursuant to </w:t>
      </w:r>
      <w:r>
        <w:rPr>
          <w:rFonts w:ascii="Arial" w:cs="Arial" w:eastAsia="Arial" w:hAnsi="Arial"/>
          <w:sz w:val="18"/>
          <w:szCs w:val="18"/>
          <w:color w:val="FF0000"/>
          <w:strike w:val="1"/>
        </w:rPr>
        <w:t>Article XI</w:t>
      </w:r>
      <w:r>
        <w:rPr>
          <w:rFonts w:ascii="Arial" w:cs="Arial" w:eastAsia="Arial" w:hAnsi="Arial"/>
          <w:sz w:val="18"/>
          <w:szCs w:val="18"/>
          <w:u w:val="single" w:color="auto"/>
          <w:color w:val="0000E1"/>
        </w:rPr>
        <w:t>Section 11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3446145</wp:posOffset>
            </wp:positionH>
            <wp:positionV relativeFrom="paragraph">
              <wp:posOffset>-147955</wp:posOffset>
            </wp:positionV>
            <wp:extent cx="44577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2597150</wp:posOffset>
            </wp:positionH>
            <wp:positionV relativeFrom="paragraph">
              <wp:posOffset>-10795</wp:posOffset>
            </wp:positionV>
            <wp:extent cx="48006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8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4" w:right="459" w:bottom="1440" w:gutter="0" w:footer="0" w:header="0"/>
        </w:sectPr>
      </w:pPr>
    </w:p>
    <w:bookmarkStart w:id="102" w:name="page103"/>
    <w:bookmarkEnd w:id="10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4" w:right="1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Advance Funding Arrangements</w:t>
      </w:r>
      <w:r>
        <w:rPr>
          <w:rFonts w:ascii="Arial" w:cs="Arial" w:eastAsia="Arial" w:hAnsi="Arial"/>
          <w:sz w:val="17"/>
          <w:szCs w:val="17"/>
          <w:color w:val="auto"/>
        </w:rPr>
        <w:t>” means any arrangements requested by the Borrower and acceptable to the Administrative Agent in its reasonable discretion for the delivery of funds by Lenders to, or for the account of, the Administrative Agent for safekeeping pending their delivery by the Administrative Agent to the Borrower on the date of any Borrowing to fund Loans of such Lenders on such date.</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E1"/>
        </w:rPr>
        <w:t>“</w:t>
      </w:r>
      <w:r>
        <w:rPr>
          <w:rFonts w:ascii="Arial" w:cs="Arial" w:eastAsia="Arial" w:hAnsi="Arial"/>
          <w:sz w:val="18"/>
          <w:szCs w:val="18"/>
          <w:i w:val="1"/>
          <w:iCs w:val="1"/>
          <w:u w:val="single" w:color="auto"/>
          <w:color w:val="0000E1"/>
        </w:rPr>
        <w:t>Affected Financial Institution</w:t>
      </w:r>
      <w:r>
        <w:rPr>
          <w:rFonts w:ascii="Arial" w:cs="Arial" w:eastAsia="Arial" w:hAnsi="Arial"/>
          <w:sz w:val="18"/>
          <w:szCs w:val="18"/>
          <w:u w:val="single" w:color="auto"/>
          <w:color w:val="0000E1"/>
        </w:rPr>
        <w:t>” means (a) any EEA Financial Institution or (b)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497205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972050" cy="8890"/>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“Affected Lender</w:t>
      </w:r>
      <w:r>
        <w:rPr>
          <w:rFonts w:ascii="Arial" w:cs="Arial" w:eastAsia="Arial" w:hAnsi="Arial"/>
          <w:sz w:val="18"/>
          <w:szCs w:val="18"/>
          <w:color w:val="auto"/>
        </w:rPr>
        <w:t>” is defined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1.14</w:t>
      </w:r>
      <w:r>
        <w:rPr>
          <w:rFonts w:ascii="Arial" w:cs="Arial" w:eastAsia="Arial" w:hAnsi="Arial"/>
          <w:sz w:val="18"/>
          <w:szCs w:val="18"/>
          <w:i w:val="1"/>
          <w:iCs w:val="1"/>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any Person directly or indirectly controlling or controlled by, or under direct or indirect common control with, 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w:t>
      </w:r>
    </w:p>
    <w:p>
      <w:pPr>
        <w:spacing w:after="0" w:line="187" w:lineRule="exact"/>
        <w:rPr>
          <w:sz w:val="20"/>
          <w:szCs w:val="20"/>
          <w:color w:val="auto"/>
        </w:rPr>
      </w:pPr>
    </w:p>
    <w:p>
      <w:pPr>
        <w:ind w:left="4"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Agents</w:t>
      </w:r>
      <w:r>
        <w:rPr>
          <w:rFonts w:ascii="Arial" w:cs="Arial" w:eastAsia="Arial" w:hAnsi="Arial"/>
          <w:sz w:val="18"/>
          <w:szCs w:val="18"/>
          <w:color w:val="auto"/>
        </w:rPr>
        <w:t>” means, collectively, the Administrative Agent, the Collateral Agent and each of their respective successors and assigns in such capacities.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Agreement</w:t>
      </w:r>
      <w:r>
        <w:rPr>
          <w:rFonts w:ascii="Arial" w:cs="Arial" w:eastAsia="Arial" w:hAnsi="Arial"/>
          <w:sz w:val="17"/>
          <w:szCs w:val="17"/>
          <w:color w:val="auto"/>
        </w:rPr>
        <w:t>” means this Amended and Restated Credit Agreement</w:t>
      </w:r>
      <w:r>
        <w:rPr>
          <w:rFonts w:ascii="Arial" w:cs="Arial" w:eastAsia="Arial" w:hAnsi="Arial"/>
          <w:sz w:val="17"/>
          <w:szCs w:val="17"/>
          <w:u w:val="single" w:color="auto"/>
          <w:color w:val="0000E1"/>
        </w:rPr>
        <w:t>, as amended, supplemented or otherwise modified from time to time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3326130</wp:posOffset>
            </wp:positionH>
            <wp:positionV relativeFrom="paragraph">
              <wp:posOffset>30480</wp:posOffset>
            </wp:positionV>
            <wp:extent cx="31546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Alternate Base Rate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1.4(a)</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Margin</w:t>
      </w:r>
      <w:r>
        <w:rPr>
          <w:rFonts w:ascii="Arial" w:cs="Arial" w:eastAsia="Arial" w:hAnsi="Arial"/>
          <w:sz w:val="16"/>
          <w:szCs w:val="16"/>
          <w:color w:val="auto"/>
        </w:rPr>
        <w:t xml:space="preserve">” means, for any day, with respect to (i) (x) Term Loans made on the Closing Date that are Eurodollar Loans or Base Rate Loans, the rate per annum set forth below under the caption “Adjusted Eurodollar Spread for Initial Term Loans” or “Base Rate Spread for Initial Term Loans”, as the case may be, in each case, based upon the Total Leverage Ratio as of last day of the last test period for which financial statements have been delivered pursuant to </w:t>
      </w:r>
      <w:r>
        <w:rPr>
          <w:rFonts w:ascii="Arial" w:cs="Arial" w:eastAsia="Arial" w:hAnsi="Arial"/>
          <w:sz w:val="16"/>
          <w:szCs w:val="16"/>
          <w:u w:val="single" w:color="auto"/>
          <w:color w:val="auto"/>
        </w:rPr>
        <w:t>Section 8.5(</w:t>
      </w:r>
      <w:r>
        <w:rPr>
          <w:rFonts w:ascii="Arial" w:cs="Arial" w:eastAsia="Arial" w:hAnsi="Arial"/>
          <w:sz w:val="16"/>
          <w:szCs w:val="16"/>
          <w:color w:val="FF0000"/>
          <w:strike w:val="1"/>
        </w:rPr>
        <w:t>A)(</w:t>
      </w:r>
      <w:r>
        <w:rPr>
          <w:rFonts w:ascii="Arial" w:cs="Arial" w:eastAsia="Arial" w:hAnsi="Arial"/>
          <w:sz w:val="16"/>
          <w:szCs w:val="16"/>
          <w:u w:val="single" w:color="auto"/>
          <w:color w:val="auto"/>
        </w:rPr>
        <w:t>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applicable, in each case as such Applicable Margins may be adjusted in accordance with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following the incurrence of New Term Loans, and (y) Revolving Loans made pursuant to the Revolving Credit Commitments in effect on the Closing Date that are Eurodollar Loans or Base Rate Loans, the rate per annum set forth below under the caption “Adjusted Eurodollar Spread for Initial Revolving Loans” or “Base Rate Spread for Initial Revolving Loans”, as the case may be, in each case, based upon the Total Leverage Ratio as of last day of the last test period for which financial statements have been delivered pursuant to </w:t>
      </w:r>
      <w:r>
        <w:rPr>
          <w:rFonts w:ascii="Arial" w:cs="Arial" w:eastAsia="Arial" w:hAnsi="Arial"/>
          <w:sz w:val="16"/>
          <w:szCs w:val="16"/>
          <w:u w:val="single" w:color="auto"/>
          <w:color w:val="auto"/>
        </w:rPr>
        <w:t>Section 8.5(</w:t>
      </w:r>
      <w:r>
        <w:rPr>
          <w:rFonts w:ascii="Arial" w:cs="Arial" w:eastAsia="Arial" w:hAnsi="Arial"/>
          <w:sz w:val="16"/>
          <w:szCs w:val="16"/>
          <w:color w:val="FF0000"/>
          <w:strike w:val="1"/>
        </w:rPr>
        <w:t>A)(</w:t>
      </w:r>
      <w:r>
        <w:rPr>
          <w:rFonts w:ascii="Arial" w:cs="Arial" w:eastAsia="Arial" w:hAnsi="Arial"/>
          <w:sz w:val="16"/>
          <w:szCs w:val="16"/>
          <w:u w:val="single" w:color="auto"/>
          <w:color w:val="auto"/>
        </w:rPr>
        <w:t>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the first Adjustment Date following the delivery to the Administrative Agent of the first Compliance Certificate delivered pursuant to Section 8.5 following the Closing Date, the “Applicable Margin” for such Term Loans and such Revolving Loans shall be the applicable rate per annum set forth below in Category 3, (ii) New Term Loans or New Revolving Loans, the rates per annum with respect thereto set forth in the Commitment Amount Increase Notice with respect thereto contemplated by, and as otherwise permitted by, </w:t>
      </w:r>
      <w:r>
        <w:rPr>
          <w:rFonts w:ascii="Arial" w:cs="Arial" w:eastAsia="Arial" w:hAnsi="Arial"/>
          <w:sz w:val="16"/>
          <w:szCs w:val="16"/>
          <w:u w:val="single" w:color="auto"/>
          <w:color w:val="auto"/>
        </w:rPr>
        <w:t>Section 1.16</w:t>
      </w:r>
      <w:r>
        <w:rPr>
          <w:rFonts w:ascii="Arial" w:cs="Arial" w:eastAsia="Arial" w:hAnsi="Arial"/>
          <w:sz w:val="16"/>
          <w:szCs w:val="16"/>
          <w:color w:val="auto"/>
        </w:rPr>
        <w:t>, (iii) Extended Term Loans incurred under</w:t>
      </w:r>
    </w:p>
    <w:p>
      <w:pPr>
        <w:spacing w:after="0" w:line="3" w:lineRule="exact"/>
        <w:rPr>
          <w:sz w:val="20"/>
          <w:szCs w:val="20"/>
          <w:color w:val="auto"/>
        </w:rPr>
      </w:pPr>
    </w:p>
    <w:p>
      <w:pPr>
        <w:ind w:left="4" w:right="60"/>
        <w:spacing w:after="0" w:line="281" w:lineRule="auto"/>
        <w:rPr>
          <w:sz w:val="20"/>
          <w:szCs w:val="20"/>
          <w:color w:val="auto"/>
        </w:rPr>
      </w:pP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or Extended Revolving Loans incurred under </w:t>
      </w:r>
      <w:r>
        <w:rPr>
          <w:rFonts w:ascii="Arial" w:cs="Arial" w:eastAsia="Arial" w:hAnsi="Arial"/>
          <w:sz w:val="16"/>
          <w:szCs w:val="16"/>
          <w:u w:val="single" w:color="auto"/>
          <w:color w:val="auto"/>
        </w:rPr>
        <w:t>Section 1.19</w:t>
      </w:r>
      <w:r>
        <w:rPr>
          <w:rFonts w:ascii="Arial" w:cs="Arial" w:eastAsia="Arial" w:hAnsi="Arial"/>
          <w:sz w:val="16"/>
          <w:szCs w:val="16"/>
          <w:color w:val="auto"/>
        </w:rPr>
        <w:t xml:space="preserve">, the rates per annum with respect thereto set forth in the Term Loan Extension Request or Revolving Credit Commitment Extensions Request, as the case may be, with respect thereto contemplated by, and as otherwise permitted by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1.19</w:t>
      </w:r>
      <w:r>
        <w:rPr>
          <w:rFonts w:ascii="Arial" w:cs="Arial" w:eastAsia="Arial" w:hAnsi="Arial"/>
          <w:sz w:val="16"/>
          <w:szCs w:val="16"/>
          <w:color w:val="auto"/>
        </w:rPr>
        <w:t xml:space="preserve">, respectively, (iv) Refinancing Term Loans incurred under </w:t>
      </w:r>
      <w:r>
        <w:rPr>
          <w:rFonts w:ascii="Arial" w:cs="Arial" w:eastAsia="Arial" w:hAnsi="Arial"/>
          <w:sz w:val="16"/>
          <w:szCs w:val="16"/>
          <w:u w:val="single" w:color="auto"/>
          <w:color w:val="auto"/>
        </w:rPr>
        <w:t>Section 1.20(a)</w:t>
      </w:r>
      <w:r>
        <w:rPr>
          <w:rFonts w:ascii="Arial" w:cs="Arial" w:eastAsia="Arial" w:hAnsi="Arial"/>
          <w:sz w:val="16"/>
          <w:szCs w:val="16"/>
          <w:color w:val="auto"/>
        </w:rPr>
        <w:t xml:space="preserve">, the rates per annum with respect thereto set forth in the Refinancing Term Loan Amendment with respect thereto contemplated by, and as otherwise permitted by, </w:t>
      </w:r>
      <w:r>
        <w:rPr>
          <w:rFonts w:ascii="Arial" w:cs="Arial" w:eastAsia="Arial" w:hAnsi="Arial"/>
          <w:sz w:val="16"/>
          <w:szCs w:val="16"/>
          <w:u w:val="single" w:color="auto"/>
          <w:color w:val="auto"/>
        </w:rPr>
        <w:t>Section 1.20(a)</w:t>
      </w:r>
      <w:r>
        <w:rPr>
          <w:rFonts w:ascii="Arial" w:cs="Arial" w:eastAsia="Arial" w:hAnsi="Arial"/>
          <w:sz w:val="16"/>
          <w:szCs w:val="16"/>
          <w:color w:val="auto"/>
        </w:rPr>
        <w:t>, and</w:t>
      </w:r>
    </w:p>
    <w:p>
      <w:pPr>
        <w:spacing w:after="0" w:line="2" w:lineRule="exact"/>
        <w:rPr>
          <w:sz w:val="20"/>
          <w:szCs w:val="20"/>
          <w:color w:val="auto"/>
        </w:rPr>
      </w:pPr>
    </w:p>
    <w:p>
      <w:pPr>
        <w:ind w:left="4" w:right="420" w:hanging="4"/>
        <w:spacing w:after="0" w:line="260" w:lineRule="auto"/>
        <w:tabs>
          <w:tab w:leader="none" w:pos="25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Replacement Revolving Loans incurred under </w:t>
      </w:r>
      <w:r>
        <w:rPr>
          <w:rFonts w:ascii="Arial" w:cs="Arial" w:eastAsia="Arial" w:hAnsi="Arial"/>
          <w:sz w:val="18"/>
          <w:szCs w:val="18"/>
          <w:u w:val="single" w:color="auto"/>
          <w:color w:val="auto"/>
        </w:rPr>
        <w:t>Section 1.20(b)</w:t>
      </w:r>
      <w:r>
        <w:rPr>
          <w:rFonts w:ascii="Arial" w:cs="Arial" w:eastAsia="Arial" w:hAnsi="Arial"/>
          <w:sz w:val="18"/>
          <w:szCs w:val="18"/>
          <w:color w:val="auto"/>
        </w:rPr>
        <w:t xml:space="preserve">, the rates per annum with respect thereto set forth in the Replacement Revolving Credit Amendment with respect thereto contemplated by, and as otherwise permitted by, </w:t>
      </w:r>
      <w:r>
        <w:rPr>
          <w:rFonts w:ascii="Arial" w:cs="Arial" w:eastAsia="Arial" w:hAnsi="Arial"/>
          <w:sz w:val="18"/>
          <w:szCs w:val="18"/>
          <w:u w:val="single" w:color="auto"/>
          <w:color w:val="auto"/>
        </w:rPr>
        <w:t>Section 1.20(b)</w:t>
      </w:r>
      <w:r>
        <w:rPr>
          <w:rFonts w:ascii="Arial" w:cs="Arial" w:eastAsia="Arial" w:hAnsi="Arial"/>
          <w:sz w:val="18"/>
          <w:szCs w:val="18"/>
          <w:color w:val="auto"/>
        </w:rPr>
        <w:t>.</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4"/>
          </w:cols>
          <w:pgMar w:left="436" w:top="274" w:right="479" w:bottom="1440" w:gutter="0" w:footer="0" w:header="0"/>
        </w:sectPr>
      </w:pPr>
    </w:p>
    <w:bookmarkStart w:id="103" w:name="page104"/>
    <w:bookmarkEnd w:id="103"/>
    <w:tbl>
      <w:tblPr>
        <w:tblLayout w:type="fixed"/>
        <w:tblInd w:w="13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Total Leverage Ratio</w:t>
            </w:r>
          </w:p>
        </w:tc>
        <w:tc>
          <w:tcPr>
            <w:tcW w:w="3140" w:type="dxa"/>
            <w:vAlign w:val="bottom"/>
          </w:tcPr>
          <w:p>
            <w:pPr>
              <w:jc w:val="right"/>
              <w:ind w:right="496"/>
              <w:spacing w:after="0"/>
              <w:rPr>
                <w:sz w:val="20"/>
                <w:szCs w:val="20"/>
                <w:color w:val="auto"/>
              </w:rPr>
            </w:pPr>
            <w:r>
              <w:rPr>
                <w:rFonts w:ascii="Arial" w:cs="Arial" w:eastAsia="Arial" w:hAnsi="Arial"/>
                <w:sz w:val="14"/>
                <w:szCs w:val="14"/>
                <w:b w:val="1"/>
                <w:bCs w:val="1"/>
                <w:color w:val="auto"/>
              </w:rPr>
              <w:t>Adjusted Eurodollar Spread</w:t>
            </w:r>
          </w:p>
        </w:tc>
        <w:tc>
          <w:tcPr>
            <w:tcW w:w="2060" w:type="dxa"/>
            <w:vAlign w:val="bottom"/>
          </w:tcPr>
          <w:p>
            <w:pPr>
              <w:jc w:val="right"/>
              <w:ind w:right="116"/>
              <w:spacing w:after="0"/>
              <w:rPr>
                <w:sz w:val="20"/>
                <w:szCs w:val="20"/>
                <w:color w:val="auto"/>
              </w:rPr>
            </w:pPr>
            <w:r>
              <w:rPr>
                <w:rFonts w:ascii="Arial" w:cs="Arial" w:eastAsia="Arial" w:hAnsi="Arial"/>
                <w:sz w:val="14"/>
                <w:szCs w:val="14"/>
                <w:b w:val="1"/>
                <w:bCs w:val="1"/>
                <w:color w:val="auto"/>
              </w:rPr>
              <w:t>Base Rate Spread for</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2360" w:type="dxa"/>
            <w:vAlign w:val="bottom"/>
            <w:vMerge w:val="continue"/>
          </w:tcPr>
          <w:p>
            <w:pPr>
              <w:spacing w:after="0"/>
              <w:rPr>
                <w:sz w:val="14"/>
                <w:szCs w:val="14"/>
                <w:color w:val="auto"/>
              </w:rPr>
            </w:pPr>
          </w:p>
        </w:tc>
        <w:tc>
          <w:tcPr>
            <w:tcW w:w="3140" w:type="dxa"/>
            <w:vAlign w:val="bottom"/>
          </w:tcPr>
          <w:p>
            <w:pPr>
              <w:jc w:val="right"/>
              <w:ind w:right="676"/>
              <w:spacing w:after="0"/>
              <w:rPr>
                <w:sz w:val="20"/>
                <w:szCs w:val="20"/>
                <w:color w:val="auto"/>
              </w:rPr>
            </w:pPr>
            <w:r>
              <w:rPr>
                <w:rFonts w:ascii="Arial" w:cs="Arial" w:eastAsia="Arial" w:hAnsi="Arial"/>
                <w:sz w:val="14"/>
                <w:szCs w:val="14"/>
                <w:b w:val="1"/>
                <w:bCs w:val="1"/>
                <w:color w:val="auto"/>
              </w:rPr>
              <w:t>for Initial Term Loans</w:t>
            </w:r>
          </w:p>
        </w:tc>
        <w:tc>
          <w:tcPr>
            <w:tcW w:w="2060" w:type="dxa"/>
            <w:vAlign w:val="bottom"/>
          </w:tcPr>
          <w:p>
            <w:pPr>
              <w:jc w:val="right"/>
              <w:ind w:right="196"/>
              <w:spacing w:after="0"/>
              <w:rPr>
                <w:sz w:val="20"/>
                <w:szCs w:val="20"/>
                <w:color w:val="auto"/>
              </w:rPr>
            </w:pPr>
            <w:r>
              <w:rPr>
                <w:rFonts w:ascii="Arial" w:cs="Arial" w:eastAsia="Arial" w:hAnsi="Arial"/>
                <w:sz w:val="14"/>
                <w:szCs w:val="14"/>
                <w:b w:val="1"/>
                <w:bCs w:val="1"/>
                <w:color w:val="auto"/>
              </w:rPr>
              <w:t>Initial Term Loans</w:t>
            </w: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Category 1</w:t>
            </w:r>
          </w:p>
        </w:tc>
        <w:tc>
          <w:tcPr>
            <w:tcW w:w="2360" w:type="dxa"/>
            <w:vAlign w:val="bottom"/>
            <w:tcBorders>
              <w:bottom w:val="single" w:sz="8" w:color="CCEEFF"/>
            </w:tcBorders>
            <w:shd w:val="clear" w:color="auto" w:fill="CCEEFF"/>
          </w:tcPr>
          <w:p>
            <w:pPr>
              <w:spacing w:after="0"/>
              <w:rPr>
                <w:sz w:val="17"/>
                <w:szCs w:val="17"/>
                <w:color w:val="auto"/>
              </w:rPr>
            </w:pPr>
          </w:p>
        </w:tc>
        <w:tc>
          <w:tcPr>
            <w:tcW w:w="31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Equal to or greater than 3.00:1.00</w:t>
            </w:r>
          </w:p>
        </w:tc>
        <w:tc>
          <w:tcPr>
            <w:tcW w:w="3140" w:type="dxa"/>
            <w:vAlign w:val="bottom"/>
          </w:tcPr>
          <w:p>
            <w:pPr>
              <w:jc w:val="right"/>
              <w:ind w:right="336"/>
              <w:spacing w:after="0"/>
              <w:rPr>
                <w:sz w:val="20"/>
                <w:szCs w:val="20"/>
                <w:color w:val="auto"/>
              </w:rPr>
            </w:pPr>
            <w:r>
              <w:rPr>
                <w:rFonts w:ascii="Arial" w:cs="Arial" w:eastAsia="Arial" w:hAnsi="Arial"/>
                <w:sz w:val="18"/>
                <w:szCs w:val="18"/>
                <w:color w:val="auto"/>
              </w:rPr>
              <w:t>2.00%</w:t>
            </w:r>
          </w:p>
        </w:tc>
        <w:tc>
          <w:tcPr>
            <w:tcW w:w="20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94"/>
        </w:trPr>
        <w:tc>
          <w:tcPr>
            <w:tcW w:w="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Category 2</w:t>
            </w:r>
          </w:p>
        </w:tc>
        <w:tc>
          <w:tcPr>
            <w:tcW w:w="2360" w:type="dxa"/>
            <w:vAlign w:val="bottom"/>
            <w:tcBorders>
              <w:bottom w:val="single" w:sz="8" w:color="CCEEFF"/>
            </w:tcBorders>
            <w:shd w:val="clear" w:color="auto" w:fill="CCEEFF"/>
          </w:tcPr>
          <w:p>
            <w:pPr>
              <w:spacing w:after="0"/>
              <w:rPr>
                <w:sz w:val="17"/>
                <w:szCs w:val="17"/>
                <w:color w:val="auto"/>
              </w:rPr>
            </w:pPr>
          </w:p>
        </w:tc>
        <w:tc>
          <w:tcPr>
            <w:tcW w:w="31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Less than 3.00:1.00 but equal to or</w:t>
            </w:r>
          </w:p>
        </w:tc>
        <w:tc>
          <w:tcPr>
            <w:tcW w:w="3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greater than 2.25:1.00</w:t>
            </w:r>
          </w:p>
        </w:tc>
        <w:tc>
          <w:tcPr>
            <w:tcW w:w="3140" w:type="dxa"/>
            <w:vAlign w:val="bottom"/>
          </w:tcPr>
          <w:p>
            <w:pPr>
              <w:jc w:val="right"/>
              <w:ind w:right="336"/>
              <w:spacing w:after="0"/>
              <w:rPr>
                <w:sz w:val="20"/>
                <w:szCs w:val="20"/>
                <w:color w:val="auto"/>
              </w:rPr>
            </w:pPr>
            <w:r>
              <w:rPr>
                <w:rFonts w:ascii="Arial" w:cs="Arial" w:eastAsia="Arial" w:hAnsi="Arial"/>
                <w:sz w:val="18"/>
                <w:szCs w:val="18"/>
                <w:color w:val="auto"/>
              </w:rPr>
              <w:t>1.75%</w:t>
            </w:r>
          </w:p>
        </w:tc>
        <w:tc>
          <w:tcPr>
            <w:tcW w:w="206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Category 3</w:t>
            </w:r>
          </w:p>
        </w:tc>
        <w:tc>
          <w:tcPr>
            <w:tcW w:w="2360" w:type="dxa"/>
            <w:vAlign w:val="bottom"/>
            <w:tcBorders>
              <w:bottom w:val="single" w:sz="8" w:color="CCEEFF"/>
            </w:tcBorders>
            <w:shd w:val="clear" w:color="auto" w:fill="CCEEFF"/>
          </w:tcPr>
          <w:p>
            <w:pPr>
              <w:spacing w:after="0"/>
              <w:rPr>
                <w:sz w:val="17"/>
                <w:szCs w:val="17"/>
                <w:color w:val="auto"/>
              </w:rPr>
            </w:pPr>
          </w:p>
        </w:tc>
        <w:tc>
          <w:tcPr>
            <w:tcW w:w="31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Less than 2.25:1.00 but equal to or</w:t>
            </w:r>
          </w:p>
        </w:tc>
        <w:tc>
          <w:tcPr>
            <w:tcW w:w="3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greater than 1.50:1.00</w:t>
            </w:r>
          </w:p>
        </w:tc>
        <w:tc>
          <w:tcPr>
            <w:tcW w:w="3140" w:type="dxa"/>
            <w:vAlign w:val="bottom"/>
          </w:tcPr>
          <w:p>
            <w:pPr>
              <w:jc w:val="right"/>
              <w:ind w:right="336"/>
              <w:spacing w:after="0"/>
              <w:rPr>
                <w:sz w:val="20"/>
                <w:szCs w:val="20"/>
                <w:color w:val="auto"/>
              </w:rPr>
            </w:pPr>
            <w:r>
              <w:rPr>
                <w:rFonts w:ascii="Arial" w:cs="Arial" w:eastAsia="Arial" w:hAnsi="Arial"/>
                <w:sz w:val="18"/>
                <w:szCs w:val="18"/>
                <w:color w:val="auto"/>
              </w:rPr>
              <w:t>1.50%</w:t>
            </w:r>
          </w:p>
        </w:tc>
        <w:tc>
          <w:tcPr>
            <w:tcW w:w="206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Category 4</w:t>
            </w:r>
          </w:p>
        </w:tc>
        <w:tc>
          <w:tcPr>
            <w:tcW w:w="2360" w:type="dxa"/>
            <w:vAlign w:val="bottom"/>
            <w:tcBorders>
              <w:bottom w:val="single" w:sz="8" w:color="CCEEFF"/>
            </w:tcBorders>
            <w:shd w:val="clear" w:color="auto" w:fill="CCEEFF"/>
          </w:tcPr>
          <w:p>
            <w:pPr>
              <w:spacing w:after="0"/>
              <w:rPr>
                <w:sz w:val="17"/>
                <w:szCs w:val="17"/>
                <w:color w:val="auto"/>
              </w:rPr>
            </w:pPr>
          </w:p>
        </w:tc>
        <w:tc>
          <w:tcPr>
            <w:tcW w:w="31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Less than 1.50:1.00</w:t>
            </w:r>
          </w:p>
        </w:tc>
        <w:tc>
          <w:tcPr>
            <w:tcW w:w="3140" w:type="dxa"/>
            <w:vAlign w:val="bottom"/>
          </w:tcPr>
          <w:p>
            <w:pPr>
              <w:jc w:val="right"/>
              <w:ind w:right="336"/>
              <w:spacing w:after="0"/>
              <w:rPr>
                <w:sz w:val="20"/>
                <w:szCs w:val="20"/>
                <w:color w:val="auto"/>
              </w:rPr>
            </w:pPr>
            <w:r>
              <w:rPr>
                <w:rFonts w:ascii="Arial" w:cs="Arial" w:eastAsia="Arial" w:hAnsi="Arial"/>
                <w:sz w:val="18"/>
                <w:szCs w:val="18"/>
                <w:color w:val="auto"/>
              </w:rPr>
              <w:t>1.25%</w:t>
            </w:r>
          </w:p>
        </w:tc>
        <w:tc>
          <w:tcPr>
            <w:tcW w:w="206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54"/>
        </w:trPr>
        <w:tc>
          <w:tcPr>
            <w:tcW w:w="316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Total Leverage Ratio</w:t>
            </w:r>
          </w:p>
        </w:tc>
        <w:tc>
          <w:tcPr>
            <w:tcW w:w="3140" w:type="dxa"/>
            <w:vAlign w:val="bottom"/>
          </w:tcPr>
          <w:p>
            <w:pPr>
              <w:jc w:val="right"/>
              <w:ind w:right="656"/>
              <w:spacing w:after="0"/>
              <w:rPr>
                <w:sz w:val="20"/>
                <w:szCs w:val="20"/>
                <w:color w:val="auto"/>
              </w:rPr>
            </w:pPr>
            <w:r>
              <w:rPr>
                <w:rFonts w:ascii="Arial" w:cs="Arial" w:eastAsia="Arial" w:hAnsi="Arial"/>
                <w:sz w:val="14"/>
                <w:szCs w:val="14"/>
                <w:b w:val="1"/>
                <w:bCs w:val="1"/>
                <w:color w:val="auto"/>
              </w:rPr>
              <w:t>Adjusted Eurodollar Spread</w:t>
            </w:r>
          </w:p>
        </w:tc>
        <w:tc>
          <w:tcPr>
            <w:tcW w:w="2060" w:type="dxa"/>
            <w:vAlign w:val="bottom"/>
          </w:tcPr>
          <w:p>
            <w:pPr>
              <w:jc w:val="right"/>
              <w:ind w:right="176"/>
              <w:spacing w:after="0"/>
              <w:rPr>
                <w:sz w:val="20"/>
                <w:szCs w:val="20"/>
                <w:color w:val="auto"/>
              </w:rPr>
            </w:pPr>
            <w:r>
              <w:rPr>
                <w:rFonts w:ascii="Arial" w:cs="Arial" w:eastAsia="Arial" w:hAnsi="Arial"/>
                <w:sz w:val="14"/>
                <w:szCs w:val="14"/>
                <w:b w:val="1"/>
                <w:bCs w:val="1"/>
                <w:color w:val="auto"/>
              </w:rPr>
              <w:t>Base Rate Spread for</w:t>
            </w: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3140" w:type="dxa"/>
            <w:vAlign w:val="bottom"/>
          </w:tcPr>
          <w:p>
            <w:pPr>
              <w:jc w:val="right"/>
              <w:ind w:right="696"/>
              <w:spacing w:after="0"/>
              <w:rPr>
                <w:sz w:val="20"/>
                <w:szCs w:val="20"/>
                <w:color w:val="auto"/>
              </w:rPr>
            </w:pPr>
            <w:r>
              <w:rPr>
                <w:rFonts w:ascii="Arial" w:cs="Arial" w:eastAsia="Arial" w:hAnsi="Arial"/>
                <w:sz w:val="14"/>
                <w:szCs w:val="14"/>
                <w:b w:val="1"/>
                <w:bCs w:val="1"/>
                <w:color w:val="auto"/>
              </w:rPr>
              <w:t>for Initial Revolving Loans</w:t>
            </w:r>
          </w:p>
        </w:tc>
        <w:tc>
          <w:tcPr>
            <w:tcW w:w="2060" w:type="dxa"/>
            <w:vAlign w:val="bottom"/>
          </w:tcPr>
          <w:p>
            <w:pPr>
              <w:jc w:val="right"/>
              <w:ind w:right="116"/>
              <w:spacing w:after="0"/>
              <w:rPr>
                <w:sz w:val="20"/>
                <w:szCs w:val="20"/>
                <w:color w:val="auto"/>
              </w:rPr>
            </w:pPr>
            <w:r>
              <w:rPr>
                <w:rFonts w:ascii="Arial" w:cs="Arial" w:eastAsia="Arial" w:hAnsi="Arial"/>
                <w:sz w:val="14"/>
                <w:szCs w:val="14"/>
                <w:b w:val="1"/>
                <w:bCs w:val="1"/>
                <w:color w:val="auto"/>
              </w:rPr>
              <w:t>Initial Revolving Loans</w:t>
            </w: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Category 1</w:t>
            </w:r>
          </w:p>
        </w:tc>
        <w:tc>
          <w:tcPr>
            <w:tcW w:w="2360" w:type="dxa"/>
            <w:vAlign w:val="bottom"/>
            <w:tcBorders>
              <w:bottom w:val="single" w:sz="8" w:color="CCEEFF"/>
            </w:tcBorders>
            <w:shd w:val="clear" w:color="auto" w:fill="CCEEFF"/>
          </w:tcPr>
          <w:p>
            <w:pPr>
              <w:spacing w:after="0"/>
              <w:rPr>
                <w:sz w:val="17"/>
                <w:szCs w:val="17"/>
                <w:color w:val="auto"/>
              </w:rPr>
            </w:pPr>
          </w:p>
        </w:tc>
        <w:tc>
          <w:tcPr>
            <w:tcW w:w="31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Equal to or greater than 3.00:1.00</w:t>
            </w:r>
          </w:p>
        </w:tc>
        <w:tc>
          <w:tcPr>
            <w:tcW w:w="3140" w:type="dxa"/>
            <w:vAlign w:val="bottom"/>
          </w:tcPr>
          <w:p>
            <w:pPr>
              <w:jc w:val="right"/>
              <w:ind w:right="496"/>
              <w:spacing w:after="0"/>
              <w:rPr>
                <w:sz w:val="20"/>
                <w:szCs w:val="20"/>
                <w:color w:val="auto"/>
              </w:rPr>
            </w:pPr>
            <w:r>
              <w:rPr>
                <w:rFonts w:ascii="Arial" w:cs="Arial" w:eastAsia="Arial" w:hAnsi="Arial"/>
                <w:sz w:val="18"/>
                <w:szCs w:val="18"/>
                <w:color w:val="auto"/>
              </w:rPr>
              <w:t>2.00%</w:t>
            </w:r>
          </w:p>
        </w:tc>
        <w:tc>
          <w:tcPr>
            <w:tcW w:w="20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94"/>
        </w:trPr>
        <w:tc>
          <w:tcPr>
            <w:tcW w:w="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Category 2</w:t>
            </w:r>
          </w:p>
        </w:tc>
        <w:tc>
          <w:tcPr>
            <w:tcW w:w="2360" w:type="dxa"/>
            <w:vAlign w:val="bottom"/>
            <w:tcBorders>
              <w:bottom w:val="single" w:sz="8" w:color="CCEEFF"/>
            </w:tcBorders>
            <w:shd w:val="clear" w:color="auto" w:fill="CCEEFF"/>
          </w:tcPr>
          <w:p>
            <w:pPr>
              <w:spacing w:after="0"/>
              <w:rPr>
                <w:sz w:val="17"/>
                <w:szCs w:val="17"/>
                <w:color w:val="auto"/>
              </w:rPr>
            </w:pPr>
          </w:p>
        </w:tc>
        <w:tc>
          <w:tcPr>
            <w:tcW w:w="31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Less than 3.00:1.00 but equal to or</w:t>
            </w:r>
          </w:p>
        </w:tc>
        <w:tc>
          <w:tcPr>
            <w:tcW w:w="3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greater than 2.25:1.00</w:t>
            </w:r>
          </w:p>
        </w:tc>
        <w:tc>
          <w:tcPr>
            <w:tcW w:w="3140" w:type="dxa"/>
            <w:vAlign w:val="bottom"/>
          </w:tcPr>
          <w:p>
            <w:pPr>
              <w:jc w:val="right"/>
              <w:ind w:right="496"/>
              <w:spacing w:after="0"/>
              <w:rPr>
                <w:sz w:val="20"/>
                <w:szCs w:val="20"/>
                <w:color w:val="auto"/>
              </w:rPr>
            </w:pPr>
            <w:r>
              <w:rPr>
                <w:rFonts w:ascii="Arial" w:cs="Arial" w:eastAsia="Arial" w:hAnsi="Arial"/>
                <w:sz w:val="18"/>
                <w:szCs w:val="18"/>
                <w:color w:val="auto"/>
              </w:rPr>
              <w:t>1.75%</w:t>
            </w:r>
          </w:p>
        </w:tc>
        <w:tc>
          <w:tcPr>
            <w:tcW w:w="206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Category 3</w:t>
            </w:r>
          </w:p>
        </w:tc>
        <w:tc>
          <w:tcPr>
            <w:tcW w:w="2360" w:type="dxa"/>
            <w:vAlign w:val="bottom"/>
            <w:tcBorders>
              <w:bottom w:val="single" w:sz="8" w:color="CCEEFF"/>
            </w:tcBorders>
            <w:shd w:val="clear" w:color="auto" w:fill="CCEEFF"/>
          </w:tcPr>
          <w:p>
            <w:pPr>
              <w:spacing w:after="0"/>
              <w:rPr>
                <w:sz w:val="17"/>
                <w:szCs w:val="17"/>
                <w:color w:val="auto"/>
              </w:rPr>
            </w:pPr>
          </w:p>
        </w:tc>
        <w:tc>
          <w:tcPr>
            <w:tcW w:w="31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Less than 2.25:1.00 but equal to or</w:t>
            </w:r>
          </w:p>
        </w:tc>
        <w:tc>
          <w:tcPr>
            <w:tcW w:w="3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greater than 1.50:1.00</w:t>
            </w:r>
          </w:p>
        </w:tc>
        <w:tc>
          <w:tcPr>
            <w:tcW w:w="3140" w:type="dxa"/>
            <w:vAlign w:val="bottom"/>
          </w:tcPr>
          <w:p>
            <w:pPr>
              <w:jc w:val="right"/>
              <w:ind w:right="496"/>
              <w:spacing w:after="0"/>
              <w:rPr>
                <w:sz w:val="20"/>
                <w:szCs w:val="20"/>
                <w:color w:val="auto"/>
              </w:rPr>
            </w:pPr>
            <w:r>
              <w:rPr>
                <w:rFonts w:ascii="Arial" w:cs="Arial" w:eastAsia="Arial" w:hAnsi="Arial"/>
                <w:sz w:val="18"/>
                <w:szCs w:val="18"/>
                <w:color w:val="auto"/>
              </w:rPr>
              <w:t>1.50%</w:t>
            </w:r>
          </w:p>
        </w:tc>
        <w:tc>
          <w:tcPr>
            <w:tcW w:w="206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Category 4</w:t>
            </w:r>
          </w:p>
        </w:tc>
        <w:tc>
          <w:tcPr>
            <w:tcW w:w="2360" w:type="dxa"/>
            <w:vAlign w:val="bottom"/>
            <w:tcBorders>
              <w:bottom w:val="single" w:sz="8" w:color="CCEEFF"/>
            </w:tcBorders>
            <w:shd w:val="clear" w:color="auto" w:fill="CCEEFF"/>
          </w:tcPr>
          <w:p>
            <w:pPr>
              <w:spacing w:after="0"/>
              <w:rPr>
                <w:sz w:val="17"/>
                <w:szCs w:val="17"/>
                <w:color w:val="auto"/>
              </w:rPr>
            </w:pPr>
          </w:p>
        </w:tc>
        <w:tc>
          <w:tcPr>
            <w:tcW w:w="31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Less than 1.50:1.00</w:t>
            </w:r>
          </w:p>
        </w:tc>
        <w:tc>
          <w:tcPr>
            <w:tcW w:w="3140" w:type="dxa"/>
            <w:vAlign w:val="bottom"/>
          </w:tcPr>
          <w:p>
            <w:pPr>
              <w:jc w:val="right"/>
              <w:ind w:right="496"/>
              <w:spacing w:after="0"/>
              <w:rPr>
                <w:sz w:val="20"/>
                <w:szCs w:val="20"/>
                <w:color w:val="auto"/>
              </w:rPr>
            </w:pPr>
            <w:r>
              <w:rPr>
                <w:rFonts w:ascii="Arial" w:cs="Arial" w:eastAsia="Arial" w:hAnsi="Arial"/>
                <w:sz w:val="18"/>
                <w:szCs w:val="18"/>
                <w:color w:val="auto"/>
              </w:rPr>
              <w:t>1.25%</w:t>
            </w:r>
          </w:p>
        </w:tc>
        <w:tc>
          <w:tcPr>
            <w:tcW w:w="206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firstLine="440"/>
        <w:spacing w:after="0" w:line="285" w:lineRule="auto"/>
        <w:rPr>
          <w:sz w:val="20"/>
          <w:szCs w:val="20"/>
          <w:color w:val="auto"/>
        </w:rPr>
      </w:pPr>
      <w:r>
        <w:rPr>
          <w:rFonts w:ascii="Arial" w:cs="Arial" w:eastAsia="Arial" w:hAnsi="Arial"/>
          <w:sz w:val="16"/>
          <w:szCs w:val="16"/>
          <w:color w:val="auto"/>
        </w:rPr>
        <w:t xml:space="preserve">In the case of Term Loans made on the Closing Date and Revolving Loans made pursuant to the Revolving Credit Commitments in effect on the Closing Date, the Applicable Margin shall be adjusted quarterly on a prospective basis on each Adjustment Date based upon the Total Leverage Ratio in accordance with the table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financial statements are not delivered when required pursuant to </w:t>
      </w:r>
      <w:r>
        <w:rPr>
          <w:rFonts w:ascii="Arial" w:cs="Arial" w:eastAsia="Arial" w:hAnsi="Arial"/>
          <w:sz w:val="16"/>
          <w:szCs w:val="16"/>
          <w:u w:val="single" w:color="auto"/>
          <w:color w:val="auto"/>
        </w:rPr>
        <w:t>Section 8.5(</w:t>
      </w:r>
      <w:r>
        <w:rPr>
          <w:rFonts w:ascii="Arial" w:cs="Arial" w:eastAsia="Arial" w:hAnsi="Arial"/>
          <w:sz w:val="16"/>
          <w:szCs w:val="16"/>
          <w:color w:val="FF0000"/>
          <w:strike w:val="1"/>
        </w:rPr>
        <w:t>A)(</w:t>
      </w:r>
      <w:r>
        <w:rPr>
          <w:rFonts w:ascii="Arial" w:cs="Arial" w:eastAsia="Arial" w:hAnsi="Arial"/>
          <w:sz w:val="16"/>
          <w:szCs w:val="16"/>
          <w:u w:val="single" w:color="auto"/>
          <w:color w:val="auto"/>
        </w:rPr>
        <w:t>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applicable, the Applicable Margin shall be the rate per annum set forth above in Category 1 commencing on the date by which such financial statements were to be delivered under </w:t>
      </w:r>
      <w:r>
        <w:rPr>
          <w:rFonts w:ascii="Arial" w:cs="Arial" w:eastAsia="Arial" w:hAnsi="Arial"/>
          <w:sz w:val="16"/>
          <w:szCs w:val="16"/>
          <w:u w:val="single" w:color="auto"/>
          <w:color w:val="auto"/>
        </w:rPr>
        <w:t>Section 8.5(</w:t>
      </w:r>
      <w:r>
        <w:rPr>
          <w:rFonts w:ascii="Arial" w:cs="Arial" w:eastAsia="Arial" w:hAnsi="Arial"/>
          <w:sz w:val="16"/>
          <w:szCs w:val="16"/>
          <w:color w:val="FF0000"/>
          <w:strike w:val="1"/>
        </w:rPr>
        <w:t>A)(</w:t>
      </w:r>
      <w:r>
        <w:rPr>
          <w:rFonts w:ascii="Arial" w:cs="Arial" w:eastAsia="Arial" w:hAnsi="Arial"/>
          <w:sz w:val="16"/>
          <w:szCs w:val="16"/>
          <w:u w:val="single" w:color="auto"/>
          <w:color w:val="auto"/>
        </w:rPr>
        <w:t>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applicable, until such financial statements are delivered in compliance with </w:t>
      </w:r>
      <w:r>
        <w:rPr>
          <w:rFonts w:ascii="Arial" w:cs="Arial" w:eastAsia="Arial" w:hAnsi="Arial"/>
          <w:sz w:val="16"/>
          <w:szCs w:val="16"/>
          <w:u w:val="single" w:color="auto"/>
          <w:color w:val="auto"/>
        </w:rPr>
        <w:t>Section 8.5(</w:t>
      </w:r>
      <w:r>
        <w:rPr>
          <w:rFonts w:ascii="Arial" w:cs="Arial" w:eastAsia="Arial" w:hAnsi="Arial"/>
          <w:sz w:val="16"/>
          <w:szCs w:val="16"/>
          <w:color w:val="FF0000"/>
          <w:strike w:val="1"/>
        </w:rPr>
        <w:t>A)(</w:t>
      </w:r>
      <w:r>
        <w:rPr>
          <w:rFonts w:ascii="Arial" w:cs="Arial" w:eastAsia="Arial" w:hAnsi="Arial"/>
          <w:sz w:val="16"/>
          <w:szCs w:val="16"/>
          <w:u w:val="single" w:color="auto"/>
          <w:color w:val="auto"/>
        </w:rPr>
        <w:t>a)</w:t>
      </w:r>
      <w:r>
        <w:rPr>
          <w:rFonts w:ascii="Arial" w:cs="Arial" w:eastAsia="Arial" w:hAnsi="Arial"/>
          <w:sz w:val="16"/>
          <w:szCs w:val="16"/>
          <w:color w:val="auto"/>
        </w:rPr>
        <w:t xml:space="preserve"> or</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 as applicable</w:t>
      </w:r>
      <w:r>
        <w:rPr>
          <w:rFonts w:ascii="Arial" w:cs="Arial" w:eastAsia="Arial" w:hAnsi="Arial"/>
          <w:sz w:val="18"/>
          <w:szCs w:val="18"/>
          <w:u w:val="single" w:color="auto"/>
          <w:color w:val="0000E1"/>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E1"/>
        </w:rPr>
        <w:t>provided</w:t>
      </w:r>
      <w:r>
        <w:rPr>
          <w:rFonts w:ascii="Arial" w:cs="Arial" w:eastAsia="Arial" w:hAnsi="Arial"/>
          <w:sz w:val="18"/>
          <w:szCs w:val="18"/>
          <w:u w:val="single" w:color="auto"/>
          <w:color w:val="0000E1"/>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E1"/>
        </w:rPr>
        <w:t>further</w:t>
      </w:r>
      <w:r>
        <w:rPr>
          <w:rFonts w:ascii="Arial" w:cs="Arial" w:eastAsia="Arial" w:hAnsi="Arial"/>
          <w:sz w:val="18"/>
          <w:szCs w:val="18"/>
          <w:u w:val="single" w:color="auto"/>
          <w:color w:val="0000E1"/>
        </w:rPr>
        <w:t>, that during the Financial Covenant Suspension Period, the Applicable Margin shall be the rate per annum set forth</w:t>
      </w:r>
      <w:r>
        <w:rPr>
          <w:rFonts w:ascii="Arial" w:cs="Arial" w:eastAsia="Arial" w:hAnsi="Arial"/>
          <w:sz w:val="18"/>
          <w:szCs w:val="18"/>
          <w:color w:val="auto"/>
        </w:rPr>
        <w:t xml:space="preserve"> </w:t>
      </w:r>
      <w:r>
        <w:rPr>
          <w:rFonts w:ascii="Arial" w:cs="Arial" w:eastAsia="Arial" w:hAnsi="Arial"/>
          <w:sz w:val="18"/>
          <w:szCs w:val="18"/>
          <w:u w:val="single" w:color="auto"/>
          <w:color w:val="0000E1"/>
        </w:rPr>
        <w:t>above in Category 1</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-138430</wp:posOffset>
            </wp:positionV>
            <wp:extent cx="612076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92583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440" w:top="253" w:right="499" w:bottom="1440" w:gutter="0" w:footer="0" w:header="0"/>
        </w:sectPr>
      </w:pPr>
    </w:p>
    <w:bookmarkStart w:id="104" w:name="page105"/>
    <w:bookmarkEnd w:id="10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to the contrary contained in this definition, the determination of the Applicable Margin for any period shall be subject to the provisions of </w:t>
      </w:r>
      <w:r>
        <w:rPr>
          <w:rFonts w:ascii="Arial" w:cs="Arial" w:eastAsia="Arial" w:hAnsi="Arial"/>
          <w:sz w:val="18"/>
          <w:szCs w:val="18"/>
          <w:u w:val="single" w:color="auto"/>
          <w:color w:val="auto"/>
        </w:rPr>
        <w:t>Section 1.4(d)</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1.3(b)</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Fund</w:t>
      </w:r>
      <w:r>
        <w:rPr>
          <w:rFonts w:ascii="Arial" w:cs="Arial" w:eastAsia="Arial" w:hAnsi="Arial"/>
          <w:sz w:val="18"/>
          <w:szCs w:val="18"/>
          <w:color w:val="auto"/>
        </w:rPr>
        <w:t>” means any Fund that is administered or managed by (i) a Lender, (ii) an Affiliate of a Lender or (iii) an entity or an Affiliate of an entity that administers or manages a Lender.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Arrangers</w:t>
      </w:r>
      <w:r>
        <w:rPr>
          <w:rFonts w:ascii="Arial" w:cs="Arial" w:eastAsia="Arial" w:hAnsi="Arial"/>
          <w:sz w:val="16"/>
          <w:szCs w:val="16"/>
          <w:color w:val="auto"/>
        </w:rPr>
        <w:t xml:space="preserve">” means </w:t>
      </w:r>
      <w:r>
        <w:rPr>
          <w:rFonts w:ascii="Arial" w:cs="Arial" w:eastAsia="Arial" w:hAnsi="Arial"/>
          <w:sz w:val="16"/>
          <w:szCs w:val="16"/>
          <w:color w:val="FF0000"/>
          <w:strike w:val="1"/>
        </w:rPr>
        <w:t>Merrill Lynch, Pierce, Fenner &amp; Smith Incorporated</w:t>
      </w:r>
      <w:r>
        <w:rPr>
          <w:rFonts w:ascii="Arial" w:cs="Arial" w:eastAsia="Arial" w:hAnsi="Arial"/>
          <w:sz w:val="16"/>
          <w:szCs w:val="16"/>
          <w:u w:val="single" w:color="auto"/>
          <w:color w:val="0000E1"/>
        </w:rPr>
        <w:t>BofA Securities, Inc.</w:t>
      </w:r>
      <w:r>
        <w:rPr>
          <w:rFonts w:ascii="Arial" w:cs="Arial" w:eastAsia="Arial" w:hAnsi="Arial"/>
          <w:sz w:val="16"/>
          <w:szCs w:val="16"/>
          <w:color w:val="auto"/>
        </w:rPr>
        <w:t>, Wells Fargo Securities, LLC, Regions Bank, N.A.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Capital One, N.A. in their capacity as joint bookrunners and joint lead arrangers with respect to the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-121920</wp:posOffset>
            </wp:positionV>
            <wp:extent cx="96837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ASC 2016-02</w:t>
      </w:r>
      <w:r>
        <w:rPr>
          <w:rFonts w:ascii="Arial" w:cs="Arial" w:eastAsia="Arial" w:hAnsi="Arial"/>
          <w:sz w:val="18"/>
          <w:szCs w:val="18"/>
          <w:color w:val="auto"/>
        </w:rPr>
        <w:t>” means FASB Accounting Standards Update 2016-02, Leases (Topic 842) adopted February 25, 2016.</w:t>
      </w:r>
    </w:p>
    <w:p>
      <w:pPr>
        <w:spacing w:after="0" w:line="225"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13.12</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or any other form approved by the Administrative Agent.</w:t>
      </w:r>
    </w:p>
    <w:p>
      <w:pPr>
        <w:spacing w:after="0" w:line="184"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Authorized Representative</w:t>
      </w:r>
      <w:r>
        <w:rPr>
          <w:rFonts w:ascii="Arial" w:cs="Arial" w:eastAsia="Arial" w:hAnsi="Arial"/>
          <w:sz w:val="16"/>
          <w:szCs w:val="16"/>
          <w:color w:val="auto"/>
        </w:rPr>
        <w:t xml:space="preserve">” means any person whose specimen signature has been certified in accordance with </w:t>
      </w:r>
      <w:r>
        <w:rPr>
          <w:rFonts w:ascii="Arial" w:cs="Arial" w:eastAsia="Arial" w:hAnsi="Arial"/>
          <w:sz w:val="16"/>
          <w:szCs w:val="16"/>
          <w:u w:val="single" w:color="auto"/>
          <w:color w:val="auto"/>
        </w:rPr>
        <w:t>Section 7.2(f)</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or any further or different officers of the Borrower so named by any Authorized Representative of the Borrower in a written notice to the Administrative Agent and, solely for purposes of notices given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color w:val="FF0000"/>
          <w:strike w:val="1"/>
        </w:rPr>
        <w:t>1</w:t>
      </w:r>
      <w:r>
        <w:rPr>
          <w:rFonts w:ascii="Arial" w:cs="Arial" w:eastAsia="Arial" w:hAnsi="Arial"/>
          <w:sz w:val="16"/>
          <w:szCs w:val="16"/>
          <w:u w:val="single" w:color="auto"/>
          <w:color w:val="0000E1"/>
        </w:rPr>
        <w:t>1.6</w:t>
      </w:r>
      <w:r>
        <w:rPr>
          <w:rFonts w:ascii="Arial" w:cs="Arial" w:eastAsia="Arial" w:hAnsi="Arial"/>
          <w:sz w:val="16"/>
          <w:szCs w:val="16"/>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w:t>
      </w:r>
      <w:r>
        <w:rPr>
          <w:rFonts w:ascii="Arial" w:cs="Arial" w:eastAsia="Arial" w:hAnsi="Arial"/>
          <w:sz w:val="16"/>
          <w:szCs w:val="16"/>
          <w:color w:val="FF0000"/>
          <w:strike w:val="1"/>
        </w:rPr>
        <w:t>.</w:t>
      </w:r>
      <w:r>
        <w:rPr>
          <w:rFonts w:ascii="Arial" w:cs="Arial" w:eastAsia="Arial" w:hAnsi="Arial"/>
          <w:sz w:val="16"/>
          <w:szCs w:val="16"/>
          <w:color w:val="auto"/>
        </w:rPr>
        <w:t xml:space="preserve"> Any document delivered hereunder that is signed by an Authorized Representative of a Loan Party shall be conclusively presumed to have been authorized by all necessary corporate, partnership and/or other action on the part of such Loan Party and such Authorized Representative shall be conclusively presumed to have acted on behalf of such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-561975</wp:posOffset>
            </wp:positionV>
            <wp:extent cx="14541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46"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Legislation</w:t>
      </w:r>
      <w:r>
        <w:rPr>
          <w:rFonts w:ascii="Arial" w:cs="Arial" w:eastAsia="Arial" w:hAnsi="Arial"/>
          <w:sz w:val="18"/>
          <w:szCs w:val="18"/>
          <w:color w:val="auto"/>
        </w:rPr>
        <w:t>” means</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E1"/>
        </w:rPr>
        <w:t>(a)</w:t>
      </w:r>
      <w:r>
        <w:rPr>
          <w:rFonts w:ascii="Arial" w:cs="Arial" w:eastAsia="Arial" w:hAnsi="Arial"/>
          <w:sz w:val="18"/>
          <w:szCs w:val="18"/>
          <w:color w:val="auto"/>
        </w:rPr>
        <w:t xml:space="preserve"> with respect to any EEA Member Country implementing Article 55 of Directive 2014/59/EU of the European Parliament and of the Council of the European Union, the implementing law</w:t>
      </w:r>
      <w:r>
        <w:rPr>
          <w:rFonts w:ascii="Arial" w:cs="Arial" w:eastAsia="Arial" w:hAnsi="Arial"/>
          <w:sz w:val="18"/>
          <w:szCs w:val="18"/>
          <w:u w:val="single" w:color="auto"/>
          <w:color w:val="0000E1"/>
        </w:rPr>
        <w:t>, regulation rule or requirement</w:t>
      </w:r>
      <w:r>
        <w:rPr>
          <w:rFonts w:ascii="Arial" w:cs="Arial" w:eastAsia="Arial" w:hAnsi="Arial"/>
          <w:sz w:val="18"/>
          <w:szCs w:val="18"/>
          <w:color w:val="auto"/>
        </w:rPr>
        <w:t xml:space="preserve"> for such EEA Member Country from time to time which is described in the EU Bail-In Legislation Schedule</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E1"/>
        </w:rPr>
        <w:t>and (b) with respect to the United Kingdom, Part I of the United Kingdom Banking</w:t>
      </w:r>
      <w:r>
        <w:rPr>
          <w:rFonts w:ascii="Arial" w:cs="Arial" w:eastAsia="Arial" w:hAnsi="Arial"/>
          <w:sz w:val="18"/>
          <w:szCs w:val="18"/>
          <w:color w:val="auto"/>
        </w:rPr>
        <w:t xml:space="preserve"> </w:t>
      </w:r>
      <w:r>
        <w:rPr>
          <w:rFonts w:ascii="Arial" w:cs="Arial" w:eastAsia="Arial" w:hAnsi="Arial"/>
          <w:sz w:val="18"/>
          <w:szCs w:val="18"/>
          <w:u w:val="single" w:color="auto"/>
          <w:color w:val="0000E1"/>
        </w:rPr>
        <w:t>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-682625</wp:posOffset>
            </wp:positionV>
            <wp:extent cx="12001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-545465</wp:posOffset>
            </wp:positionV>
            <wp:extent cx="14312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431290" cy="889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-408305</wp:posOffset>
            </wp:positionV>
            <wp:extent cx="38061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8061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97801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62622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61722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xml:space="preserve">” </w:t>
      </w:r>
      <w:r>
        <w:rPr>
          <w:rFonts w:ascii="Arial" w:cs="Arial" w:eastAsia="Arial" w:hAnsi="Arial"/>
          <w:sz w:val="18"/>
          <w:szCs w:val="18"/>
          <w:color w:val="FF0000"/>
          <w:strike w:val="1"/>
        </w:rPr>
        <w:t>shall</w:t>
      </w:r>
      <w:r>
        <w:rPr>
          <w:rFonts w:ascii="Arial" w:cs="Arial" w:eastAsia="Arial" w:hAnsi="Arial"/>
          <w:sz w:val="18"/>
          <w:szCs w:val="18"/>
          <w:color w:val="auto"/>
        </w:rPr>
        <w:t xml:space="preserve"> mean</w:t>
      </w:r>
      <w:r>
        <w:rPr>
          <w:rFonts w:ascii="Arial" w:cs="Arial" w:eastAsia="Arial" w:hAnsi="Arial"/>
          <w:sz w:val="18"/>
          <w:szCs w:val="18"/>
          <w:u w:val="single" w:color="auto"/>
          <w:color w:val="0000E1"/>
        </w:rPr>
        <w:t>s</w:t>
      </w:r>
      <w:r>
        <w:rPr>
          <w:rFonts w:ascii="Arial" w:cs="Arial" w:eastAsia="Arial" w:hAnsi="Arial"/>
          <w:sz w:val="18"/>
          <w:szCs w:val="18"/>
          <w:color w:val="auto"/>
        </w:rPr>
        <w:t xml:space="preserve"> 11. U.S.C. §101 et seq.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23495</wp:posOffset>
            </wp:positionV>
            <wp:extent cx="5143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Rate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1.4(a</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Rate Loan</w:t>
      </w:r>
      <w:r>
        <w:rPr>
          <w:rFonts w:ascii="Arial" w:cs="Arial" w:eastAsia="Arial" w:hAnsi="Arial"/>
          <w:sz w:val="18"/>
          <w:szCs w:val="18"/>
          <w:color w:val="auto"/>
        </w:rPr>
        <w:t xml:space="preserve">” means a loan bearing interest at a rate specified in </w:t>
      </w:r>
      <w:r>
        <w:rPr>
          <w:rFonts w:ascii="Arial" w:cs="Arial" w:eastAsia="Arial" w:hAnsi="Arial"/>
          <w:sz w:val="18"/>
          <w:szCs w:val="18"/>
          <w:u w:val="single" w:color="auto"/>
          <w:color w:val="auto"/>
        </w:rPr>
        <w:t>Section 1.4(a)</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Basket Suspension Period</w:t>
      </w:r>
      <w:r>
        <w:rPr>
          <w:rFonts w:ascii="Arial" w:cs="Arial" w:eastAsia="Arial" w:hAnsi="Arial"/>
          <w:sz w:val="18"/>
          <w:szCs w:val="18"/>
          <w:u w:val="single" w:color="auto"/>
          <w:color w:val="0000E1"/>
        </w:rPr>
        <w:t>” means the period beginning on the First Amendment Effective Date and ending on such date after the end of the Financial Covenant Suspension Period (i) which is the last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46366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286321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105" w:name="page106"/>
    <w:bookmarkEnd w:id="105"/>
    <w:p>
      <w:pPr>
        <w:ind w:left="4" w:right="120"/>
        <w:spacing w:after="0" w:line="279" w:lineRule="auto"/>
        <w:rPr>
          <w:sz w:val="20"/>
          <w:szCs w:val="20"/>
          <w:color w:val="auto"/>
        </w:rPr>
      </w:pPr>
      <w:r>
        <w:rPr>
          <w:rFonts w:ascii="Arial" w:cs="Arial" w:eastAsia="Arial" w:hAnsi="Arial"/>
          <w:sz w:val="17"/>
          <w:szCs w:val="17"/>
          <w:u w:val="single" w:color="auto"/>
          <w:color w:val="0000E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a fiscal quarter or Fiscal Year for which required financial statements under Sections 8.5(a) or (b), as applicable, and the related Compliance Certificate for the pertinent period have been delivered pursuant to Section 8.5(f) demonstrating that the Total Leverage Ratio as of the last day of such period does not exceed 3.50:1.00 and that the Fixed Charge Coverage Ratio for the period of four consecutive fiscal quarters ending on the last day of such period is not less than 1.25:1.00 and (ii) on which no Default or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653224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-284480</wp:posOffset>
            </wp:positionV>
            <wp:extent cx="690054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-147320</wp:posOffset>
            </wp:positionV>
            <wp:extent cx="684911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wp:posOffset>
            </wp:positionV>
            <wp:extent cx="538353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383530" cy="8890"/>
                    </a:xfrm>
                    <a:prstGeom prst="rect">
                      <a:avLst/>
                    </a:prstGeom>
                    <a:noFill/>
                  </pic:spPr>
                </pic:pic>
              </a:graphicData>
            </a:graphic>
          </wp:anchor>
        </w:drawing>
      </w:r>
    </w:p>
    <w:p>
      <w:pPr>
        <w:spacing w:after="0" w:line="151" w:lineRule="exact"/>
        <w:rPr>
          <w:sz w:val="20"/>
          <w:szCs w:val="20"/>
          <w:color w:val="auto"/>
        </w:rPr>
      </w:pPr>
    </w:p>
    <w:p>
      <w:pPr>
        <w:jc w:val="center"/>
        <w:ind w:right="-23"/>
        <w:spacing w:after="0"/>
        <w:rPr>
          <w:sz w:val="20"/>
          <w:szCs w:val="20"/>
          <w:color w:val="auto"/>
        </w:rPr>
      </w:pPr>
      <w:r>
        <w:rPr>
          <w:rFonts w:ascii="Arial" w:cs="Arial" w:eastAsia="Arial" w:hAnsi="Arial"/>
          <w:sz w:val="18"/>
          <w:szCs w:val="18"/>
          <w:u w:val="single" w:color="auto"/>
          <w:color w:val="0000E1"/>
        </w:rPr>
        <w:t>“</w:t>
      </w:r>
      <w:r>
        <w:rPr>
          <w:rFonts w:ascii="Arial" w:cs="Arial" w:eastAsia="Arial" w:hAnsi="Arial"/>
          <w:sz w:val="18"/>
          <w:szCs w:val="18"/>
          <w:i w:val="1"/>
          <w:iCs w:val="1"/>
          <w:u w:val="single" w:color="auto"/>
          <w:color w:val="0000E1"/>
        </w:rPr>
        <w:t>Beneficial Ownership Certification</w:t>
      </w:r>
      <w:r>
        <w:rPr>
          <w:rFonts w:ascii="Arial" w:cs="Arial" w:eastAsia="Arial" w:hAnsi="Arial"/>
          <w:sz w:val="18"/>
          <w:szCs w:val="18"/>
          <w:u w:val="single" w:color="auto"/>
          <w:color w:val="0000E1"/>
        </w:rPr>
        <w:t>” means a certification regarding beneficial ownership required by the Beneficial Ownership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643763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437630" cy="8890"/>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Beneficial Ownership Regulation</w:t>
      </w:r>
      <w:r>
        <w:rPr>
          <w:rFonts w:ascii="Arial" w:cs="Arial" w:eastAsia="Arial" w:hAnsi="Arial"/>
          <w:sz w:val="18"/>
          <w:szCs w:val="18"/>
          <w:u w:val="single" w:color="auto"/>
          <w:color w:val="0000E1"/>
        </w:rPr>
        <w:t>” means 31 C.F.R. § 1010.230.</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u w:val="single" w:color="auto"/>
          <w:color w:val="0000E1"/>
        </w:rPr>
        <w:t xml:space="preserve">“ </w:t>
      </w:r>
      <w:r>
        <w:rPr>
          <w:rFonts w:ascii="Arial" w:cs="Arial" w:eastAsia="Arial" w:hAnsi="Arial"/>
          <w:sz w:val="16"/>
          <w:szCs w:val="16"/>
          <w:i w:val="1"/>
          <w:iCs w:val="1"/>
          <w:u w:val="single" w:color="auto"/>
          <w:color w:val="0000E1"/>
        </w:rPr>
        <w:t>BHC Act Affiliate</w:t>
      </w:r>
      <w:r>
        <w:rPr>
          <w:rFonts w:ascii="Arial" w:cs="Arial" w:eastAsia="Arial" w:hAnsi="Arial"/>
          <w:sz w:val="16"/>
          <w:szCs w:val="16"/>
          <w:u w:val="single" w:color="auto"/>
          <w:color w:val="0000E1"/>
        </w:rPr>
        <w:t>” of a party means an “affiliate ” (as such term is defined under, and interpreted in accordance with, 12 U.S.C. 1841(k))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-235585</wp:posOffset>
            </wp:positionV>
            <wp:extent cx="300863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2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E1"/>
        </w:rPr>
        <w:t>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-121920</wp:posOffset>
            </wp:positionV>
            <wp:extent cx="670369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25717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91"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Bona Fide Debt Fund</w:t>
      </w:r>
      <w:r>
        <w:rPr>
          <w:rFonts w:ascii="Arial" w:cs="Arial" w:eastAsia="Arial" w:hAnsi="Arial"/>
          <w:sz w:val="16"/>
          <w:szCs w:val="16"/>
          <w:color w:val="auto"/>
        </w:rPr>
        <w:t xml:space="preserve">” means with respect to any Company Competitor, any debt fund, investment vehicle, regulated bank entity or unregulated lending entity (in each case, other than a person that is separately identified under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the definition of “Disqualified Institution”) that is</w:t>
      </w:r>
    </w:p>
    <w:p>
      <w:pPr>
        <w:ind w:left="4" w:right="60" w:hanging="4"/>
        <w:spacing w:after="0" w:line="252" w:lineRule="auto"/>
        <w:tabs>
          <w:tab w:leader="none" w:pos="24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engaged in making, purchasing, holding or otherwise investing in commercial loans and similar extensions of credit in the ordinary course of business and (b) managed, sponsored or advised by any person that is controlling, controlled by or under common control with such Company Competitor, but only to the extent that no personnel involved with the investment in such Company Competitor, (x) directly or indirectly makes, has the right to make or participates with others in making investment decisions with respect to or otherwise causes the direction of the investment policies of such debt fund, investment vehicle, regulated bank entity or unregulated lending entity or (y) has access to any information (other than information that is publicly available) relating to the Borrower or its Subsidiaries and/or any entity that forms a part of any of its business (including any of its Subsidiaries)</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w:t>
      </w:r>
      <w:r>
        <w:rPr>
          <w:rFonts w:ascii="Arial" w:cs="Arial" w:eastAsia="Arial" w:hAnsi="Arial"/>
          <w:sz w:val="18"/>
          <w:szCs w:val="18"/>
          <w:color w:val="auto"/>
        </w:rPr>
        <w:t>” is defined in the introductory paragraph of this Agreement.</w:t>
      </w:r>
    </w:p>
    <w:p>
      <w:pPr>
        <w:spacing w:after="0" w:line="225"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w:t>
      </w:r>
      <w:r>
        <w:rPr>
          <w:rFonts w:ascii="Arial" w:cs="Arial" w:eastAsia="Arial" w:hAnsi="Arial"/>
          <w:sz w:val="18"/>
          <w:szCs w:val="18"/>
          <w:color w:val="auto"/>
        </w:rPr>
        <w:t>” means the total amount of Loans of a single type advanced, continued for an additional Interest Period, or converted from one type into another type by the Lenders under a Credit Facility on a single date and, in the case of Eurodollar Loans, for a single Interest Period. Borrowings of Loans are made and maintained ratably from each of the Lenders under a Credit Facility according to their Percentages of such Credit Facility. A Borrowing is “</w:t>
      </w:r>
      <w:r>
        <w:rPr>
          <w:rFonts w:ascii="Arial" w:cs="Arial" w:eastAsia="Arial" w:hAnsi="Arial"/>
          <w:sz w:val="18"/>
          <w:szCs w:val="18"/>
          <w:i w:val="1"/>
          <w:iCs w:val="1"/>
          <w:color w:val="auto"/>
        </w:rPr>
        <w:t>advanced</w:t>
      </w:r>
      <w:r>
        <w:rPr>
          <w:rFonts w:ascii="Arial" w:cs="Arial" w:eastAsia="Arial" w:hAnsi="Arial"/>
          <w:sz w:val="18"/>
          <w:szCs w:val="18"/>
          <w:color w:val="auto"/>
        </w:rPr>
        <w:t>” on the day Lenders advance funds comprising such Borrowing to the Borrower, is “</w:t>
      </w:r>
      <w:r>
        <w:rPr>
          <w:rFonts w:ascii="Arial" w:cs="Arial" w:eastAsia="Arial" w:hAnsi="Arial"/>
          <w:sz w:val="18"/>
          <w:szCs w:val="18"/>
          <w:i w:val="1"/>
          <w:iCs w:val="1"/>
          <w:color w:val="auto"/>
        </w:rPr>
        <w:t>continued</w:t>
      </w:r>
      <w:r>
        <w:rPr>
          <w:rFonts w:ascii="Arial" w:cs="Arial" w:eastAsia="Arial" w:hAnsi="Arial"/>
          <w:sz w:val="18"/>
          <w:szCs w:val="18"/>
          <w:color w:val="auto"/>
        </w:rPr>
        <w:t>” on the date a new Interest Period for the same type of Loans commences for such Borrowing, and is “</w:t>
      </w:r>
      <w:r>
        <w:rPr>
          <w:rFonts w:ascii="Arial" w:cs="Arial" w:eastAsia="Arial" w:hAnsi="Arial"/>
          <w:sz w:val="18"/>
          <w:szCs w:val="18"/>
          <w:i w:val="1"/>
          <w:iCs w:val="1"/>
          <w:color w:val="auto"/>
        </w:rPr>
        <w:t>converted</w:t>
      </w:r>
      <w:r>
        <w:rPr>
          <w:rFonts w:ascii="Arial" w:cs="Arial" w:eastAsia="Arial" w:hAnsi="Arial"/>
          <w:sz w:val="18"/>
          <w:szCs w:val="18"/>
          <w:color w:val="auto"/>
        </w:rPr>
        <w:t xml:space="preserve">” when such Borrowing is changed from one type of Loans to the other, all as determined pursuant to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Borrowings of Swing Loans are made by the Swing Line Lender in accordance with the procedures set forth in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6518275</wp:posOffset>
            </wp:positionH>
            <wp:positionV relativeFrom="paragraph">
              <wp:posOffset>-621030</wp:posOffset>
            </wp:positionV>
            <wp:extent cx="2857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5" w:lineRule="exact"/>
        <w:rPr>
          <w:sz w:val="20"/>
          <w:szCs w:val="20"/>
          <w:color w:val="auto"/>
        </w:rPr>
      </w:pPr>
    </w:p>
    <w:p>
      <w:pPr>
        <w:ind w:left="4"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xml:space="preserve">” means any day (other than a Saturday or Sunday) on which banks are not authorized or required to close in New York, New York and, if the applicable Business Day relates to the advance or continuation of, or conversion into, or payment of a Eurodollar Loan, any </w:t>
      </w:r>
      <w:r>
        <w:rPr>
          <w:rFonts w:ascii="Arial" w:cs="Arial" w:eastAsia="Arial" w:hAnsi="Arial"/>
          <w:sz w:val="16"/>
          <w:szCs w:val="16"/>
          <w:u w:val="single" w:color="auto"/>
          <w:color w:val="0000E1"/>
        </w:rPr>
        <w:t>such</w:t>
      </w:r>
      <w:r>
        <w:rPr>
          <w:rFonts w:ascii="Arial" w:cs="Arial" w:eastAsia="Arial" w:hAnsi="Arial"/>
          <w:sz w:val="16"/>
          <w:szCs w:val="16"/>
          <w:color w:val="auto"/>
        </w:rPr>
        <w:t xml:space="preserve"> day </w:t>
      </w:r>
      <w:r>
        <w:rPr>
          <w:rFonts w:ascii="Arial" w:cs="Arial" w:eastAsia="Arial" w:hAnsi="Arial"/>
          <w:sz w:val="16"/>
          <w:szCs w:val="16"/>
          <w:color w:val="FF0000"/>
          <w:strike w:val="1"/>
        </w:rPr>
        <w:t>on</w:t>
      </w:r>
      <w:r>
        <w:rPr>
          <w:rFonts w:ascii="Arial" w:cs="Arial" w:eastAsia="Arial" w:hAnsi="Arial"/>
          <w:sz w:val="16"/>
          <w:szCs w:val="16"/>
          <w:color w:val="auto"/>
        </w:rPr>
        <w:t xml:space="preserve"> </w:t>
      </w:r>
      <w:r>
        <w:rPr>
          <w:rFonts w:ascii="Arial" w:cs="Arial" w:eastAsia="Arial" w:hAnsi="Arial"/>
          <w:sz w:val="16"/>
          <w:szCs w:val="16"/>
          <w:color w:val="FF0000"/>
          <w:strike w:val="1"/>
        </w:rPr>
        <w:t>which banks are open for</w:t>
      </w:r>
      <w:r>
        <w:rPr>
          <w:rFonts w:ascii="Arial" w:cs="Arial" w:eastAsia="Arial" w:hAnsi="Arial"/>
          <w:sz w:val="16"/>
          <w:szCs w:val="16"/>
          <w:color w:val="FF0000"/>
        </w:rPr>
        <w:t xml:space="preserve"> </w:t>
      </w:r>
      <w:r>
        <w:rPr>
          <w:rFonts w:ascii="Arial" w:cs="Arial" w:eastAsia="Arial" w:hAnsi="Arial"/>
          <w:sz w:val="16"/>
          <w:szCs w:val="16"/>
          <w:color w:val="008000"/>
          <w:strike w:val="1"/>
        </w:rPr>
        <w:t>dealings in U.S. Dollar deposits in the London interbank eurodollar market</w:t>
      </w:r>
      <w:r>
        <w:rPr>
          <w:rFonts w:ascii="Arial" w:cs="Arial" w:eastAsia="Arial" w:hAnsi="Arial"/>
          <w:sz w:val="16"/>
          <w:szCs w:val="16"/>
          <w:u w:val="single" w:color="auto"/>
          <w:color w:val="0000E1"/>
        </w:rPr>
        <w:t>that is also a London Banking Day</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6172200</wp:posOffset>
            </wp:positionH>
            <wp:positionV relativeFrom="paragraph">
              <wp:posOffset>-161290</wp:posOffset>
            </wp:positionV>
            <wp:extent cx="20574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-24130</wp:posOffset>
            </wp:positionV>
            <wp:extent cx="158623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Dollars</w:t>
      </w:r>
      <w:r>
        <w:rPr>
          <w:rFonts w:ascii="Arial" w:cs="Arial" w:eastAsia="Arial" w:hAnsi="Arial"/>
          <w:sz w:val="18"/>
          <w:szCs w:val="18"/>
          <w:color w:val="auto"/>
        </w:rPr>
        <w:t>” and “</w:t>
      </w:r>
      <w:r>
        <w:rPr>
          <w:rFonts w:ascii="Arial" w:cs="Arial" w:eastAsia="Arial" w:hAnsi="Arial"/>
          <w:sz w:val="18"/>
          <w:szCs w:val="18"/>
          <w:i w:val="1"/>
          <w:iCs w:val="1"/>
          <w:color w:val="auto"/>
        </w:rPr>
        <w:t>C$</w:t>
      </w:r>
      <w:r>
        <w:rPr>
          <w:rFonts w:ascii="Arial" w:cs="Arial" w:eastAsia="Arial" w:hAnsi="Arial"/>
          <w:sz w:val="18"/>
          <w:szCs w:val="18"/>
          <w:color w:val="auto"/>
        </w:rPr>
        <w:t>” each means the lawful currency of Canada.</w:t>
      </w:r>
    </w:p>
    <w:p>
      <w:pPr>
        <w:spacing w:after="0" w:line="225" w:lineRule="exact"/>
        <w:rPr>
          <w:sz w:val="20"/>
          <w:szCs w:val="20"/>
          <w:color w:val="auto"/>
        </w:rPr>
      </w:pPr>
    </w:p>
    <w:p>
      <w:pPr>
        <w:ind w:left="4"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w:t>
      </w:r>
      <w:r>
        <w:rPr>
          <w:rFonts w:ascii="Arial" w:cs="Arial" w:eastAsia="Arial" w:hAnsi="Arial"/>
          <w:sz w:val="18"/>
          <w:szCs w:val="18"/>
          <w:color w:val="auto"/>
        </w:rPr>
        <w:t>” means, for any Person, any lease of Property by such Person as lessee which in accordance with GAAP is required to be capitalized on the balance sheet of such Person.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4" w:right="459" w:bottom="1440" w:gutter="0" w:footer="0" w:header="0"/>
        </w:sectPr>
      </w:pPr>
    </w:p>
    <w:bookmarkStart w:id="106" w:name="page107"/>
    <w:bookmarkEnd w:id="106"/>
    <w:p>
      <w:pPr>
        <w:ind w:right="18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i w:val="1"/>
          <w:iCs w:val="1"/>
          <w:color w:val="auto"/>
        </w:rPr>
        <w:t>Capitalized Lease Obligation</w:t>
      </w:r>
      <w:r>
        <w:rPr>
          <w:rFonts w:ascii="Arial" w:cs="Arial" w:eastAsia="Arial" w:hAnsi="Arial"/>
          <w:sz w:val="17"/>
          <w:szCs w:val="17"/>
          <w:color w:val="auto"/>
        </w:rPr>
        <w:t>” means, for any Person, the amount of the liability shown on the balance sheet of such Person (excluding the footnotes thereto) in respect of a Capital Lease determined in accordance with GAAP. For the avoidance of doubt, Capitalized Lease Obligations shall not include any Qualifying Restaurant Lease Obligations and, shall include any Capitalized Restaurant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-227965</wp:posOffset>
            </wp:positionV>
            <wp:extent cx="2857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Capitalized Restaurant Lease Obligations</w:t>
      </w:r>
      <w:r>
        <w:rPr>
          <w:rFonts w:ascii="Arial" w:cs="Arial" w:eastAsia="Arial" w:hAnsi="Arial"/>
          <w:sz w:val="18"/>
          <w:szCs w:val="18"/>
          <w:color w:val="auto"/>
        </w:rPr>
        <w:t>” means, for any Person, the amount of the liability shown on the balance sheet of such Person (excluding the footnotes thereto) in respect of a Restaurant Capital Lease determined in accordance with GAAP. For the avoidance of doubt, Capitalized Restaurant Lease Obligations shall not include any Qualifying Restaurant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5124450</wp:posOffset>
            </wp:positionH>
            <wp:positionV relativeFrom="paragraph">
              <wp:posOffset>-216535</wp:posOffset>
            </wp:positionV>
            <wp:extent cx="2857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Card Programs</w:t>
      </w:r>
      <w:r>
        <w:rPr>
          <w:rFonts w:ascii="Arial" w:cs="Arial" w:eastAsia="Arial" w:hAnsi="Arial"/>
          <w:sz w:val="18"/>
          <w:szCs w:val="18"/>
          <w:color w:val="auto"/>
        </w:rPr>
        <w:t>” means (i) purchasing card programs established to enable the Borrower or any Subsidiary to purchase goods and supplies from vendors and (ii) any travel and entertainment card program established to enable the Borrower or any Subsidiary to make payments for expenses incurred related to travel and entertainment.</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Availability</w:t>
      </w:r>
      <w:r>
        <w:rPr>
          <w:rFonts w:ascii="Arial" w:cs="Arial" w:eastAsia="Arial" w:hAnsi="Arial"/>
          <w:sz w:val="18"/>
          <w:szCs w:val="18"/>
          <w:color w:val="auto"/>
        </w:rPr>
        <w:t>” means the sum of (i) availability under the Revolving Credit Facility plus (ii) unrestricted cash and Cash Equivalents on hand of the Borrower and its Restricted Subsidiaries.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xml:space="preserve">” means investments of the type set forth in </w:t>
      </w:r>
      <w:r>
        <w:rPr>
          <w:rFonts w:ascii="Arial" w:cs="Arial" w:eastAsia="Arial" w:hAnsi="Arial"/>
          <w:sz w:val="18"/>
          <w:szCs w:val="18"/>
          <w:u w:val="single" w:color="auto"/>
          <w:color w:val="auto"/>
        </w:rPr>
        <w:t>Sections 8.9(a)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 (d)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CERCLA</w:t>
      </w:r>
      <w:r>
        <w:rPr>
          <w:rFonts w:ascii="Arial" w:cs="Arial" w:eastAsia="Arial" w:hAnsi="Arial"/>
          <w:sz w:val="18"/>
          <w:szCs w:val="18"/>
          <w:color w:val="auto"/>
        </w:rPr>
        <w:t xml:space="preserve">” means the Comprehensive Environmental Response, Compensation and Liability Act of 1980, as amended by the Superfund Amendments and Reauthorization Act of 1986, 42 U.S.C. §§9601 </w:t>
      </w:r>
      <w:r>
        <w:rPr>
          <w:rFonts w:ascii="Arial" w:cs="Arial" w:eastAsia="Arial" w:hAnsi="Arial"/>
          <w:sz w:val="18"/>
          <w:szCs w:val="18"/>
          <w:i w:val="1"/>
          <w:iCs w:val="1"/>
          <w:color w:val="auto"/>
        </w:rPr>
        <w:t>et seq.</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CFC</w:t>
      </w:r>
      <w:r>
        <w:rPr>
          <w:rFonts w:ascii="Arial" w:cs="Arial" w:eastAsia="Arial" w:hAnsi="Arial"/>
          <w:sz w:val="18"/>
          <w:szCs w:val="18"/>
          <w:color w:val="auto"/>
        </w:rPr>
        <w:t>” means a “controlled foreign corporation” within the meaning of Section 957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CFC Holdco</w:t>
      </w:r>
      <w:r>
        <w:rPr>
          <w:rFonts w:ascii="Arial" w:cs="Arial" w:eastAsia="Arial" w:hAnsi="Arial"/>
          <w:sz w:val="16"/>
          <w:szCs w:val="16"/>
          <w:color w:val="auto"/>
        </w:rPr>
        <w:t>” means a Domestic Subsidiary that has no material assets other than Equity Interests in one or more CFCs or other CFC Holdcos.</w:t>
      </w:r>
    </w:p>
    <w:p>
      <w:pPr>
        <w:spacing w:after="0" w:line="248"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i w:val="1"/>
          <w:iCs w:val="1"/>
          <w:color w:val="auto"/>
        </w:rPr>
        <w:t xml:space="preserve">“Change in Law” </w:t>
      </w:r>
      <w:r>
        <w:rPr>
          <w:rFonts w:ascii="Arial" w:cs="Arial" w:eastAsia="Arial" w:hAnsi="Arial"/>
          <w:sz w:val="17"/>
          <w:szCs w:val="17"/>
          <w:color w:val="auto"/>
        </w:rPr>
        <w:t>means the occurrence, after the date of this Agreement, of any of the following: (a) the adoption or taking effect of any law,</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w:t>
      </w:r>
      <w:r>
        <w:rPr>
          <w:rFonts w:ascii="Arial" w:cs="Arial" w:eastAsia="Arial" w:hAnsi="Arial"/>
          <w:sz w:val="17"/>
          <w:szCs w:val="17"/>
          <w:u w:val="single" w:color="auto"/>
          <w:color w:val="0000E1"/>
        </w:rPr>
        <w:t>or in the implementation thereof</w:t>
      </w:r>
      <w:r>
        <w:rPr>
          <w:rFonts w:ascii="Arial" w:cs="Arial" w:eastAsia="Arial" w:hAnsi="Arial"/>
          <w:sz w:val="17"/>
          <w:szCs w:val="17"/>
          <w:color w:val="auto"/>
        </w:rPr>
        <w:t xml:space="preserve">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w:t>
      </w:r>
      <w:r>
        <w:rPr>
          <w:rFonts w:ascii="Arial" w:cs="Arial" w:eastAsia="Arial" w:hAnsi="Arial"/>
          <w:sz w:val="17"/>
          <w:szCs w:val="17"/>
          <w:color w:val="FF0000"/>
        </w:rPr>
        <w:t>or</w:t>
      </w:r>
      <w:r>
        <w:rPr>
          <w:rFonts w:ascii="Arial" w:cs="Arial" w:eastAsia="Arial" w:hAnsi="Arial"/>
          <w:sz w:val="17"/>
          <w:szCs w:val="17"/>
          <w:u w:val="single" w:color="auto"/>
          <w:color w:val="0000E1"/>
        </w:rPr>
        <w:t>,</w:t>
      </w:r>
      <w:r>
        <w:rPr>
          <w:rFonts w:ascii="Arial" w:cs="Arial" w:eastAsia="Arial" w:hAnsi="Arial"/>
          <w:sz w:val="17"/>
          <w:szCs w:val="17"/>
          <w:color w:val="auto"/>
        </w:rPr>
        <w:t xml:space="preserve"> issued </w:t>
      </w:r>
      <w:r>
        <w:rPr>
          <w:rFonts w:ascii="Arial" w:cs="Arial" w:eastAsia="Arial" w:hAnsi="Arial"/>
          <w:sz w:val="17"/>
          <w:szCs w:val="17"/>
          <w:color w:val="0000E1"/>
        </w:rPr>
        <w:t>or implemented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4892040</wp:posOffset>
            </wp:positionH>
            <wp:positionV relativeFrom="paragraph">
              <wp:posOffset>-417195</wp:posOffset>
            </wp:positionV>
            <wp:extent cx="148272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482725" cy="8255"/>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-82550</wp:posOffset>
            </wp:positionV>
            <wp:extent cx="12382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-5715</wp:posOffset>
            </wp:positionV>
            <wp:extent cx="254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-5715</wp:posOffset>
            </wp:positionV>
            <wp:extent cx="7454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45490" cy="8890"/>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-40005</wp:posOffset>
            </wp:positionV>
            <wp:extent cx="74866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15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xml:space="preserve">” means any of (a) the acquisition by any “person” or “group” (as such terms are used in </w:t>
      </w:r>
      <w:r>
        <w:rPr>
          <w:rFonts w:ascii="Arial" w:cs="Arial" w:eastAsia="Arial" w:hAnsi="Arial"/>
          <w:sz w:val="18"/>
          <w:szCs w:val="18"/>
          <w:u w:val="single" w:color="auto"/>
          <w:color w:val="auto"/>
        </w:rPr>
        <w:t>Sections 13(d)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14(d)</w:t>
      </w:r>
      <w:r>
        <w:rPr>
          <w:rFonts w:ascii="Arial" w:cs="Arial" w:eastAsia="Arial" w:hAnsi="Arial"/>
          <w:sz w:val="18"/>
          <w:szCs w:val="18"/>
          <w:color w:val="auto"/>
        </w:rPr>
        <w:t xml:space="preserve"> of the Securities Exchange Act of 1934 (the “</w:t>
      </w:r>
      <w:r>
        <w:rPr>
          <w:rFonts w:ascii="Arial" w:cs="Arial" w:eastAsia="Arial" w:hAnsi="Arial"/>
          <w:sz w:val="18"/>
          <w:szCs w:val="18"/>
          <w:i w:val="1"/>
          <w:iCs w:val="1"/>
          <w:color w:val="auto"/>
        </w:rPr>
        <w:t>Exchange Act</w:t>
      </w:r>
      <w:r>
        <w:rPr>
          <w:rFonts w:ascii="Arial" w:cs="Arial" w:eastAsia="Arial" w:hAnsi="Arial"/>
          <w:sz w:val="18"/>
          <w:szCs w:val="18"/>
          <w:color w:val="auto"/>
        </w:rPr>
        <w:t>”)) at any time of beneficial ownership (within the meaning of Rule 13d-3 under the Exchange Act) of Equity Interests representing more than 35% of the outstanding Voting Stock of Holdings on a fully diluted basis and (b) failure of Holdings to own and control 100% of the outstanding capital stock and other Equity Interest of the Borrower.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107" w:name="page108"/>
    <w:bookmarkEnd w:id="107"/>
    <w:p>
      <w:pPr>
        <w:ind w:right="30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i w:val="1"/>
          <w:iCs w:val="1"/>
          <w:color w:val="auto"/>
        </w:rPr>
        <w:t>Chief Financial Officer</w:t>
      </w:r>
      <w:r>
        <w:rPr>
          <w:rFonts w:ascii="Arial" w:cs="Arial" w:eastAsia="Arial" w:hAnsi="Arial"/>
          <w:sz w:val="17"/>
          <w:szCs w:val="17"/>
          <w:color w:val="auto"/>
        </w:rPr>
        <w:t xml:space="preserve">” </w:t>
      </w:r>
      <w:r>
        <w:rPr>
          <w:rFonts w:ascii="Arial" w:cs="Arial" w:eastAsia="Arial" w:hAnsi="Arial"/>
          <w:sz w:val="17"/>
          <w:szCs w:val="17"/>
          <w:color w:val="FF0000"/>
          <w:strike w:val="1"/>
        </w:rPr>
        <w:t>shall</w:t>
      </w:r>
      <w:r>
        <w:rPr>
          <w:rFonts w:ascii="Arial" w:cs="Arial" w:eastAsia="Arial" w:hAnsi="Arial"/>
          <w:sz w:val="17"/>
          <w:szCs w:val="17"/>
          <w:color w:val="auto"/>
        </w:rPr>
        <w:t xml:space="preserve"> mean</w:t>
      </w:r>
      <w:r>
        <w:rPr>
          <w:rFonts w:ascii="Arial" w:cs="Arial" w:eastAsia="Arial" w:hAnsi="Arial"/>
          <w:sz w:val="17"/>
          <w:szCs w:val="17"/>
          <w:u w:val="single" w:color="auto"/>
          <w:color w:val="0000E1"/>
        </w:rPr>
        <w:t>s</w:t>
      </w:r>
      <w:r>
        <w:rPr>
          <w:rFonts w:ascii="Arial" w:cs="Arial" w:eastAsia="Arial" w:hAnsi="Arial"/>
          <w:sz w:val="17"/>
          <w:szCs w:val="17"/>
          <w:color w:val="auto"/>
        </w:rPr>
        <w:t xml:space="preserve"> the chief financial officer (or other officer with reasonably equivalent responsibilities) of the applicable Loan Party as identified in the incumbency certificate of such Loan Party most recently delivered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-163195</wp:posOffset>
            </wp:positionV>
            <wp:extent cx="431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6" w:lineRule="exact"/>
        <w:rPr>
          <w:sz w:val="20"/>
          <w:szCs w:val="20"/>
          <w:color w:val="auto"/>
        </w:rPr>
      </w:pPr>
    </w:p>
    <w:p>
      <w:pPr>
        <w:ind w:right="40" w:firstLine="44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Class</w:t>
      </w:r>
      <w:r>
        <w:rPr>
          <w:rFonts w:ascii="Arial" w:cs="Arial" w:eastAsia="Arial" w:hAnsi="Arial"/>
          <w:sz w:val="17"/>
          <w:szCs w:val="17"/>
          <w:color w:val="auto"/>
        </w:rPr>
        <w:t>” means (a) as applied to Lenders, each of the following classes of Lenders: (i) Lenders with Revolving Credit Commitments or holding Revolving Loans and (ii) Lenders holding Term Loans; (b) as applied to Loans and Commitments, Term Loans existing on the Closing Date, New Term Loans, Extended Term Loans, Refinancing Term Loans, Revolving Credit Commitments as in effect on the Closing Date (and any Loans made thereunder), New Revolving Credit Commitments (and any Loans made thereunder), Extended Revolving Credit Commitments (and any Loans made thereunder) and Replacement Revolving Credit Commitments (and any Loans made thereunder) (each separate series of the foregoing permitted hereunder shall be a separate Class to the extent that such series of Loans or Commitments have different terms applicable thereto); and (c) as applied to Credit Facilities, any Term Credit Facilities and/or any Revolving Credit Facilities. The terms “</w:t>
      </w:r>
      <w:r>
        <w:rPr>
          <w:rFonts w:ascii="Arial" w:cs="Arial" w:eastAsia="Arial" w:hAnsi="Arial"/>
          <w:sz w:val="17"/>
          <w:szCs w:val="17"/>
          <w:i w:val="1"/>
          <w:iCs w:val="1"/>
          <w:color w:val="auto"/>
        </w:rPr>
        <w:t>Initial Class</w:t>
      </w:r>
      <w:r>
        <w:rPr>
          <w:rFonts w:ascii="Arial" w:cs="Arial" w:eastAsia="Arial" w:hAnsi="Arial"/>
          <w:sz w:val="17"/>
          <w:szCs w:val="17"/>
          <w:color w:val="auto"/>
        </w:rPr>
        <w:t>” and “</w:t>
      </w:r>
      <w:r>
        <w:rPr>
          <w:rFonts w:ascii="Arial" w:cs="Arial" w:eastAsia="Arial" w:hAnsi="Arial"/>
          <w:sz w:val="17"/>
          <w:szCs w:val="17"/>
          <w:i w:val="1"/>
          <w:iCs w:val="1"/>
          <w:color w:val="auto"/>
        </w:rPr>
        <w:t>Initial Classes</w:t>
      </w:r>
      <w:r>
        <w:rPr>
          <w:rFonts w:ascii="Arial" w:cs="Arial" w:eastAsia="Arial" w:hAnsi="Arial"/>
          <w:sz w:val="17"/>
          <w:szCs w:val="17"/>
          <w:color w:val="auto"/>
        </w:rPr>
        <w:t xml:space="preserve">” when used herein mean: (x) the Revolving Credit Facility and the Term Credit Facility as in effect on the Closing Date, (y) any increase in the aggregate amount of Commitments and/or Loans thereunder effected under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w:t>
      </w:r>
      <w:r>
        <w:rPr>
          <w:rFonts w:ascii="Arial" w:cs="Arial" w:eastAsia="Arial" w:hAnsi="Arial"/>
          <w:sz w:val="17"/>
          <w:szCs w:val="17"/>
          <w:color w:val="FF0000"/>
          <w:strike w:val="1"/>
        </w:rPr>
        <w:t>hereof</w:t>
      </w:r>
      <w:r>
        <w:rPr>
          <w:rFonts w:ascii="Arial" w:cs="Arial" w:eastAsia="Arial" w:hAnsi="Arial"/>
          <w:sz w:val="17"/>
          <w:szCs w:val="17"/>
          <w:color w:val="auto"/>
        </w:rPr>
        <w:t xml:space="preserve"> on identical terms and conditions (and which are not, and not required to be, treated or designated as a separate “series” or “Class”) and/or (z) any Class of Loan and/or Commitments hereunder effected under </w:t>
      </w:r>
      <w:r>
        <w:rPr>
          <w:rFonts w:ascii="Arial" w:cs="Arial" w:eastAsia="Arial" w:hAnsi="Arial"/>
          <w:sz w:val="17"/>
          <w:szCs w:val="17"/>
          <w:u w:val="single" w:color="auto"/>
          <w:color w:val="auto"/>
        </w:rPr>
        <w:t>Sections 1.16</w:t>
      </w:r>
      <w:r>
        <w:rPr>
          <w:rFonts w:ascii="Arial" w:cs="Arial" w:eastAsia="Arial" w:hAnsi="Arial"/>
          <w:sz w:val="17"/>
          <w:szCs w:val="17"/>
          <w:color w:val="auto"/>
        </w:rPr>
        <w:t xml:space="preserve">, </w:t>
      </w:r>
      <w:r>
        <w:rPr>
          <w:rFonts w:ascii="Arial" w:cs="Arial" w:eastAsia="Arial" w:hAnsi="Arial"/>
          <w:sz w:val="17"/>
          <w:szCs w:val="17"/>
          <w:u w:val="single" w:color="auto"/>
          <w:color w:val="auto"/>
        </w:rPr>
        <w:t>1.18</w:t>
      </w:r>
      <w:r>
        <w:rPr>
          <w:rFonts w:ascii="Arial" w:cs="Arial" w:eastAsia="Arial" w:hAnsi="Arial"/>
          <w:sz w:val="17"/>
          <w:szCs w:val="17"/>
          <w:color w:val="auto"/>
        </w:rPr>
        <w:t xml:space="preserve">, </w:t>
      </w:r>
      <w:r>
        <w:rPr>
          <w:rFonts w:ascii="Arial" w:cs="Arial" w:eastAsia="Arial" w:hAnsi="Arial"/>
          <w:sz w:val="17"/>
          <w:szCs w:val="17"/>
          <w:u w:val="single" w:color="auto"/>
          <w:color w:val="auto"/>
        </w:rPr>
        <w:t>1.19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1.20</w:t>
      </w:r>
      <w:r>
        <w:rPr>
          <w:rFonts w:ascii="Arial" w:cs="Arial" w:eastAsia="Arial" w:hAnsi="Arial"/>
          <w:sz w:val="17"/>
          <w:szCs w:val="17"/>
          <w:color w:val="auto"/>
        </w:rPr>
        <w:t xml:space="preserve"> as revolving or “term A” credit facilities on substantially the same terms and conditions as the Revolving Credit Facility and Term Credit Facility as in effect on the Closing Date, which has been reasonably designated by the Borrower and the Administrative Agent at the time of the incurrence thereof as part of the “Initial Class” for purposes of this Agreement and which may include, without limitation, a separate “series” or “Class” of Loans and/or Commitments which are reasonably designated as a separate “series” or “Class” by the Borrower and the Administrative Agent at the time of the incurrence thereof solely as a result of differences in interest rates (including through fixed interest rates), interest margins, rate floors, fees, funding discounts, original issue discounts, optional prepayment or optional redemption premiums/terms and/or maturity extensions</w:t>
      </w:r>
      <w:r>
        <w:rPr>
          <w:rFonts w:ascii="Arial" w:cs="Arial" w:eastAsia="Arial" w:hAnsi="Arial"/>
          <w:sz w:val="17"/>
          <w:szCs w:val="17"/>
          <w:color w:val="FF0000"/>
          <w:strike w:val="1"/>
        </w:rPr>
        <w:t>)</w:t>
      </w:r>
      <w:r>
        <w:rPr>
          <w:rFonts w:ascii="Arial" w:cs="Arial" w:eastAsia="Arial" w:hAnsi="Arial"/>
          <w:sz w:val="17"/>
          <w:szCs w:val="17"/>
          <w:color w:val="auto"/>
        </w:rPr>
        <w:t xml:space="preserve">, but, for purposes of this </w:t>
      </w:r>
      <w:r>
        <w:rPr>
          <w:rFonts w:ascii="Arial" w:cs="Arial" w:eastAsia="Arial" w:hAnsi="Arial"/>
          <w:sz w:val="17"/>
          <w:szCs w:val="17"/>
          <w:u w:val="single" w:color="auto"/>
          <w:color w:val="auto"/>
        </w:rPr>
        <w:t>clause (z)</w:t>
      </w:r>
      <w:r>
        <w:rPr>
          <w:rFonts w:ascii="Arial" w:cs="Arial" w:eastAsia="Arial" w:hAnsi="Arial"/>
          <w:sz w:val="17"/>
          <w:szCs w:val="17"/>
          <w:color w:val="auto"/>
        </w:rPr>
        <w:t>, excluding any Class of Loans having or requiring scheduled annual amortization of principal less than 2.50% the initial stated aggregate principal amount of such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-1584325</wp:posOffset>
            </wp:positionV>
            <wp:extent cx="2857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-1447165</wp:posOffset>
            </wp:positionV>
            <wp:extent cx="2857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xml:space="preserve">” means the date on which all conditions precedent to the effectiveness of the amendment and restatement of the Existing Credit Agreement in the form of this Agreement, as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 have been satisfied or waived.</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CNI Growth Amount</w:t>
      </w:r>
      <w:r>
        <w:rPr>
          <w:rFonts w:ascii="Arial" w:cs="Arial" w:eastAsia="Arial" w:hAnsi="Arial"/>
          <w:sz w:val="18"/>
          <w:szCs w:val="18"/>
          <w:color w:val="auto"/>
        </w:rPr>
        <w:t xml:space="preserve">” means, at any date of determination, (i) an amount equal to (a) 50% of the consolidated Net Income of Holdings for the period beginning on the first day of the first Fiscal Quarter of 2017 to the last day of the Borrower’s fiscal quarter ending on, or most recently preceding, the date of determination for which financial statements have been delivered as required by </w:t>
      </w:r>
      <w:r>
        <w:rPr>
          <w:rFonts w:ascii="Arial" w:cs="Arial" w:eastAsia="Arial" w:hAnsi="Arial"/>
          <w:sz w:val="18"/>
          <w:szCs w:val="18"/>
          <w:u w:val="single" w:color="auto"/>
          <w:color w:val="auto"/>
        </w:rPr>
        <w:t>Section 8.5(a)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for which consolidated Net Income is a positive amount, reduced by (ii) 100% of consolidated Net Income of Holdings for each such fiscal quarter ending during such period for which consolidated Net Income is a loss.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properties, rights, interests, and privileges from time to time subject to the Liens granted to the Collateral Agent, or any security trustee therefor, by the Collateral Documents.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Account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u w:val="single" w:color="auto"/>
          <w:color w:val="0000E1"/>
        </w:rPr>
        <w:t>(b)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23495</wp:posOffset>
            </wp:positionV>
            <wp:extent cx="13716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Agent</w:t>
      </w:r>
      <w:r>
        <w:rPr>
          <w:rFonts w:ascii="Arial" w:cs="Arial" w:eastAsia="Arial" w:hAnsi="Arial"/>
          <w:sz w:val="18"/>
          <w:szCs w:val="18"/>
          <w:color w:val="auto"/>
        </w:rPr>
        <w:t xml:space="preserve">” means Bank of America, N.A. and includes each other person appointed as the successor administrative agent pursuant to </w:t>
      </w:r>
      <w:r>
        <w:rPr>
          <w:rFonts w:ascii="Arial" w:cs="Arial" w:eastAsia="Arial" w:hAnsi="Arial"/>
          <w:sz w:val="18"/>
          <w:szCs w:val="18"/>
          <w:color w:val="FF0000"/>
          <w:strike w:val="1"/>
        </w:rPr>
        <w:t>Article XI</w:t>
      </w:r>
      <w:r>
        <w:rPr>
          <w:rFonts w:ascii="Arial" w:cs="Arial" w:eastAsia="Arial" w:hAnsi="Arial"/>
          <w:sz w:val="18"/>
          <w:szCs w:val="18"/>
          <w:u w:val="single" w:color="auto"/>
          <w:color w:val="0000E1"/>
        </w:rPr>
        <w:t>Section 11</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-10795</wp:posOffset>
            </wp:positionV>
            <wp:extent cx="48006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108" w:name="page109"/>
    <w:bookmarkEnd w:id="108"/>
    <w:p>
      <w:pPr>
        <w:ind w:left="4" w:right="58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i w:val="1"/>
          <w:iCs w:val="1"/>
          <w:color w:val="auto"/>
        </w:rPr>
        <w:t>Collateral Documents</w:t>
      </w:r>
      <w:r>
        <w:rPr>
          <w:rFonts w:ascii="Arial" w:cs="Arial" w:eastAsia="Arial" w:hAnsi="Arial"/>
          <w:sz w:val="17"/>
          <w:szCs w:val="17"/>
          <w:color w:val="auto"/>
        </w:rPr>
        <w:t>” means the Security Agreement, and all other deeds of trust, security agreements, pledge agreements, assignments, financing statements and other documents as shall from time to time secure or relate to the Secured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1713865</wp:posOffset>
            </wp:positionH>
            <wp:positionV relativeFrom="paragraph">
              <wp:posOffset>-240030</wp:posOffset>
            </wp:positionV>
            <wp:extent cx="2857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3455035</wp:posOffset>
            </wp:positionH>
            <wp:positionV relativeFrom="paragraph">
              <wp:posOffset>-240030</wp:posOffset>
            </wp:positionV>
            <wp:extent cx="2857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6"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Committed Loan Notice</w:t>
      </w:r>
      <w:r>
        <w:rPr>
          <w:rFonts w:ascii="Arial" w:cs="Arial" w:eastAsia="Arial" w:hAnsi="Arial"/>
          <w:sz w:val="17"/>
          <w:szCs w:val="17"/>
          <w:color w:val="auto"/>
        </w:rPr>
        <w:t xml:space="preserve">” </w:t>
      </w:r>
      <w:r>
        <w:rPr>
          <w:rFonts w:ascii="Arial" w:cs="Arial" w:eastAsia="Arial" w:hAnsi="Arial"/>
          <w:sz w:val="17"/>
          <w:szCs w:val="17"/>
          <w:color w:val="FF0000"/>
          <w:strike w:val="1"/>
        </w:rPr>
        <w:t>shall</w:t>
      </w:r>
      <w:r>
        <w:rPr>
          <w:rFonts w:ascii="Arial" w:cs="Arial" w:eastAsia="Arial" w:hAnsi="Arial"/>
          <w:sz w:val="17"/>
          <w:szCs w:val="17"/>
          <w:color w:val="auto"/>
        </w:rPr>
        <w:t xml:space="preserve"> mean</w:t>
      </w:r>
      <w:r>
        <w:rPr>
          <w:rFonts w:ascii="Arial" w:cs="Arial" w:eastAsia="Arial" w:hAnsi="Arial"/>
          <w:sz w:val="17"/>
          <w:szCs w:val="17"/>
          <w:u w:val="single" w:color="auto"/>
          <w:color w:val="0000E1"/>
        </w:rPr>
        <w:t>s</w:t>
      </w:r>
      <w:r>
        <w:rPr>
          <w:rFonts w:ascii="Arial" w:cs="Arial" w:eastAsia="Arial" w:hAnsi="Arial"/>
          <w:sz w:val="17"/>
          <w:szCs w:val="17"/>
          <w:color w:val="auto"/>
        </w:rPr>
        <w:t xml:space="preserve"> a notice of (a) a Borrowing, (b) a conversion of Loans from one Type to the other, or (c) a continuation of Eurodollar Loans, pursuant to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which shall be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as applicable, or such other form as may be approved by the Administrative Agent (including any form on an electronic platform or electronic transmission system as shall be approved by the Administrative Agent), appropriately completed and signed by an Authorized Representative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2023110</wp:posOffset>
            </wp:positionH>
            <wp:positionV relativeFrom="paragraph">
              <wp:posOffset>-421640</wp:posOffset>
            </wp:positionV>
            <wp:extent cx="431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Amount Increase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u w:val="single" w:color="auto"/>
          <w:color w:val="0000E1"/>
        </w:rPr>
        <w:t>(a)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23495</wp:posOffset>
            </wp:positionV>
            <wp:extent cx="12001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Amount Increase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u w:val="single" w:color="auto"/>
          <w:color w:val="0000E1"/>
        </w:rPr>
        <w:t>(a)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3608705</wp:posOffset>
            </wp:positionH>
            <wp:positionV relativeFrom="paragraph">
              <wp:posOffset>23495</wp:posOffset>
            </wp:positionV>
            <wp:extent cx="12890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5" w:lineRule="exact"/>
        <w:rPr>
          <w:sz w:val="20"/>
          <w:szCs w:val="20"/>
          <w:color w:val="auto"/>
        </w:rPr>
      </w:pPr>
    </w:p>
    <w:p>
      <w:pPr>
        <w:ind w:left="4" w:right="1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Commitment Fee Rate</w:t>
      </w:r>
      <w:r>
        <w:rPr>
          <w:rFonts w:ascii="Arial" w:cs="Arial" w:eastAsia="Arial" w:hAnsi="Arial"/>
          <w:sz w:val="16"/>
          <w:szCs w:val="16"/>
          <w:color w:val="auto"/>
        </w:rPr>
        <w:t xml:space="preserve">” means, for each fiscal quarter or portion thereof, (i) 0.35% per annum, if the Total Leverage Ratio is equal to or greater than 3.00:1.00, (ii) 0.30% per annum, if the Total Leverage Ratio is less than 3.00:1.00 but equal to or greater than 2.25:1.00, (iii) 0.25% per annum, if the Total Leverage Ratio is less than 2.25:1.00 but equal to or greater than 1.50:1.00, and (iv) 0.20% per annum, if the Total Leverage Ratio is less than 1.50:1.00;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the first Adjustment Date following the completion of the first full fiscal quarter ended after the Closing Date, the “Commitment Fee Rate” shall be 0.20% per annum. The Commitment Fee Rate shall be adjusted quarterly on a prospective basis, as applicable, on each Adjustment Date based upon the Total Leverage Ratio as of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r>
        <w:rPr>
          <w:rFonts w:ascii="Arial" w:cs="Arial" w:eastAsia="Arial" w:hAnsi="Arial"/>
          <w:sz w:val="16"/>
          <w:szCs w:val="16"/>
          <w:color w:val="FF0000"/>
          <w:strike w:val="1"/>
        </w:rPr>
        <w:t>,</w:t>
      </w:r>
      <w:r>
        <w:rPr>
          <w:rFonts w:ascii="Arial" w:cs="Arial" w:eastAsia="Arial" w:hAnsi="Arial"/>
          <w:sz w:val="16"/>
          <w:szCs w:val="16"/>
          <w:color w:val="auto"/>
        </w:rPr>
        <w:t xml:space="preserve"> if financial statements are not delivered when required pursuant to </w:t>
      </w:r>
      <w:r>
        <w:rPr>
          <w:rFonts w:ascii="Arial" w:cs="Arial" w:eastAsia="Arial" w:hAnsi="Arial"/>
          <w:sz w:val="16"/>
          <w:szCs w:val="16"/>
          <w:u w:val="single" w:color="auto"/>
          <w:color w:val="auto"/>
        </w:rPr>
        <w:t>Section 8.5(</w:t>
      </w:r>
      <w:r>
        <w:rPr>
          <w:rFonts w:ascii="Arial" w:cs="Arial" w:eastAsia="Arial" w:hAnsi="Arial"/>
          <w:sz w:val="16"/>
          <w:szCs w:val="16"/>
          <w:color w:val="FF0000"/>
          <w:strike w:val="1"/>
        </w:rPr>
        <w:t>A)(</w:t>
      </w:r>
      <w:r>
        <w:rPr>
          <w:rFonts w:ascii="Arial" w:cs="Arial" w:eastAsia="Arial" w:hAnsi="Arial"/>
          <w:sz w:val="16"/>
          <w:szCs w:val="16"/>
          <w:u w:val="single" w:color="auto"/>
          <w:color w:val="auto"/>
        </w:rPr>
        <w:t>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applicable, the “Commitment Fee Rate” shall be the rate per annum set forth in </w:t>
      </w:r>
      <w:r>
        <w:rPr>
          <w:rFonts w:ascii="Arial" w:cs="Arial" w:eastAsia="Arial" w:hAnsi="Arial"/>
          <w:sz w:val="16"/>
          <w:szCs w:val="16"/>
          <w:u w:val="single" w:color="auto"/>
          <w:color w:val="0000E1"/>
        </w:rPr>
        <w:t>the</w:t>
      </w:r>
      <w:r>
        <w:rPr>
          <w:rFonts w:ascii="Arial" w:cs="Arial" w:eastAsia="Arial" w:hAnsi="Arial"/>
          <w:sz w:val="16"/>
          <w:szCs w:val="16"/>
          <w:color w:val="auto"/>
        </w:rPr>
        <w:t xml:space="preserve"> foregoing </w:t>
      </w:r>
      <w:r>
        <w:rPr>
          <w:rFonts w:ascii="Arial" w:cs="Arial" w:eastAsia="Arial" w:hAnsi="Arial"/>
          <w:sz w:val="16"/>
          <w:szCs w:val="16"/>
          <w:u w:val="single" w:color="auto"/>
          <w:color w:val="auto"/>
        </w:rPr>
        <w:t>clause</w:t>
      </w:r>
    </w:p>
    <w:p>
      <w:pPr>
        <w:spacing w:after="0" w:line="2" w:lineRule="exact"/>
        <w:rPr>
          <w:sz w:val="20"/>
          <w:szCs w:val="20"/>
          <w:color w:val="auto"/>
        </w:rPr>
      </w:pPr>
    </w:p>
    <w:p>
      <w:pPr>
        <w:jc w:val="both"/>
        <w:ind w:left="4" w:right="260" w:hanging="4"/>
        <w:spacing w:after="0" w:line="255" w:lineRule="auto"/>
        <w:tabs>
          <w:tab w:leader="none" w:pos="219" w:val="left"/>
        </w:tabs>
        <w:numPr>
          <w:ilvl w:val="0"/>
          <w:numId w:val="123"/>
        </w:numPr>
        <w:rPr>
          <w:rFonts w:ascii="Arial" w:cs="Arial" w:eastAsia="Arial" w:hAnsi="Arial"/>
          <w:sz w:val="18"/>
          <w:szCs w:val="18"/>
          <w:u w:val="single" w:color="auto"/>
          <w:color w:val="auto"/>
        </w:rPr>
      </w:pPr>
      <w:r>
        <w:rPr>
          <w:rFonts w:ascii="Arial" w:cs="Arial" w:eastAsia="Arial" w:hAnsi="Arial"/>
          <w:sz w:val="18"/>
          <w:szCs w:val="18"/>
          <w:color w:val="auto"/>
        </w:rPr>
        <w:t xml:space="preserve">commencing on the date by which such financial statements were to be delivered under </w:t>
      </w:r>
      <w:r>
        <w:rPr>
          <w:rFonts w:ascii="Arial" w:cs="Arial" w:eastAsia="Arial" w:hAnsi="Arial"/>
          <w:sz w:val="18"/>
          <w:szCs w:val="18"/>
          <w:u w:val="single" w:color="auto"/>
          <w:color w:val="auto"/>
        </w:rPr>
        <w:t>Section 8.5(</w:t>
      </w:r>
      <w:r>
        <w:rPr>
          <w:rFonts w:ascii="Arial" w:cs="Arial" w:eastAsia="Arial" w:hAnsi="Arial"/>
          <w:sz w:val="18"/>
          <w:szCs w:val="18"/>
          <w:color w:val="FF0000"/>
          <w:strike w:val="1"/>
        </w:rPr>
        <w:t>A)(</w:t>
      </w:r>
      <w:r>
        <w:rPr>
          <w:rFonts w:ascii="Arial" w:cs="Arial" w:eastAsia="Arial" w:hAnsi="Arial"/>
          <w:sz w:val="18"/>
          <w:szCs w:val="18"/>
          <w:u w:val="single" w:color="auto"/>
          <w:color w:val="auto"/>
        </w:rPr>
        <w:t>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until such financial statements are delivered in compliance with </w:t>
      </w:r>
      <w:r>
        <w:rPr>
          <w:rFonts w:ascii="Arial" w:cs="Arial" w:eastAsia="Arial" w:hAnsi="Arial"/>
          <w:sz w:val="18"/>
          <w:szCs w:val="18"/>
          <w:u w:val="single" w:color="auto"/>
          <w:color w:val="auto"/>
        </w:rPr>
        <w:t>Section 8.5(</w:t>
      </w:r>
      <w:r>
        <w:rPr>
          <w:rFonts w:ascii="Arial" w:cs="Arial" w:eastAsia="Arial" w:hAnsi="Arial"/>
          <w:sz w:val="18"/>
          <w:szCs w:val="18"/>
          <w:color w:val="FF0000"/>
          <w:strike w:val="1"/>
        </w:rPr>
        <w:t>A)(</w:t>
      </w:r>
      <w:r>
        <w:rPr>
          <w:rFonts w:ascii="Arial" w:cs="Arial" w:eastAsia="Arial" w:hAnsi="Arial"/>
          <w:sz w:val="18"/>
          <w:szCs w:val="18"/>
          <w:u w:val="single" w:color="auto"/>
          <w:color w:val="auto"/>
        </w:rPr>
        <w:t>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applicable</w:t>
      </w:r>
      <w:r>
        <w:rPr>
          <w:rFonts w:ascii="Arial" w:cs="Arial" w:eastAsia="Arial" w:hAnsi="Arial"/>
          <w:sz w:val="18"/>
          <w:szCs w:val="18"/>
          <w:u w:val="single" w:color="auto"/>
          <w:color w:val="0000E1"/>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E1"/>
        </w:rPr>
        <w:t>provided</w:t>
      </w:r>
      <w:r>
        <w:rPr>
          <w:rFonts w:ascii="Arial" w:cs="Arial" w:eastAsia="Arial" w:hAnsi="Arial"/>
          <w:sz w:val="18"/>
          <w:szCs w:val="18"/>
          <w:u w:val="single" w:color="auto"/>
          <w:color w:val="0000E1"/>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E1"/>
        </w:rPr>
        <w:t>further</w:t>
      </w:r>
      <w:r>
        <w:rPr>
          <w:rFonts w:ascii="Arial" w:cs="Arial" w:eastAsia="Arial" w:hAnsi="Arial"/>
          <w:sz w:val="18"/>
          <w:szCs w:val="18"/>
          <w:u w:val="single" w:color="auto"/>
          <w:color w:val="0000E1"/>
        </w:rPr>
        <w:t>, that during the Financial Covenant Suspension</w:t>
      </w:r>
      <w:r>
        <w:rPr>
          <w:rFonts w:ascii="Arial" w:cs="Arial" w:eastAsia="Arial" w:hAnsi="Arial"/>
          <w:sz w:val="18"/>
          <w:szCs w:val="18"/>
          <w:color w:val="auto"/>
        </w:rPr>
        <w:t xml:space="preserve"> </w:t>
      </w:r>
      <w:r>
        <w:rPr>
          <w:rFonts w:ascii="Arial" w:cs="Arial" w:eastAsia="Arial" w:hAnsi="Arial"/>
          <w:sz w:val="18"/>
          <w:szCs w:val="18"/>
          <w:u w:val="single" w:color="auto"/>
          <w:color w:val="0000E1"/>
        </w:rPr>
        <w:t>Period, the “Commitment Fee Rate” shall be the rate per annum set forth in the foregoing clause (i)</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5452110</wp:posOffset>
            </wp:positionH>
            <wp:positionV relativeFrom="paragraph">
              <wp:posOffset>-409575</wp:posOffset>
            </wp:positionV>
            <wp:extent cx="13716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-135255</wp:posOffset>
            </wp:positionV>
            <wp:extent cx="302577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0257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453453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Commitments</w:t>
      </w:r>
      <w:r>
        <w:rPr>
          <w:rFonts w:ascii="Arial" w:cs="Arial" w:eastAsia="Arial" w:hAnsi="Arial"/>
          <w:sz w:val="18"/>
          <w:szCs w:val="18"/>
          <w:color w:val="auto"/>
        </w:rPr>
        <w:t>” means the Revolving Credit Commitments and the Term Loan Commitments.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Commodity Exchange Act</w:t>
      </w:r>
      <w:r>
        <w:rPr>
          <w:rFonts w:ascii="Arial" w:cs="Arial" w:eastAsia="Arial" w:hAnsi="Arial"/>
          <w:sz w:val="18"/>
          <w:szCs w:val="18"/>
          <w:color w:val="auto"/>
        </w:rPr>
        <w:t>” means the Commodity Exchange Act (7 U.S.C. § 1 et seq.).</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Competitor</w:t>
      </w:r>
      <w:r>
        <w:rPr>
          <w:rFonts w:ascii="Arial" w:cs="Arial" w:eastAsia="Arial" w:hAnsi="Arial"/>
          <w:sz w:val="18"/>
          <w:szCs w:val="18"/>
          <w:color w:val="auto"/>
        </w:rPr>
        <w:t>” means competitors of the Borrower and its Subsidiaries.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u w:val="single" w:color="auto"/>
          <w:color w:val="0000E1"/>
        </w:rPr>
        <w:t xml:space="preserve">“ </w:t>
      </w:r>
      <w:r>
        <w:rPr>
          <w:rFonts w:ascii="Arial" w:cs="Arial" w:eastAsia="Arial" w:hAnsi="Arial"/>
          <w:sz w:val="17"/>
          <w:szCs w:val="17"/>
          <w:i w:val="1"/>
          <w:iCs w:val="1"/>
          <w:u w:val="single" w:color="auto"/>
          <w:color w:val="0000E1"/>
        </w:rPr>
        <w:t>Compliance Certificate</w:t>
      </w:r>
      <w:r>
        <w:rPr>
          <w:rFonts w:ascii="Arial" w:cs="Arial" w:eastAsia="Arial" w:hAnsi="Arial"/>
          <w:sz w:val="17"/>
          <w:szCs w:val="17"/>
          <w:u w:val="single" w:color="auto"/>
          <w:color w:val="0000E1"/>
        </w:rPr>
        <w:t xml:space="preserve">” means a certificate </w:t>
      </w:r>
      <w:r>
        <w:rPr>
          <w:rFonts w:ascii="Arial" w:cs="Arial" w:eastAsia="Arial" w:hAnsi="Arial"/>
          <w:sz w:val="17"/>
          <w:szCs w:val="17"/>
          <w:u w:val="single" w:color="auto"/>
          <w:color w:val="008000"/>
        </w:rPr>
        <w:t>in substantially the form attached hereto as Exhibit E</w:t>
      </w:r>
      <w:r>
        <w:rPr>
          <w:rFonts w:ascii="Arial" w:cs="Arial" w:eastAsia="Arial" w:hAnsi="Arial"/>
          <w:sz w:val="17"/>
          <w:szCs w:val="17"/>
          <w:u w:val="single" w:color="auto"/>
          <w:color w:val="0000E1"/>
        </w:rPr>
        <w:t xml:space="preserve"> delivered pursuant to Section 8.5(f).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30480</wp:posOffset>
            </wp:positionV>
            <wp:extent cx="208280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30480</wp:posOffset>
            </wp:positionV>
            <wp:extent cx="165417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17" w:lineRule="exact"/>
        <w:rPr>
          <w:sz w:val="20"/>
          <w:szCs w:val="20"/>
          <w:color w:val="auto"/>
        </w:rPr>
      </w:pPr>
    </w:p>
    <w:p>
      <w:pPr>
        <w:ind w:left="4" w:right="8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Group</w:t>
      </w:r>
      <w:r>
        <w:rPr>
          <w:rFonts w:ascii="Arial" w:cs="Arial" w:eastAsia="Arial" w:hAnsi="Arial"/>
          <w:sz w:val="18"/>
          <w:szCs w:val="18"/>
          <w:color w:val="auto"/>
        </w:rPr>
        <w:t>” means at any date and for any period, Holdings, the Borrower and the Borrower’s subsidiaries, determined on a consolidated basis in accordance with GAAP.</w:t>
      </w:r>
    </w:p>
    <w:p>
      <w:pPr>
        <w:spacing w:after="0" w:line="170" w:lineRule="exact"/>
        <w:rPr>
          <w:sz w:val="20"/>
          <w:szCs w:val="20"/>
          <w:color w:val="auto"/>
        </w:rPr>
      </w:pPr>
    </w:p>
    <w:p>
      <w:pPr>
        <w:ind w:left="4" w:right="8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Group Company</w:t>
      </w:r>
      <w:r>
        <w:rPr>
          <w:rFonts w:ascii="Arial" w:cs="Arial" w:eastAsia="Arial" w:hAnsi="Arial"/>
          <w:sz w:val="18"/>
          <w:szCs w:val="18"/>
          <w:color w:val="auto"/>
        </w:rPr>
        <w:t>” means at any date and for (or for a pertinent portion of) any period a Person which is a member of the Consolidated Group.</w:t>
      </w:r>
    </w:p>
    <w:p>
      <w:pPr>
        <w:spacing w:after="0" w:line="170"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Start-up Costs</w:t>
      </w:r>
      <w:r>
        <w:rPr>
          <w:rFonts w:ascii="Arial" w:cs="Arial" w:eastAsia="Arial" w:hAnsi="Arial"/>
          <w:sz w:val="18"/>
          <w:szCs w:val="18"/>
          <w:color w:val="auto"/>
        </w:rPr>
        <w:t>” means consolidated “start-up costs” (as such term is defined in Accounting Standards Codification No. 720 published by the Financial Accounting Standards Board) of the Restricted Group related to the acquisition, opening and organizing of new Units or conversion of existing Units, including, without limitation, rental payments with respect to any location made prior to the opening of the Unit at such location, the cost of feasibility studies, staff-training and recruiting and travel costs for employees engaged in such start-up activities, in each case net of landlord reimbursements for such costs.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4"/>
          </w:cols>
          <w:pgMar w:left="436" w:top="274" w:right="459" w:bottom="1440" w:gutter="0" w:footer="0" w:header="0"/>
        </w:sectPr>
      </w:pPr>
    </w:p>
    <w:bookmarkStart w:id="109" w:name="page110"/>
    <w:bookmarkEnd w:id="109"/>
    <w:p>
      <w:pPr>
        <w:ind w:left="4"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xml:space="preserve">” means, for any Person, as of the date of the most recent financial statements delivered pursuant to </w:t>
      </w:r>
      <w:r>
        <w:rPr>
          <w:rFonts w:ascii="Arial" w:cs="Arial" w:eastAsia="Arial" w:hAnsi="Arial"/>
          <w:sz w:val="18"/>
          <w:szCs w:val="18"/>
          <w:u w:val="single" w:color="auto"/>
          <w:color w:val="auto"/>
        </w:rPr>
        <w:t>Section 8.5</w:t>
      </w:r>
      <w:r>
        <w:rPr>
          <w:rFonts w:ascii="Arial" w:cs="Arial" w:eastAsia="Arial" w:hAnsi="Arial"/>
          <w:sz w:val="18"/>
          <w:szCs w:val="18"/>
          <w:color w:val="auto"/>
        </w:rPr>
        <w:t>, the total assets of such Person and its consolidated Subsidiaries, determined in accordance with GAAP, as set forth on the consolidated balance sheet of such Person as of such date.</w:t>
      </w:r>
    </w:p>
    <w:p>
      <w:pPr>
        <w:spacing w:after="0" w:line="184" w:lineRule="exact"/>
        <w:rPr>
          <w:sz w:val="20"/>
          <w:szCs w:val="20"/>
          <w:color w:val="auto"/>
        </w:rPr>
      </w:pPr>
    </w:p>
    <w:p>
      <w:pPr>
        <w:ind w:left="4" w:right="3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Controlled Group</w:t>
      </w:r>
      <w:r>
        <w:rPr>
          <w:rFonts w:ascii="Arial" w:cs="Arial" w:eastAsia="Arial" w:hAnsi="Arial"/>
          <w:sz w:val="17"/>
          <w:szCs w:val="17"/>
          <w:color w:val="auto"/>
        </w:rPr>
        <w:t>” means all members of a controlled group of corporations and all trades or businesses (whether or not incorporated) under common control which, together with the Borrower, are treated as a single employer under Section 414 of the Code.</w:t>
      </w:r>
    </w:p>
    <w:p>
      <w:pPr>
        <w:spacing w:after="0" w:line="146"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Covered Entity</w:t>
      </w:r>
      <w:r>
        <w:rPr>
          <w:rFonts w:ascii="Arial" w:cs="Arial" w:eastAsia="Arial" w:hAnsi="Arial"/>
          <w:sz w:val="18"/>
          <w:szCs w:val="18"/>
          <w:u w:val="single" w:color="auto"/>
          <w:color w:val="0000E1"/>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-276860</wp:posOffset>
            </wp:positionV>
            <wp:extent cx="648906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98627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31203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Covered Party</w:t>
      </w:r>
      <w:r>
        <w:rPr>
          <w:rFonts w:ascii="Arial" w:cs="Arial" w:eastAsia="Arial" w:hAnsi="Arial"/>
          <w:sz w:val="18"/>
          <w:szCs w:val="18"/>
          <w:u w:val="single" w:color="auto"/>
          <w:color w:val="0000E1"/>
        </w:rPr>
        <w:t>” is defined in Section  13.31.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21259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205"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COVID-19 Pandemic</w:t>
      </w:r>
      <w:r>
        <w:rPr>
          <w:rFonts w:ascii="Arial" w:cs="Arial" w:eastAsia="Arial" w:hAnsi="Arial"/>
          <w:sz w:val="18"/>
          <w:szCs w:val="18"/>
          <w:u w:val="single" w:color="auto"/>
          <w:color w:val="0000E1"/>
        </w:rPr>
        <w:t>” means the COVID-19 pandemic and the economic, financial, business, operational and healthcare effects thereof and the response of governmental and healthcare authorities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-147955</wp:posOffset>
            </wp:positionV>
            <wp:extent cx="666051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334327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5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Event</w:t>
      </w:r>
      <w:r>
        <w:rPr>
          <w:rFonts w:ascii="Arial" w:cs="Arial" w:eastAsia="Arial" w:hAnsi="Arial"/>
          <w:sz w:val="18"/>
          <w:szCs w:val="18"/>
          <w:color w:val="auto"/>
        </w:rPr>
        <w:t>” means the advancing of any Loan, or the issuance of, or increase in the amount of, any Letter of Credit.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Facility</w:t>
      </w:r>
      <w:r>
        <w:rPr>
          <w:rFonts w:ascii="Arial" w:cs="Arial" w:eastAsia="Arial" w:hAnsi="Arial"/>
          <w:sz w:val="18"/>
          <w:szCs w:val="18"/>
          <w:color w:val="auto"/>
        </w:rPr>
        <w:t>” means any of the Revolving Credit Facility, the Swing Line Facility and the Term Credit Facility.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Cumulative Credit</w:t>
      </w:r>
      <w:r>
        <w:rPr>
          <w:rFonts w:ascii="Arial" w:cs="Arial" w:eastAsia="Arial" w:hAnsi="Arial"/>
          <w:sz w:val="18"/>
          <w:szCs w:val="18"/>
          <w:color w:val="auto"/>
        </w:rPr>
        <w:t>” means, at any date, an amount, determined on a cumulative basis equal to, without duplication:</w:t>
      </w:r>
    </w:p>
    <w:p>
      <w:pPr>
        <w:spacing w:after="0" w:line="225" w:lineRule="exact"/>
        <w:rPr>
          <w:sz w:val="20"/>
          <w:szCs w:val="20"/>
          <w:color w:val="auto"/>
        </w:rPr>
      </w:pPr>
    </w:p>
    <w:p>
      <w:pPr>
        <w:ind w:left="4" w:right="520" w:firstLine="987"/>
        <w:spacing w:after="0" w:line="277" w:lineRule="auto"/>
        <w:tabs>
          <w:tab w:leader="none" w:pos="1375"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(i) the CNI Growth Amount at such time plus (ii) Declined Proceeds </w:t>
      </w:r>
      <w:r>
        <w:rPr>
          <w:rFonts w:ascii="Arial" w:cs="Arial" w:eastAsia="Arial" w:hAnsi="Arial"/>
          <w:sz w:val="18"/>
          <w:szCs w:val="18"/>
          <w:u w:val="single" w:color="auto"/>
          <w:color w:val="0000E1"/>
        </w:rPr>
        <w:t>after the Closing Date</w:t>
      </w:r>
      <w:r>
        <w:rPr>
          <w:rFonts w:ascii="Arial" w:cs="Arial" w:eastAsia="Arial" w:hAnsi="Arial"/>
          <w:sz w:val="18"/>
          <w:szCs w:val="18"/>
          <w:color w:val="auto"/>
        </w:rPr>
        <w:t xml:space="preserve"> that are not applied to a mandatory prepayment pursuant to </w:t>
      </w:r>
      <w:r>
        <w:rPr>
          <w:rFonts w:ascii="Arial" w:cs="Arial" w:eastAsia="Arial" w:hAnsi="Arial"/>
          <w:sz w:val="18"/>
          <w:szCs w:val="18"/>
          <w:u w:val="single" w:color="auto"/>
          <w:color w:val="auto"/>
        </w:rPr>
        <w:t>Section 1.9(b)</w:t>
      </w:r>
      <w:r>
        <w:rPr>
          <w:rFonts w:ascii="Arial" w:cs="Arial" w:eastAsia="Arial" w:hAnsi="Arial"/>
          <w:sz w:val="18"/>
          <w:szCs w:val="18"/>
          <w:color w:val="auto"/>
        </w:rPr>
        <w:t>, plus (iii) an amount not to exceed $30,000,000</w:t>
      </w:r>
      <w:r>
        <w:rPr>
          <w:rFonts w:ascii="Arial" w:cs="Arial" w:eastAsia="Arial" w:hAnsi="Arial"/>
          <w:sz w:val="18"/>
          <w:szCs w:val="18"/>
          <w:color w:val="FF0000"/>
          <w:strike w:val="1"/>
        </w:rPr>
        <w:t>,</w:t>
      </w:r>
      <w:r>
        <w:rPr>
          <w:rFonts w:ascii="Arial" w:cs="Arial" w:eastAsia="Arial" w:hAnsi="Arial"/>
          <w:sz w:val="18"/>
          <w:szCs w:val="18"/>
          <w:u w:val="single" w:color="auto"/>
          <w:color w:val="0000E1"/>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ind w:left="4" w:right="540" w:firstLine="987"/>
        <w:spacing w:after="0" w:line="259" w:lineRule="auto"/>
        <w:tabs>
          <w:tab w:leader="none" w:pos="1385"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100% of the aggregate amount of proceeds received by the Borrower from sales or issuances of its Equity Interests and/or the aggregate amount of contributions to the capital of the Borrower received in cash or other property (the fair market value of which having been determined in good faith by the Borrower) after the Closing Date, </w:t>
      </w:r>
      <w:r>
        <w:rPr>
          <w:rFonts w:ascii="Arial" w:cs="Arial" w:eastAsia="Arial" w:hAnsi="Arial"/>
          <w:sz w:val="18"/>
          <w:szCs w:val="18"/>
          <w:u w:val="single" w:color="auto"/>
          <w:color w:val="0000E1"/>
        </w:rPr>
        <w:t>but excluding any such proceeds or contributions received during the Financial</w:t>
      </w:r>
      <w:r>
        <w:rPr>
          <w:rFonts w:ascii="Arial" w:cs="Arial" w:eastAsia="Arial" w:hAnsi="Arial"/>
          <w:sz w:val="18"/>
          <w:szCs w:val="18"/>
          <w:color w:val="auto"/>
        </w:rPr>
        <w:t xml:space="preserve"> </w:t>
      </w:r>
      <w:r>
        <w:rPr>
          <w:rFonts w:ascii="Arial" w:cs="Arial" w:eastAsia="Arial" w:hAnsi="Arial"/>
          <w:sz w:val="18"/>
          <w:szCs w:val="18"/>
          <w:u w:val="single" w:color="auto"/>
          <w:color w:val="0000E1"/>
        </w:rPr>
        <w:t xml:space="preserve">Covenant Suspension Period; </w:t>
      </w:r>
      <w:r>
        <w:rPr>
          <w:rFonts w:ascii="Arial" w:cs="Arial" w:eastAsia="Arial" w:hAnsi="Arial"/>
          <w:sz w:val="18"/>
          <w:szCs w:val="18"/>
          <w:u w:val="single" w:color="auto"/>
          <w:color w:val="000000"/>
        </w:rPr>
        <w:t>plus</w:t>
      </w:r>
    </w:p>
    <w:p>
      <w:pPr>
        <w:spacing w:after="0" w:line="186" w:lineRule="exact"/>
        <w:rPr>
          <w:rFonts w:ascii="Arial" w:cs="Arial" w:eastAsia="Arial" w:hAnsi="Arial"/>
          <w:sz w:val="18"/>
          <w:szCs w:val="18"/>
          <w:color w:val="auto"/>
        </w:rPr>
      </w:pPr>
    </w:p>
    <w:p>
      <w:pPr>
        <w:ind w:left="1364" w:hanging="373"/>
        <w:spacing w:after="0"/>
        <w:tabs>
          <w:tab w:leader="none" w:pos="136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[reserved]</w:t>
      </w:r>
      <w:r>
        <w:rPr>
          <w:rFonts w:ascii="Arial" w:cs="Arial" w:eastAsia="Arial" w:hAnsi="Arial"/>
          <w:sz w:val="18"/>
          <w:szCs w:val="18"/>
          <w:u w:val="single" w:color="auto"/>
          <w:color w:val="0000E1"/>
        </w:rPr>
        <w:t>;</w:t>
      </w:r>
    </w:p>
    <w:p>
      <w:pPr>
        <w:spacing w:after="0" w:line="225" w:lineRule="exact"/>
        <w:rPr>
          <w:rFonts w:ascii="Arial" w:cs="Arial" w:eastAsia="Arial" w:hAnsi="Arial"/>
          <w:sz w:val="18"/>
          <w:szCs w:val="18"/>
          <w:color w:val="auto"/>
        </w:rPr>
      </w:pPr>
    </w:p>
    <w:p>
      <w:pPr>
        <w:ind w:left="4" w:firstLine="987"/>
        <w:spacing w:after="0" w:line="263" w:lineRule="auto"/>
        <w:tabs>
          <w:tab w:leader="none" w:pos="1385"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100% of the aggregate amount of any dividends, distributions, interest, fees, premium, return of capital, repayment of principal, income, profits (from a disposition or otherwise) and other amounts received or realized in respect of any investment </w:t>
      </w:r>
      <w:r>
        <w:rPr>
          <w:rFonts w:ascii="Arial" w:cs="Arial" w:eastAsia="Arial" w:hAnsi="Arial"/>
          <w:sz w:val="18"/>
          <w:szCs w:val="18"/>
          <w:u w:val="single" w:color="auto"/>
          <w:color w:val="0000E1"/>
        </w:rPr>
        <w:t>after the Closing Date</w:t>
      </w:r>
      <w:r>
        <w:rPr>
          <w:rFonts w:ascii="Arial" w:cs="Arial" w:eastAsia="Arial" w:hAnsi="Arial"/>
          <w:sz w:val="18"/>
          <w:szCs w:val="18"/>
          <w:color w:val="auto"/>
        </w:rPr>
        <w:t xml:space="preserve"> permitted by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183" w:lineRule="exact"/>
        <w:rPr>
          <w:rFonts w:ascii="Arial" w:cs="Arial" w:eastAsia="Arial" w:hAnsi="Arial"/>
          <w:sz w:val="18"/>
          <w:szCs w:val="18"/>
          <w:color w:val="auto"/>
        </w:rPr>
      </w:pPr>
    </w:p>
    <w:p>
      <w:pPr>
        <w:ind w:left="1364" w:hanging="373"/>
        <w:spacing w:after="0"/>
        <w:tabs>
          <w:tab w:leader="none" w:pos="1364" w:val="left"/>
        </w:tabs>
        <w:numPr>
          <w:ilvl w:val="1"/>
          <w:numId w:val="126"/>
        </w:numPr>
        <w:rPr>
          <w:rFonts w:ascii="Arial" w:cs="Arial" w:eastAsia="Arial" w:hAnsi="Arial"/>
          <w:sz w:val="17"/>
          <w:szCs w:val="17"/>
          <w:color w:val="auto"/>
        </w:rPr>
      </w:pPr>
      <w:r>
        <w:rPr>
          <w:rFonts w:ascii="Arial" w:cs="Arial" w:eastAsia="Arial" w:hAnsi="Arial"/>
          <w:sz w:val="17"/>
          <w:szCs w:val="17"/>
          <w:color w:val="auto"/>
        </w:rPr>
        <w:t xml:space="preserve">to the extent not otherwise included in the Net Income used in calculating the CNI Growth Amount added pursuant to </w:t>
      </w:r>
      <w:r>
        <w:rPr>
          <w:rFonts w:ascii="Arial" w:cs="Arial" w:eastAsia="Arial" w:hAnsi="Arial"/>
          <w:sz w:val="17"/>
          <w:szCs w:val="17"/>
          <w:u w:val="single" w:color="auto"/>
          <w:color w:val="auto"/>
        </w:rPr>
        <w:t>clause</w:t>
      </w:r>
    </w:p>
    <w:p>
      <w:pPr>
        <w:spacing w:after="0" w:line="34" w:lineRule="exact"/>
        <w:rPr>
          <w:rFonts w:ascii="Arial" w:cs="Arial" w:eastAsia="Arial" w:hAnsi="Arial"/>
          <w:sz w:val="17"/>
          <w:szCs w:val="17"/>
          <w:color w:val="auto"/>
        </w:rPr>
      </w:pPr>
    </w:p>
    <w:p>
      <w:pPr>
        <w:ind w:left="244" w:hanging="244"/>
        <w:spacing w:after="0"/>
        <w:tabs>
          <w:tab w:leader="none" w:pos="244" w:val="left"/>
        </w:tabs>
        <w:numPr>
          <w:ilvl w:val="0"/>
          <w:numId w:val="127"/>
        </w:numPr>
        <w:rPr>
          <w:rFonts w:ascii="Arial" w:cs="Arial" w:eastAsia="Arial" w:hAnsi="Arial"/>
          <w:sz w:val="18"/>
          <w:szCs w:val="18"/>
          <w:u w:val="single" w:color="auto"/>
          <w:color w:val="auto"/>
        </w:rPr>
      </w:pPr>
      <w:r>
        <w:rPr>
          <w:rFonts w:ascii="Arial" w:cs="Arial" w:eastAsia="Arial" w:hAnsi="Arial"/>
          <w:sz w:val="18"/>
          <w:szCs w:val="18"/>
          <w:color w:val="auto"/>
        </w:rPr>
        <w:t>above, an amount equal to the sum of (i) the aggregate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-2042160</wp:posOffset>
            </wp:positionV>
            <wp:extent cx="10115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-1905000</wp:posOffset>
            </wp:positionV>
            <wp:extent cx="2540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-1356360</wp:posOffset>
            </wp:positionV>
            <wp:extent cx="360870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6087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-1219200</wp:posOffset>
            </wp:positionV>
            <wp:extent cx="134556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1337310</wp:posOffset>
            </wp:positionH>
            <wp:positionV relativeFrom="paragraph">
              <wp:posOffset>-944880</wp:posOffset>
            </wp:positionV>
            <wp:extent cx="2603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5374640</wp:posOffset>
            </wp:positionH>
            <wp:positionV relativeFrom="paragraph">
              <wp:posOffset>-533400</wp:posOffset>
            </wp:positionV>
            <wp:extent cx="100266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4" w:right="459" w:bottom="1440" w:gutter="0" w:footer="0" w:header="0"/>
        </w:sectPr>
      </w:pPr>
    </w:p>
    <w:bookmarkStart w:id="110" w:name="page111"/>
    <w:bookmarkEnd w:id="110"/>
    <w:p>
      <w:pPr>
        <w:ind w:left="4"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received by the Borrower or any Restricted Subsidiary from cash dividends and distributions received from any Unrestricted Subsidiaries and Net Cash Proceeds in connection with any sale, transfer or other disposition permitted by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of its Equity Interests in any Unrestricted Subsidiary,</w:t>
      </w:r>
    </w:p>
    <w:p>
      <w:pPr>
        <w:ind w:left="4" w:hanging="4"/>
        <w:spacing w:after="0" w:line="268" w:lineRule="auto"/>
        <w:tabs>
          <w:tab w:leader="none" w:pos="26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the amount of any investments by the Borrower or any Restricted Subsidiary in any Unrestricted Subsidiary (in an amount not to exceed the original amount of such </w:t>
      </w:r>
      <w:r>
        <w:rPr>
          <w:rFonts w:ascii="Arial" w:cs="Arial" w:eastAsia="Arial" w:hAnsi="Arial"/>
          <w:sz w:val="17"/>
          <w:szCs w:val="17"/>
          <w:color w:val="FF0000"/>
          <w:strike w:val="1"/>
        </w:rPr>
        <w:t>I</w:t>
      </w:r>
      <w:r>
        <w:rPr>
          <w:rFonts w:ascii="Arial" w:cs="Arial" w:eastAsia="Arial" w:hAnsi="Arial"/>
          <w:sz w:val="17"/>
          <w:szCs w:val="17"/>
          <w:u w:val="single" w:color="auto"/>
          <w:color w:val="0000E1"/>
        </w:rPr>
        <w:t>i</w:t>
      </w:r>
      <w:r>
        <w:rPr>
          <w:rFonts w:ascii="Arial" w:cs="Arial" w:eastAsia="Arial" w:hAnsi="Arial"/>
          <w:sz w:val="17"/>
          <w:szCs w:val="17"/>
          <w:color w:val="auto"/>
        </w:rPr>
        <w:t xml:space="preserve">nvestment) that has been re-designated as a Restricted Subsidiary or has been merged, consolidated or amalgamated with or into, or is liquidated into, the Borrower or any Restricted Subsidiary and (iii) the fair market value (as determined by the Borrower in good faith) of the property or assets of any Unrestricted Subsidiary that have been transferred, conveyed or otherwise distributed (in an amount not to exceed the original amount of the </w:t>
      </w:r>
      <w:r>
        <w:rPr>
          <w:rFonts w:ascii="Arial" w:cs="Arial" w:eastAsia="Arial" w:hAnsi="Arial"/>
          <w:sz w:val="17"/>
          <w:szCs w:val="17"/>
          <w:color w:val="FF0000"/>
          <w:strike w:val="1"/>
        </w:rPr>
        <w:t>I</w:t>
      </w:r>
      <w:r>
        <w:rPr>
          <w:rFonts w:ascii="Arial" w:cs="Arial" w:eastAsia="Arial" w:hAnsi="Arial"/>
          <w:sz w:val="17"/>
          <w:szCs w:val="17"/>
          <w:u w:val="single" w:color="auto"/>
          <w:color w:val="0000E1"/>
        </w:rPr>
        <w:t>i</w:t>
      </w:r>
      <w:r>
        <w:rPr>
          <w:rFonts w:ascii="Arial" w:cs="Arial" w:eastAsia="Arial" w:hAnsi="Arial"/>
          <w:sz w:val="17"/>
          <w:szCs w:val="17"/>
          <w:color w:val="auto"/>
        </w:rPr>
        <w:t xml:space="preserve">nvestment in such Unrestricted Subsidiary) to the Borrower or any Restricted Subsidiary, in each case, during the period from and including the Business Day immediately following the Closing Date through and including any date of determination, in each case to the extent that the investment corresponding to the designation of such Restricted Subsidiary as an Unrestricted Subsidiary or any subsequent investment in such Unrestricted Subsidiary, was made in reliance on the Cumulative Credit pursuant to </w:t>
      </w:r>
      <w:r>
        <w:rPr>
          <w:rFonts w:ascii="Arial" w:cs="Arial" w:eastAsia="Arial" w:hAnsi="Arial"/>
          <w:sz w:val="17"/>
          <w:szCs w:val="17"/>
          <w:u w:val="single" w:color="auto"/>
          <w:color w:val="auto"/>
        </w:rPr>
        <w:t>Section 8.9(n)</w:t>
      </w:r>
      <w:r>
        <w:rPr>
          <w:rFonts w:ascii="Arial" w:cs="Arial" w:eastAsia="Arial" w:hAnsi="Arial"/>
          <w:sz w:val="17"/>
          <w:szCs w:val="17"/>
          <w:u w:val="single" w:color="auto"/>
          <w:color w:val="0000E1"/>
        </w:rPr>
        <w:t>(ii)</w:t>
      </w:r>
      <w:r>
        <w:rPr>
          <w:rFonts w:ascii="Arial" w:cs="Arial" w:eastAsia="Arial" w:hAnsi="Arial"/>
          <w:sz w:val="17"/>
          <w:szCs w:val="17"/>
          <w:color w:val="auto"/>
        </w:rPr>
        <w:t xml:space="preserve">; </w:t>
      </w:r>
      <w:r>
        <w:rPr>
          <w:rFonts w:ascii="Arial" w:cs="Arial" w:eastAsia="Arial" w:hAnsi="Arial"/>
          <w:sz w:val="17"/>
          <w:szCs w:val="17"/>
          <w:u w:val="single" w:color="auto"/>
          <w:color w:val="auto"/>
        </w:rPr>
        <w:t>minus</w:t>
      </w:r>
    </w:p>
    <w:p>
      <w:pPr>
        <w:spacing w:after="0" w:line="183" w:lineRule="exact"/>
        <w:rPr>
          <w:rFonts w:ascii="Arial" w:cs="Arial" w:eastAsia="Arial" w:hAnsi="Arial"/>
          <w:sz w:val="17"/>
          <w:szCs w:val="17"/>
          <w:color w:val="auto"/>
        </w:rPr>
      </w:pPr>
    </w:p>
    <w:p>
      <w:pPr>
        <w:ind w:left="1344" w:hanging="353"/>
        <w:spacing w:after="0"/>
        <w:tabs>
          <w:tab w:leader="none" w:pos="134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any amounts thereof used to make investments pursuant to </w:t>
      </w:r>
      <w:r>
        <w:rPr>
          <w:rFonts w:ascii="Arial" w:cs="Arial" w:eastAsia="Arial" w:hAnsi="Arial"/>
          <w:sz w:val="18"/>
          <w:szCs w:val="18"/>
          <w:u w:val="single" w:color="auto"/>
          <w:color w:val="auto"/>
        </w:rPr>
        <w:t>Section 8.9(n)</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w:t>
      </w:r>
      <w:r>
        <w:rPr>
          <w:rFonts w:ascii="Arial" w:cs="Arial" w:eastAsia="Arial" w:hAnsi="Arial"/>
          <w:sz w:val="18"/>
          <w:szCs w:val="18"/>
          <w:u w:val="single" w:color="auto"/>
          <w:color w:val="auto"/>
        </w:rPr>
        <w:t>minus</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the cumulative amount of dividends paid and distributions made pursuant to </w:t>
      </w:r>
      <w:r>
        <w:rPr>
          <w:rFonts w:ascii="Arial" w:cs="Arial" w:eastAsia="Arial" w:hAnsi="Arial"/>
          <w:sz w:val="18"/>
          <w:szCs w:val="18"/>
          <w:u w:val="single" w:color="auto"/>
          <w:color w:val="auto"/>
        </w:rPr>
        <w:t>Section 8.12(</w:t>
      </w:r>
      <w:r>
        <w:rPr>
          <w:rFonts w:ascii="Arial" w:cs="Arial" w:eastAsia="Arial" w:hAnsi="Arial"/>
          <w:sz w:val="18"/>
          <w:szCs w:val="18"/>
          <w:color w:val="FF0000"/>
          <w:strike w:val="1"/>
        </w:rPr>
        <w:t>ix</w:t>
      </w:r>
      <w:r>
        <w:rPr>
          <w:rFonts w:ascii="Arial" w:cs="Arial" w:eastAsia="Arial" w:hAnsi="Arial"/>
          <w:sz w:val="18"/>
          <w:szCs w:val="18"/>
          <w:u w:val="single" w:color="auto"/>
          <w:color w:val="0000E1"/>
        </w:rPr>
        <w:t>i</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w:t>
      </w:r>
      <w:r>
        <w:rPr>
          <w:rFonts w:ascii="Arial" w:cs="Arial" w:eastAsia="Arial" w:hAnsi="Arial"/>
          <w:sz w:val="18"/>
          <w:szCs w:val="18"/>
          <w:u w:val="single" w:color="auto"/>
          <w:color w:val="auto"/>
        </w:rPr>
        <w:t>minus</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payments or distributions in respect of Subordinated Debt pursuant to </w:t>
      </w:r>
      <w:r>
        <w:rPr>
          <w:rFonts w:ascii="Arial" w:cs="Arial" w:eastAsia="Arial" w:hAnsi="Arial"/>
          <w:sz w:val="18"/>
          <w:szCs w:val="18"/>
          <w:u w:val="single" w:color="auto"/>
          <w:color w:val="auto"/>
        </w:rPr>
        <w:t>Section 8.21(b)(vi</w:t>
      </w:r>
      <w:r>
        <w:rPr>
          <w:rFonts w:ascii="Arial" w:cs="Arial" w:eastAsia="Arial" w:hAnsi="Arial"/>
          <w:sz w:val="18"/>
          <w:szCs w:val="18"/>
          <w:u w:val="single" w:color="auto"/>
          <w:color w:val="0000E1"/>
        </w:rPr>
        <w:t>i</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-1621790</wp:posOffset>
            </wp:positionV>
            <wp:extent cx="342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-1210310</wp:posOffset>
            </wp:positionV>
            <wp:extent cx="342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3900170</wp:posOffset>
            </wp:positionH>
            <wp:positionV relativeFrom="paragraph">
              <wp:posOffset>-798830</wp:posOffset>
            </wp:positionV>
            <wp:extent cx="13716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-250190</wp:posOffset>
            </wp:positionV>
            <wp:extent cx="342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4920615</wp:posOffset>
            </wp:positionH>
            <wp:positionV relativeFrom="paragraph">
              <wp:posOffset>23495</wp:posOffset>
            </wp:positionV>
            <wp:extent cx="342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jc w:val="both"/>
        <w:ind w:left="4"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Debtor Relief Laws</w:t>
      </w:r>
      <w:r>
        <w:rPr>
          <w:rFonts w:ascii="Arial" w:cs="Arial" w:eastAsia="Arial" w:hAnsi="Arial"/>
          <w:sz w:val="18"/>
          <w:szCs w:val="18"/>
          <w:color w:val="auto"/>
        </w:rPr>
        <w:t xml:space="preserve">” </w:t>
      </w:r>
      <w:r>
        <w:rPr>
          <w:rFonts w:ascii="Arial" w:cs="Arial" w:eastAsia="Arial" w:hAnsi="Arial"/>
          <w:sz w:val="18"/>
          <w:szCs w:val="18"/>
          <w:color w:val="FF0000"/>
          <w:strike w:val="1"/>
        </w:rPr>
        <w:t>shall</w:t>
      </w:r>
      <w:r>
        <w:rPr>
          <w:rFonts w:ascii="Arial" w:cs="Arial" w:eastAsia="Arial" w:hAnsi="Arial"/>
          <w:sz w:val="18"/>
          <w:szCs w:val="18"/>
          <w:color w:val="auto"/>
        </w:rPr>
        <w:t xml:space="preserve"> mean</w:t>
      </w:r>
      <w:r>
        <w:rPr>
          <w:rFonts w:ascii="Arial" w:cs="Arial" w:eastAsia="Arial" w:hAnsi="Arial"/>
          <w:sz w:val="18"/>
          <w:szCs w:val="18"/>
          <w:u w:val="single" w:color="auto"/>
          <w:color w:val="0000E1"/>
        </w:rPr>
        <w:t>s</w:t>
      </w:r>
      <w:r>
        <w:rPr>
          <w:rFonts w:ascii="Arial" w:cs="Arial" w:eastAsia="Arial" w:hAnsi="Arial"/>
          <w:sz w:val="18"/>
          <w:szCs w:val="18"/>
          <w:color w:val="auto"/>
        </w:rPr>
        <w:t xml:space="preserve">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-276860</wp:posOffset>
            </wp:positionV>
            <wp:extent cx="431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Declined Proceeds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1.9(e)</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or condition the occurrence of which would, with the passage of time or the giving of notice, or both, constitute an Event of Default.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 Rate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Default Right</w:t>
      </w:r>
      <w:r>
        <w:rPr>
          <w:rFonts w:ascii="Arial" w:cs="Arial" w:eastAsia="Arial" w:hAnsi="Arial"/>
          <w:sz w:val="18"/>
          <w:szCs w:val="18"/>
          <w:u w:val="single" w:color="auto"/>
          <w:color w:val="0000E1"/>
        </w:rPr>
        <w:t>” is defined in, and shall be interpreted in accordance with, 12 C.F.R. §§ 252.81, 47.2 or 382.1,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568325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683250" cy="8890"/>
                    </a:xfrm>
                    <a:prstGeom prst="rect">
                      <a:avLst/>
                    </a:prstGeom>
                    <a:noFill/>
                  </pic:spPr>
                </pic:pic>
              </a:graphicData>
            </a:graphic>
          </wp:anchor>
        </w:drawing>
      </w:r>
    </w:p>
    <w:p>
      <w:pPr>
        <w:spacing w:after="0" w:line="205" w:lineRule="exact"/>
        <w:rPr>
          <w:sz w:val="20"/>
          <w:szCs w:val="20"/>
          <w:color w:val="auto"/>
        </w:rPr>
      </w:pPr>
    </w:p>
    <w:p>
      <w:pPr>
        <w:ind w:left="4" w:right="10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Defaulting Lender</w:t>
      </w:r>
      <w:r>
        <w:rPr>
          <w:rFonts w:ascii="Arial" w:cs="Arial" w:eastAsia="Arial" w:hAnsi="Arial"/>
          <w:sz w:val="17"/>
          <w:szCs w:val="17"/>
          <w:color w:val="auto"/>
        </w:rPr>
        <w:t>” means any Lender that, as reasonably determined by the Administrative Agent, has (a) failed to fund any portion of its Revolving Credit Commitment, including the failure to make any payment to the L/C Issuer in respect of an L/C Obligation and/or to the Swing Line Lender in respect of a Swing Loan and/or failed to fund any portion of its Term Loan Commitment (collectively, the “</w:t>
      </w:r>
      <w:r>
        <w:rPr>
          <w:rFonts w:ascii="Arial" w:cs="Arial" w:eastAsia="Arial" w:hAnsi="Arial"/>
          <w:sz w:val="17"/>
          <w:szCs w:val="17"/>
          <w:i w:val="1"/>
          <w:iCs w:val="1"/>
          <w:color w:val="auto"/>
        </w:rPr>
        <w:t>Lender Funding Obligations</w:t>
      </w:r>
      <w:r>
        <w:rPr>
          <w:rFonts w:ascii="Arial" w:cs="Arial" w:eastAsia="Arial" w:hAnsi="Arial"/>
          <w:sz w:val="17"/>
          <w:szCs w:val="17"/>
          <w:color w:val="auto"/>
        </w:rPr>
        <w:t>”) within two (2) Business Days of the date required to be funded by it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w:t>
      </w:r>
      <w:r>
        <w:rPr>
          <w:rFonts w:ascii="Arial" w:cs="Arial" w:eastAsia="Arial" w:hAnsi="Arial"/>
          <w:sz w:val="17"/>
          <w:szCs w:val="17"/>
          <w:u w:val="single" w:color="auto"/>
          <w:color w:val="0000E1"/>
        </w:rPr>
        <w:t>)</w:t>
      </w:r>
      <w:r>
        <w:rPr>
          <w:rFonts w:ascii="Arial" w:cs="Arial" w:eastAsia="Arial" w:hAnsi="Arial"/>
          <w:sz w:val="17"/>
          <w:szCs w:val="17"/>
          <w:color w:val="auto"/>
        </w:rPr>
        <w:t>, (b) notified the Borrower, the Administrative Agent or any Lender in writing, or has otherwise indicated through a public statement, that it does not intend to comply with its Lender Funding Obligations or generally under agreements in which it commits to extend credit, (c) failed, within three (3) Business Days after receipt of a written request from the Administrative Agent or the Borrower, to confirm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-415290</wp:posOffset>
            </wp:positionV>
            <wp:extent cx="342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9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4"/>
          </w:cols>
          <w:pgMar w:left="436" w:top="274" w:right="459" w:bottom="1440" w:gutter="0" w:footer="0" w:header="0"/>
        </w:sectPr>
      </w:pPr>
    </w:p>
    <w:bookmarkStart w:id="111" w:name="page112"/>
    <w:bookmarkEnd w:id="11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it will comply with the terms of this Agreement relating to its Lender Funding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the Administrative Agent and the Borrower), (d) otherwise failed to pay over to the Administrative Agent or any other Lender any other amount required to be paid by it hereunder within three (3) Business Days of the date when due or (e) become (or has a Parent Company that has become) (i) the subject of a Bail-In Action or (ii) other than via an Undisclosed Administration the subject of a bankruptcy or insolvency proceeding, or has had a receiver, conservator, trustee, custodian, administrator, examiner, liquidator, assignee for the benefit of creditors or similar Person charged with reorganization or liquidation of its business appointed for it, or has taken any action in furtherance of, or indicating its consent to, approval of or acquiescence in any such proceeding or appointment or any Lender (or a Parent Company thereof) is determined or adjudicated to be insolvent by a governmental authority, or is generally unable to pay its debts as they become due, or admits in writing its inability to pay its debts as they become due, or makes a general assignment for the benefit of its creditors</w:t>
      </w:r>
      <w:r>
        <w:rPr>
          <w:rFonts w:ascii="Arial" w:cs="Arial" w:eastAsia="Arial" w:hAnsi="Arial"/>
          <w:sz w:val="16"/>
          <w:szCs w:val="16"/>
          <w:color w:val="FF0000"/>
          <w:strike w:val="1"/>
        </w:rPr>
        <w:t>,</w:t>
      </w:r>
      <w:r>
        <w:rPr>
          <w:rFonts w:ascii="Arial" w:cs="Arial" w:eastAsia="Arial" w:hAnsi="Arial"/>
          <w:sz w:val="16"/>
          <w:szCs w:val="16"/>
          <w:u w:val="single" w:color="auto"/>
          <w:color w:val="0000E1"/>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Lender shall not qualify as a Defaulting Lender solely as a result of the acquisition or maintenance of an ownership interest in such Lender or its Parent Company, or of the exercise of control over such Lender or any Person controlling such Lender, by a governmental authority or instrumentality thereof so long as such ownership interest or exercise of control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Borrower, the Administrative Agent and, in the case of a Revolving Lender, the Swing Line Lender and the L/C Issuer, agree in writing in their reasonable discretion that a Defaulting Lender should no longer be deemed to be a Defaulting Lender, the Administrative Agent will so notify the parties hereto, whereupon as of the effective date specified in such notice and subject to any conditions set forth therein (which, in the case of a Revolving Lender, may include arrangements with respect to any cash collateralization of Letters of Credit and/or Swing Loans), that Lender will, to the extent applicable, purchase that portion of outstanding Loans of the other Lenders or take such other actions as the Administrative Agent may determine to be necessary to cause the relevant Loans (and, in the case of a Revolving Lender, the obligations of the Swing Line Lender and/or the L/C Issuer and the funded and unfunded Participating Interests in Letters of Credit and Swing Loans) to be held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the Lenders in accordance with their Revolver Percentages (without giving effect to </w:t>
      </w:r>
      <w:r>
        <w:rPr>
          <w:rFonts w:ascii="Arial" w:cs="Arial" w:eastAsia="Arial" w:hAnsi="Arial"/>
          <w:sz w:val="16"/>
          <w:szCs w:val="16"/>
          <w:u w:val="single" w:color="auto"/>
          <w:color w:val="auto"/>
        </w:rPr>
        <w:t>Section 1.17</w:t>
      </w:r>
      <w:r>
        <w:rPr>
          <w:rFonts w:ascii="Arial" w:cs="Arial" w:eastAsia="Arial" w:hAnsi="Arial"/>
          <w:sz w:val="16"/>
          <w:szCs w:val="16"/>
          <w:color w:val="auto"/>
        </w:rPr>
        <w:t xml:space="preserve">) or Term Loan Commitments, as the case may be, whereupon that Lender will cease to be a Defaulting Lender;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adjustments will be made retroactively with respect to fees accrued or payments made by or on behalf of the Borrower while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Lender was a Defaulting Lender;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Any determination by the Administrative Agent that a Lender is a Defaulting Lender under any one or more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e</w:t>
      </w:r>
      <w:r>
        <w:rPr>
          <w:rFonts w:ascii="Arial" w:cs="Arial" w:eastAsia="Arial" w:hAnsi="Arial"/>
          <w:sz w:val="16"/>
          <w:szCs w:val="16"/>
          <w:color w:val="auto"/>
        </w:rPr>
        <w:t>) above, and of the effective date of such status, shall be conclusive and binding absent manifest error, and such Lender shall be deemed to be a Defaulting Lender as of the date established therefor by the Administrative Agent in a written notice of such determination, which shall be delivered by the Administrative Agent to the Borrower, the L/C Issuer, the Swing Line Lender and each other Lender promptly following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5946775</wp:posOffset>
            </wp:positionH>
            <wp:positionV relativeFrom="paragraph">
              <wp:posOffset>-2742565</wp:posOffset>
            </wp:positionV>
            <wp:extent cx="2540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-487680</wp:posOffset>
            </wp:positionV>
            <wp:extent cx="2857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Defaulting Revolving Lender</w:t>
      </w:r>
      <w:r>
        <w:rPr>
          <w:rFonts w:ascii="Arial" w:cs="Arial" w:eastAsia="Arial" w:hAnsi="Arial"/>
          <w:sz w:val="18"/>
          <w:szCs w:val="18"/>
          <w:color w:val="auto"/>
        </w:rPr>
        <w:t>” means any Defaulting Lender that is a Revolving Lender.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Designated Jurisdiction</w:t>
      </w:r>
      <w:r>
        <w:rPr>
          <w:rFonts w:ascii="Arial" w:cs="Arial" w:eastAsia="Arial" w:hAnsi="Arial"/>
          <w:sz w:val="17"/>
          <w:szCs w:val="17"/>
          <w:color w:val="auto"/>
        </w:rPr>
        <w:t>” means any country or territory to the extent that such country or territory itself is the subject of any Sanction.</w:t>
      </w:r>
    </w:p>
    <w:p>
      <w:pPr>
        <w:spacing w:after="0" w:line="23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Disposition</w:t>
      </w:r>
      <w:r>
        <w:rPr>
          <w:rFonts w:ascii="Arial" w:cs="Arial" w:eastAsia="Arial" w:hAnsi="Arial"/>
          <w:sz w:val="18"/>
          <w:szCs w:val="18"/>
          <w:color w:val="auto"/>
        </w:rPr>
        <w:t>” means (including with correlative meanings “</w:t>
      </w:r>
      <w:r>
        <w:rPr>
          <w:rFonts w:ascii="Arial" w:cs="Arial" w:eastAsia="Arial" w:hAnsi="Arial"/>
          <w:sz w:val="18"/>
          <w:szCs w:val="18"/>
          <w:i w:val="1"/>
          <w:iCs w:val="1"/>
          <w:color w:val="auto"/>
        </w:rPr>
        <w:t>Dispose</w:t>
      </w:r>
      <w:r>
        <w:rPr>
          <w:rFonts w:ascii="Arial" w:cs="Arial" w:eastAsia="Arial" w:hAnsi="Arial"/>
          <w:sz w:val="18"/>
          <w:szCs w:val="18"/>
          <w:color w:val="auto"/>
        </w:rPr>
        <w:t>” and “</w:t>
      </w:r>
      <w:r>
        <w:rPr>
          <w:rFonts w:ascii="Arial" w:cs="Arial" w:eastAsia="Arial" w:hAnsi="Arial"/>
          <w:sz w:val="18"/>
          <w:szCs w:val="18"/>
          <w:i w:val="1"/>
          <w:iCs w:val="1"/>
          <w:color w:val="auto"/>
        </w:rPr>
        <w:t>Disposed</w:t>
      </w:r>
      <w:r>
        <w:rPr>
          <w:rFonts w:ascii="Arial" w:cs="Arial" w:eastAsia="Arial" w:hAnsi="Arial"/>
          <w:sz w:val="18"/>
          <w:szCs w:val="18"/>
          <w:color w:val="auto"/>
        </w:rPr>
        <w:t xml:space="preserve">”) the sale, lease, conveyance or other disposition </w:t>
      </w:r>
      <w:r>
        <w:rPr>
          <w:rFonts w:ascii="Arial" w:cs="Arial" w:eastAsia="Arial" w:hAnsi="Arial"/>
          <w:sz w:val="18"/>
          <w:szCs w:val="18"/>
          <w:u w:val="single" w:color="auto"/>
          <w:color w:val="0000E1"/>
        </w:rPr>
        <w:t>(in one</w:t>
      </w:r>
      <w:r>
        <w:rPr>
          <w:rFonts w:ascii="Arial" w:cs="Arial" w:eastAsia="Arial" w:hAnsi="Arial"/>
          <w:sz w:val="18"/>
          <w:szCs w:val="18"/>
          <w:color w:val="auto"/>
        </w:rPr>
        <w:t xml:space="preserve"> </w:t>
      </w:r>
      <w:r>
        <w:rPr>
          <w:rFonts w:ascii="Arial" w:cs="Arial" w:eastAsia="Arial" w:hAnsi="Arial"/>
          <w:sz w:val="18"/>
          <w:szCs w:val="18"/>
          <w:u w:val="single" w:color="auto"/>
          <w:color w:val="0000E1"/>
        </w:rPr>
        <w:t>transaction or in a series of transactions and whether effected pursuant to a Division or otherwise)</w:t>
      </w:r>
      <w:r>
        <w:rPr>
          <w:rFonts w:ascii="Arial" w:cs="Arial" w:eastAsia="Arial" w:hAnsi="Arial"/>
          <w:sz w:val="18"/>
          <w:szCs w:val="18"/>
          <w:color w:val="0000E1"/>
        </w:rPr>
        <w:t xml:space="preserve"> </w:t>
      </w:r>
      <w:r>
        <w:rPr>
          <w:rFonts w:ascii="Arial" w:cs="Arial" w:eastAsia="Arial" w:hAnsi="Arial"/>
          <w:sz w:val="18"/>
          <w:szCs w:val="18"/>
          <w:color w:val="000000"/>
        </w:rPr>
        <w:t>of Property (including any sale of Equity Interests of</w:t>
      </w:r>
      <w:r>
        <w:rPr>
          <w:rFonts w:ascii="Arial" w:cs="Arial" w:eastAsia="Arial" w:hAnsi="Arial"/>
          <w:sz w:val="18"/>
          <w:szCs w:val="18"/>
          <w:color w:val="0000E1"/>
        </w:rPr>
        <w:t xml:space="preserve"> </w:t>
      </w:r>
      <w:r>
        <w:rPr>
          <w:rFonts w:ascii="Arial" w:cs="Arial" w:eastAsia="Arial" w:hAnsi="Arial"/>
          <w:sz w:val="18"/>
          <w:szCs w:val="18"/>
          <w:color w:val="000000"/>
        </w:rPr>
        <w:t>any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6426835</wp:posOffset>
            </wp:positionH>
            <wp:positionV relativeFrom="paragraph">
              <wp:posOffset>-276860</wp:posOffset>
            </wp:positionV>
            <wp:extent cx="31750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44659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112" w:name="page113"/>
    <w:bookmarkEnd w:id="112"/>
    <w:p>
      <w:pPr>
        <w:ind w:left="4"/>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Subsidiary of the Borrower, but excluding any issuance by any such Person of its own Equity Interests), pursuant to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w:t>
      </w:r>
      <w:r>
        <w:rPr>
          <w:rFonts w:ascii="Arial" w:cs="Arial" w:eastAsia="Arial" w:hAnsi="Arial"/>
          <w:sz w:val="17"/>
          <w:szCs w:val="17"/>
          <w:color w:val="FF0000"/>
        </w:rPr>
        <w:t>and</w:t>
      </w:r>
      <w:r>
        <w:rPr>
          <w:rFonts w:ascii="Arial" w:cs="Arial" w:eastAsia="Arial" w:hAnsi="Arial"/>
          <w:sz w:val="17"/>
          <w:szCs w:val="17"/>
          <w:u w:val="single" w:color="auto"/>
          <w:color w:val="0000E1"/>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w:t>
      </w:r>
      <w:r>
        <w:rPr>
          <w:rFonts w:ascii="Arial" w:cs="Arial" w:eastAsia="Arial" w:hAnsi="Arial"/>
          <w:sz w:val="17"/>
          <w:szCs w:val="17"/>
          <w:u w:val="single" w:color="auto"/>
          <w:color w:val="0000E1"/>
        </w:rPr>
        <w:t>and (o) (with</w:t>
      </w:r>
      <w:r>
        <w:rPr>
          <w:rFonts w:ascii="Arial" w:cs="Arial" w:eastAsia="Arial" w:hAnsi="Arial"/>
          <w:sz w:val="17"/>
          <w:szCs w:val="17"/>
          <w:color w:val="auto"/>
        </w:rPr>
        <w:t xml:space="preserve"> </w:t>
      </w:r>
      <w:r>
        <w:rPr>
          <w:rFonts w:ascii="Arial" w:cs="Arial" w:eastAsia="Arial" w:hAnsi="Arial"/>
          <w:sz w:val="17"/>
          <w:szCs w:val="17"/>
          <w:u w:val="single" w:color="auto"/>
          <w:color w:val="0000E1"/>
        </w:rPr>
        <w:t>respect to Prepayment Sale/Leaseback Transactions for properties other than the Specified Sale/Leaseback Properties)</w:t>
      </w:r>
      <w:r>
        <w:rPr>
          <w:rFonts w:ascii="Arial" w:cs="Arial" w:eastAsia="Arial" w:hAnsi="Arial"/>
          <w:sz w:val="17"/>
          <w:szCs w:val="17"/>
          <w:color w:val="0000E1"/>
        </w:rPr>
        <w:t xml:space="preserve"> </w:t>
      </w:r>
      <w:r>
        <w:rPr>
          <w:rFonts w:ascii="Arial" w:cs="Arial" w:eastAsia="Arial" w:hAnsi="Arial"/>
          <w:sz w:val="17"/>
          <w:szCs w:val="17"/>
          <w:color w:val="000000"/>
        </w:rPr>
        <w:t>of</w:t>
      </w:r>
      <w:r>
        <w:rPr>
          <w:rFonts w:ascii="Arial" w:cs="Arial" w:eastAsia="Arial" w:hAnsi="Arial"/>
          <w:sz w:val="17"/>
          <w:szCs w:val="17"/>
          <w:color w:val="0000E1"/>
        </w:rPr>
        <w:t xml:space="preserve"> </w:t>
      </w:r>
      <w:r>
        <w:rPr>
          <w:rFonts w:ascii="Arial" w:cs="Arial" w:eastAsia="Arial" w:hAnsi="Arial"/>
          <w:sz w:val="17"/>
          <w:szCs w:val="17"/>
          <w:u w:val="single" w:color="auto"/>
          <w:color w:val="000000"/>
        </w:rPr>
        <w:t>Section 8.10</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-240030</wp:posOffset>
            </wp:positionV>
            <wp:extent cx="19367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6137910</wp:posOffset>
            </wp:positionH>
            <wp:positionV relativeFrom="paragraph">
              <wp:posOffset>-163195</wp:posOffset>
            </wp:positionV>
            <wp:extent cx="342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6395085</wp:posOffset>
            </wp:positionH>
            <wp:positionV relativeFrom="paragraph">
              <wp:posOffset>-163195</wp:posOffset>
            </wp:positionV>
            <wp:extent cx="59182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918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-26035</wp:posOffset>
            </wp:positionV>
            <wp:extent cx="539178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391785" cy="8890"/>
                    </a:xfrm>
                    <a:prstGeom prst="rect">
                      <a:avLst/>
                    </a:prstGeom>
                    <a:noFill/>
                  </pic:spPr>
                </pic:pic>
              </a:graphicData>
            </a:graphic>
          </wp:anchor>
        </w:drawing>
      </w:r>
    </w:p>
    <w:p>
      <w:pPr>
        <w:spacing w:after="0" w:line="126"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Institution</w:t>
      </w:r>
      <w:r>
        <w:rPr>
          <w:rFonts w:ascii="Arial" w:cs="Arial" w:eastAsia="Arial" w:hAnsi="Arial"/>
          <w:sz w:val="16"/>
          <w:szCs w:val="16"/>
          <w:color w:val="auto"/>
        </w:rPr>
        <w:t xml:space="preserve">” means any Person that (i) was identified to the Arrangers by the Borrower in writing on or prior to August 17, 2017, (ii) is a Company Competitor that has been specified to the Administrative Agent by the Borrower in writing from time to time and (iii) is an Affiliate of the Persons identified in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that is reasonably identifiable, solely to the extent such Affiliate has the name of the Disqualified Institution identified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in its legal name (other than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any such Affiliate that is a Bona Fide Debt Fund not otherwise identified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The specifying of a Company Competitor pursuant to foregoing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be effective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-66675</wp:posOffset>
            </wp:positionV>
            <wp:extent cx="2857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jc w:val="both"/>
        <w:ind w:left="4" w:right="20" w:hanging="4"/>
        <w:spacing w:after="0" w:line="253" w:lineRule="auto"/>
        <w:tabs>
          <w:tab w:leader="none" w:pos="259" w:val="left"/>
        </w:tabs>
        <w:numPr>
          <w:ilvl w:val="0"/>
          <w:numId w:val="129"/>
        </w:numPr>
        <w:rPr>
          <w:rFonts w:ascii="Arial" w:cs="Arial" w:eastAsia="Arial" w:hAnsi="Arial"/>
          <w:sz w:val="18"/>
          <w:szCs w:val="18"/>
          <w:u w:val="single" w:color="auto"/>
          <w:color w:val="0000E1"/>
        </w:rPr>
      </w:pPr>
      <w:r>
        <w:rPr>
          <w:rFonts w:ascii="Arial" w:cs="Arial" w:eastAsia="Arial" w:hAnsi="Arial"/>
          <w:sz w:val="18"/>
          <w:szCs w:val="18"/>
          <w:color w:val="auto"/>
        </w:rPr>
        <w:t xml:space="preserve">Business Days after the receipt thereof by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r>
        <w:rPr>
          <w:rFonts w:ascii="Arial" w:cs="Arial" w:eastAsia="Arial" w:hAnsi="Arial"/>
          <w:sz w:val="18"/>
          <w:szCs w:val="18"/>
          <w:color w:val="FF0000"/>
          <w:strike w:val="1"/>
        </w:rPr>
        <w:t>,</w:t>
      </w:r>
      <w:r>
        <w:rPr>
          <w:rFonts w:ascii="Arial" w:cs="Arial" w:eastAsia="Arial" w:hAnsi="Arial"/>
          <w:sz w:val="18"/>
          <w:szCs w:val="18"/>
          <w:color w:val="auto"/>
        </w:rPr>
        <w:t xml:space="preserve"> such supplement shall not apply to retroactively disqualify any Person that has previously acquired an assignment or participation interest in any Loan in accordance with the provisions of </w:t>
      </w:r>
      <w:r>
        <w:rPr>
          <w:rFonts w:ascii="Arial" w:cs="Arial" w:eastAsia="Arial" w:hAnsi="Arial"/>
          <w:sz w:val="18"/>
          <w:szCs w:val="18"/>
          <w:u w:val="single" w:color="auto"/>
          <w:color w:val="auto"/>
        </w:rPr>
        <w:t>Sections 13.11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13.12</w:t>
      </w:r>
      <w:r>
        <w:rPr>
          <w:rFonts w:ascii="Arial" w:cs="Arial" w:eastAsia="Arial" w:hAnsi="Arial"/>
          <w:sz w:val="18"/>
          <w:szCs w:val="18"/>
          <w:color w:val="auto"/>
        </w:rPr>
        <w:t xml:space="preserve">. With respect to the list referred to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hereof, the Administrative Agent shall update the list pursuant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this definition and post such list (with any updates)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-407670</wp:posOffset>
            </wp:positionV>
            <wp:extent cx="13716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3"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xml:space="preserve">” means any Equity Interest that, by its terms (or by the terms of any security into which it is convertible or for which it is exchangeable), or upon the happening of any event, (i) matures or is mandatorily redeemable, pursuant to a sinking fund obligation or otherwise, (ii) is redeemable at the option of the holder thereof, in whole or in part, (iii) provides for scheduled mandatory payments or dividends in cash or (iv) is or becomes convertible into or exchangeable for Indebtedness for Borrowed Money or any other Equity Interests that could constitute Disqualified Stock, in the case of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on or prior to the date that is one hundred eighty (180) days after the latest maturity date of any Loan as of the date of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Equity Interest that would not constitute Disqualified Stock but for provisions thereof giving holders thereof (or the holders of any security into or for which such Equity Interest is convertible, exchangeable or exercisable) the right to require the issuer thereof to redeem such Equity Interest upon the occurrence of a change in control, initial public offering or an asset sale occurring prior to the date that is one hundred eighty (180) days after the latest maturity date of any Loan as of the date of determination shall not constitute Disqualified Stock if such Equity Interest provides that the issuer thereof will not redeem any such Equity Interest pursuant to such provisions prior to the repayment in full of the Obligations;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such Equity Interest is issued pursuant to a plan for the benefit of the employees, directors, officers, managers or consultants of the Borrower (or any direct or indirect parent thereof) or its Restricted Subsidiaries or by any such plan to such Persons such Equity Interests shall not constitute Disqualified Stock solely because it may be required to be repurchased by the Borrower (or any such parent) or its Restricted Subsidiaries in order to satisfy applicable regulatory obligations.</w:t>
      </w:r>
    </w:p>
    <w:p>
      <w:pPr>
        <w:spacing w:after="0" w:line="171"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Disregarded Domestic Person</w:t>
      </w:r>
      <w:r>
        <w:rPr>
          <w:rFonts w:ascii="Arial" w:cs="Arial" w:eastAsia="Arial" w:hAnsi="Arial"/>
          <w:sz w:val="18"/>
          <w:szCs w:val="18"/>
          <w:color w:val="auto"/>
        </w:rPr>
        <w:t>” means any direct or indirect Domestic Subsidiary that is treated as a partnership or a disregarded entity for U.S. federal income tax purposes, if substantially all of its assets consist of Equity Interests of one or more direct or indirect Foreign Subsidiaries or other Disregarded Domestic Persons.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E1"/>
        </w:rPr>
        <w:t>“</w:t>
      </w:r>
      <w:r>
        <w:rPr>
          <w:rFonts w:ascii="Arial" w:cs="Arial" w:eastAsia="Arial" w:hAnsi="Arial"/>
          <w:sz w:val="18"/>
          <w:szCs w:val="18"/>
          <w:i w:val="1"/>
          <w:iCs w:val="1"/>
          <w:u w:val="single" w:color="auto"/>
          <w:color w:val="0000E1"/>
        </w:rPr>
        <w:t>Dividing Person</w:t>
      </w:r>
      <w:r>
        <w:rPr>
          <w:rFonts w:ascii="Arial" w:cs="Arial" w:eastAsia="Arial" w:hAnsi="Arial"/>
          <w:sz w:val="18"/>
          <w:szCs w:val="18"/>
          <w:u w:val="single" w:color="auto"/>
          <w:color w:val="0000E1"/>
        </w:rPr>
        <w:t>” is defined in the definition of the term “Division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319722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5" w:lineRule="exact"/>
        <w:rPr>
          <w:sz w:val="20"/>
          <w:szCs w:val="20"/>
          <w:color w:val="auto"/>
        </w:rPr>
      </w:pPr>
    </w:p>
    <w:p>
      <w:pPr>
        <w:jc w:val="both"/>
        <w:ind w:left="4" w:right="640" w:firstLine="440"/>
        <w:spacing w:after="0" w:line="263" w:lineRule="auto"/>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Division</w:t>
      </w:r>
      <w:r>
        <w:rPr>
          <w:rFonts w:ascii="Arial" w:cs="Arial" w:eastAsia="Arial" w:hAnsi="Arial"/>
          <w:sz w:val="18"/>
          <w:szCs w:val="18"/>
          <w:u w:val="single" w:color="auto"/>
          <w:color w:val="0000E1"/>
        </w:rPr>
        <w:t>” means the division of the assets, liabilities and/or obligations of a Person (the “</w:t>
      </w:r>
      <w:r>
        <w:rPr>
          <w:rFonts w:ascii="Arial" w:cs="Arial" w:eastAsia="Arial" w:hAnsi="Arial"/>
          <w:sz w:val="18"/>
          <w:szCs w:val="18"/>
          <w:i w:val="1"/>
          <w:iCs w:val="1"/>
          <w:u w:val="single" w:color="auto"/>
          <w:color w:val="0000E1"/>
        </w:rPr>
        <w:t>Dividing Person</w:t>
      </w:r>
      <w:r>
        <w:rPr>
          <w:rFonts w:ascii="Arial" w:cs="Arial" w:eastAsia="Arial" w:hAnsi="Arial"/>
          <w:sz w:val="18"/>
          <w:szCs w:val="18"/>
          <w:u w:val="single" w:color="auto"/>
          <w:color w:val="0000E1"/>
        </w:rPr>
        <w:t>”) among two or more Persons (whether pursuant to a “plan of division” or similar arrangement), which may or may not include the Dividing Person and pursuant to which the Dividing Person may or may not survive.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-276860</wp:posOffset>
            </wp:positionV>
            <wp:extent cx="630047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5836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188595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4" w:right="459" w:bottom="1440" w:gutter="0" w:footer="0" w:header="0"/>
        </w:sectPr>
      </w:pPr>
    </w:p>
    <w:bookmarkStart w:id="113" w:name="page114"/>
    <w:bookmarkEnd w:id="113"/>
    <w:p>
      <w:pPr>
        <w:ind w:right="40" w:firstLine="440"/>
        <w:spacing w:after="0" w:line="311" w:lineRule="auto"/>
        <w:rPr>
          <w:sz w:val="20"/>
          <w:szCs w:val="20"/>
          <w:color w:val="auto"/>
        </w:rPr>
      </w:pPr>
      <w:r>
        <w:rPr>
          <w:rFonts w:ascii="Arial" w:cs="Arial" w:eastAsia="Arial" w:hAnsi="Arial"/>
          <w:sz w:val="16"/>
          <w:szCs w:val="16"/>
          <w:u w:val="single" w:color="auto"/>
          <w:color w:val="0000E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 </w:t>
      </w:r>
      <w:r>
        <w:rPr>
          <w:rFonts w:ascii="Arial" w:cs="Arial" w:eastAsia="Arial" w:hAnsi="Arial"/>
          <w:sz w:val="16"/>
          <w:szCs w:val="16"/>
          <w:i w:val="1"/>
          <w:iCs w:val="1"/>
          <w:u w:val="single" w:color="auto"/>
          <w:color w:val="0000E1"/>
        </w:rPr>
        <w:t>Division Successor</w:t>
      </w:r>
      <w:r>
        <w:rPr>
          <w:rFonts w:ascii="Arial" w:cs="Arial" w:eastAsia="Arial" w:hAnsi="Arial"/>
          <w:sz w:val="16"/>
          <w:szCs w:val="16"/>
          <w:u w:val="single" w:color="auto"/>
          <w:color w:val="0000E1"/>
        </w:rPr>
        <w:t>” means any Person that, upon the consummation of a Division of a Dividing Person, holds all or any portion of the assets, liabilities and/or obligations previously held by such Dividing Person immediately prior to the consummation of such Division.</w:t>
      </w:r>
      <w:r>
        <w:rPr>
          <w:rFonts w:ascii="Arial" w:cs="Arial" w:eastAsia="Arial" w:hAnsi="Arial"/>
          <w:sz w:val="16"/>
          <w:szCs w:val="16"/>
          <w:color w:val="0000E1"/>
        </w:rPr>
        <w:t xml:space="preserve"> A Dividing Person </w:t>
      </w:r>
      <w:r>
        <w:rPr>
          <w:rFonts w:ascii="Arial" w:cs="Arial" w:eastAsia="Arial" w:hAnsi="Arial"/>
          <w:sz w:val="16"/>
          <w:szCs w:val="16"/>
          <w:u w:val="single" w:color="auto"/>
          <w:color w:val="0000E1"/>
        </w:rPr>
        <w:t>which retains any of its assets, liabilities and/or obligations after a Division shall be deemed a Division Successor upon the occurrence of such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-298450</wp:posOffset>
            </wp:positionV>
            <wp:extent cx="65493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-161290</wp:posOffset>
            </wp:positionV>
            <wp:extent cx="671195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711950" cy="8890"/>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-195580</wp:posOffset>
            </wp:positionV>
            <wp:extent cx="8851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51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696087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each Restricted Subsidiary which is not a Foreign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Wholly-owned Subsidiary</w:t>
      </w:r>
      <w:r>
        <w:rPr>
          <w:rFonts w:ascii="Arial" w:cs="Arial" w:eastAsia="Arial" w:hAnsi="Arial"/>
          <w:sz w:val="18"/>
          <w:szCs w:val="18"/>
          <w:color w:val="auto"/>
        </w:rPr>
        <w:t>” means each Wholly-owned Subsidiary which is not a Foreign Subsidiary</w:t>
      </w:r>
      <w:r>
        <w:rPr>
          <w:rFonts w:ascii="Arial" w:cs="Arial" w:eastAsia="Arial" w:hAnsi="Arial"/>
          <w:sz w:val="18"/>
          <w:szCs w:val="18"/>
          <w:i w:val="1"/>
          <w:iCs w:val="1"/>
          <w:color w:val="auto"/>
        </w:rPr>
        <w:t>.</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Payments</w:t>
      </w:r>
      <w:r>
        <w:rPr>
          <w:rFonts w:ascii="Arial" w:cs="Arial" w:eastAsia="Arial" w:hAnsi="Arial"/>
          <w:sz w:val="18"/>
          <w:szCs w:val="18"/>
          <w:color w:val="auto"/>
        </w:rPr>
        <w:t>” means payment obligations of the Borrower or any Restricted Subsidiary owed in connection with an Acquisition permitted hereunder which are required to be made over a period of time and that are contingent upon the Borrower or any Restricted Subsidiary meeting financial performance objectives or similar payments.</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EBITDA</w:t>
      </w:r>
      <w:r>
        <w:rPr>
          <w:rFonts w:ascii="Arial" w:cs="Arial" w:eastAsia="Arial" w:hAnsi="Arial"/>
          <w:sz w:val="18"/>
          <w:szCs w:val="18"/>
          <w:color w:val="auto"/>
        </w:rPr>
        <w:t xml:space="preserve">” means, with reference to any period, Net Income for such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to the extent reducing Net Income for such period (other than in the case of </w:t>
      </w:r>
      <w:r>
        <w:rPr>
          <w:rFonts w:ascii="Arial" w:cs="Arial" w:eastAsia="Arial" w:hAnsi="Arial"/>
          <w:sz w:val="18"/>
          <w:szCs w:val="18"/>
          <w:u w:val="single" w:color="auto"/>
          <w:color w:val="auto"/>
        </w:rPr>
        <w:t>clauses (j)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(q)</w:t>
      </w:r>
      <w:r>
        <w:rPr>
          <w:rFonts w:ascii="Arial" w:cs="Arial" w:eastAsia="Arial" w:hAnsi="Arial"/>
          <w:sz w:val="18"/>
          <w:szCs w:val="18"/>
          <w:color w:val="auto"/>
        </w:rPr>
        <w:t>), the sum, without duplication, of (in each case for such period):</w:t>
      </w:r>
    </w:p>
    <w:p>
      <w:pPr>
        <w:spacing w:after="0" w:line="170" w:lineRule="exact"/>
        <w:rPr>
          <w:sz w:val="20"/>
          <w:szCs w:val="20"/>
          <w:color w:val="auto"/>
        </w:rPr>
      </w:pPr>
    </w:p>
    <w:p>
      <w:pPr>
        <w:ind w:left="1360" w:hanging="373"/>
        <w:spacing w:after="0"/>
        <w:tabs>
          <w:tab w:leader="none" w:pos="13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Interest Expense,</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foreign, federal, state, and local income, profits or capital taxes,</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depreciation of fixed assets and amortization of intangible assets,</w:t>
      </w:r>
    </w:p>
    <w:p>
      <w:pPr>
        <w:spacing w:after="0" w:line="225" w:lineRule="exact"/>
        <w:rPr>
          <w:rFonts w:ascii="Arial" w:cs="Arial" w:eastAsia="Arial" w:hAnsi="Arial"/>
          <w:sz w:val="18"/>
          <w:szCs w:val="18"/>
          <w:color w:val="auto"/>
        </w:rPr>
      </w:pPr>
    </w:p>
    <w:p>
      <w:pPr>
        <w:ind w:firstLine="987"/>
        <w:spacing w:after="0" w:line="259" w:lineRule="auto"/>
        <w:tabs>
          <w:tab w:leader="none" w:pos="138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non-cash compensation expense, or other non-cash expenses or charges, arising from the sale of stock, the granting of stock options, the granting of stock appreciation rights and similar arrangements (including any repricing, amendment, modification, substitution or change of any such stock, stock option, stock appreciation rights or similar arrangements)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of any such expenses or charges when paid in cash to the extent not deducted in the computation of Net Income),</w:t>
      </w:r>
    </w:p>
    <w:p>
      <w:pPr>
        <w:spacing w:after="0" w:line="186" w:lineRule="exact"/>
        <w:rPr>
          <w:rFonts w:ascii="Arial" w:cs="Arial" w:eastAsia="Arial" w:hAnsi="Arial"/>
          <w:sz w:val="18"/>
          <w:szCs w:val="18"/>
          <w:color w:val="auto"/>
        </w:rPr>
      </w:pPr>
    </w:p>
    <w:p>
      <w:pPr>
        <w:ind w:right="80" w:firstLine="987"/>
        <w:spacing w:after="0" w:line="275" w:lineRule="auto"/>
        <w:tabs>
          <w:tab w:leader="none" w:pos="137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fees, costs and expenses to the extent that the same have been reimbursed in cash by a third-party during the same period or are reimbursable by third parties pursuant to indemnification or reimbursement provisions or similar agreements or insurance;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respect of any fee, cost, expense or deduction incurred pursuant to this </w:t>
      </w:r>
      <w:r>
        <w:rPr>
          <w:rFonts w:ascii="Arial" w:cs="Arial" w:eastAsia="Arial" w:hAnsi="Arial"/>
          <w:sz w:val="17"/>
          <w:szCs w:val="17"/>
          <w:u w:val="single" w:color="auto"/>
          <w:color w:val="auto"/>
        </w:rPr>
        <w:t>clause (e)</w:t>
      </w:r>
      <w:r>
        <w:rPr>
          <w:rFonts w:ascii="Arial" w:cs="Arial" w:eastAsia="Arial" w:hAnsi="Arial"/>
          <w:sz w:val="17"/>
          <w:szCs w:val="17"/>
          <w:color w:val="auto"/>
        </w:rPr>
        <w:t>, the Borrower in good faith expects to receive reimbursement for such fees, cost, expense or deduction within the next four fiscal quarters (it being understood that to the extent not actually received within such fiscal quarters, such reimbursement amounts shall be deducted in calculating EBITDA for such fiscal quarters),</w:t>
      </w:r>
    </w:p>
    <w:p>
      <w:pPr>
        <w:spacing w:after="0" w:line="176" w:lineRule="exact"/>
        <w:rPr>
          <w:rFonts w:ascii="Arial" w:cs="Arial" w:eastAsia="Arial" w:hAnsi="Arial"/>
          <w:sz w:val="17"/>
          <w:szCs w:val="17"/>
          <w:color w:val="auto"/>
        </w:rPr>
      </w:pPr>
    </w:p>
    <w:p>
      <w:pPr>
        <w:ind w:right="40" w:firstLine="987"/>
        <w:spacing w:after="0" w:line="296" w:lineRule="auto"/>
        <w:tabs>
          <w:tab w:leader="none" w:pos="135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fees, costs and expenses paid in cash in connection with equity issuances or offerings, issuances, offerings, incurrences, prepayments, repayments, refinancings, defeasances, extinguishments or exchanges of Indebtedness for Borrowed Money (including any amendments, waivers or other modifications thereto, the Refinancing and any amortization or write off of debt issuance or deferred financing costs, premiums and prepayment penalties), recapitalizations, mergers and consolidations, sales, leases, transfers and other dispositions permitted by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and investments (including Acquisitions permitted hereunder), in each case permitted by this Agreement and whether or not consummated,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114" w:name="page115"/>
    <w:bookmarkEnd w:id="114"/>
    <w:p>
      <w:pPr>
        <w:ind w:left="4" w:right="660" w:firstLine="987"/>
        <w:spacing w:after="0" w:line="277" w:lineRule="auto"/>
        <w:tabs>
          <w:tab w:leader="none" w:pos="1385" w:val="left"/>
        </w:tabs>
        <w:numPr>
          <w:ilvl w:val="1"/>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unamortized fees, costs and expenses relating to the repayment, prepayment, refinancing, defeasance, extinguishment or exchange of Indebtedness for Borrowed Money (including the Refinancing) permitted by this Agreement,</w:t>
      </w:r>
    </w:p>
    <w:p>
      <w:pPr>
        <w:spacing w:after="0" w:line="170" w:lineRule="exact"/>
        <w:rPr>
          <w:rFonts w:ascii="Arial" w:cs="Arial" w:eastAsia="Arial" w:hAnsi="Arial"/>
          <w:sz w:val="18"/>
          <w:szCs w:val="18"/>
          <w:color w:val="auto"/>
        </w:rPr>
      </w:pPr>
    </w:p>
    <w:p>
      <w:pPr>
        <w:ind w:left="4" w:right="160" w:firstLine="987"/>
        <w:spacing w:after="0" w:line="291" w:lineRule="auto"/>
        <w:tabs>
          <w:tab w:leader="none" w:pos="138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all non-cash (and, with respect to </w:t>
      </w:r>
      <w:r>
        <w:rPr>
          <w:rFonts w:ascii="Arial" w:cs="Arial" w:eastAsia="Arial" w:hAnsi="Arial"/>
          <w:sz w:val="16"/>
          <w:szCs w:val="16"/>
          <w:u w:val="single" w:color="auto"/>
          <w:color w:val="auto"/>
        </w:rPr>
        <w:t>clause (ii)</w:t>
      </w:r>
      <w:r>
        <w:rPr>
          <w:rFonts w:ascii="Arial" w:cs="Arial" w:eastAsia="Arial" w:hAnsi="Arial"/>
          <w:sz w:val="16"/>
          <w:szCs w:val="16"/>
          <w:color w:val="auto"/>
        </w:rPr>
        <w:t>, cash) costs, expenses, losses and charges (other than the write-down of current assets) for such period (including non-cash compensation expenses and amounts representing non-cash adjustments) required by the application of</w:t>
      </w:r>
    </w:p>
    <w:p>
      <w:pPr>
        <w:ind w:left="4" w:hanging="4"/>
        <w:spacing w:after="0" w:line="253" w:lineRule="auto"/>
        <w:tabs>
          <w:tab w:leader="none" w:pos="20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Accounting Standards Codification No. 360 (relating to write-down of long-lived assets), (ii) Accounting Standards Codification No. 805 (including with respect to “earnouts” incurred as deferred consideration in connection with Acquisitions permitted hereunder) and (iii) Accounting Standards Codification No. 350 (relating to changes in accounting for amortization of goodwill and certain intangibles) as established by the Financial Accounting Standards Board (pertaining to acquisition method accounting),</w:t>
      </w:r>
    </w:p>
    <w:p>
      <w:pPr>
        <w:spacing w:after="0" w:line="192" w:lineRule="exact"/>
        <w:rPr>
          <w:rFonts w:ascii="Arial" w:cs="Arial" w:eastAsia="Arial" w:hAnsi="Arial"/>
          <w:sz w:val="18"/>
          <w:szCs w:val="18"/>
          <w:color w:val="auto"/>
        </w:rPr>
      </w:pPr>
    </w:p>
    <w:p>
      <w:pPr>
        <w:ind w:left="4" w:firstLine="987"/>
        <w:spacing w:after="0" w:line="277" w:lineRule="auto"/>
        <w:tabs>
          <w:tab w:leader="none" w:pos="134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reimbursable reasonable costs and expenses payable during such period and any board of director fees payable in such period, in each case permitted by </w:t>
      </w:r>
      <w:r>
        <w:rPr>
          <w:rFonts w:ascii="Arial" w:cs="Arial" w:eastAsia="Arial" w:hAnsi="Arial"/>
          <w:sz w:val="18"/>
          <w:szCs w:val="18"/>
          <w:u w:val="single" w:color="auto"/>
          <w:color w:val="auto"/>
        </w:rPr>
        <w:t>Section 8.15</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firstLine="987"/>
        <w:spacing w:after="0" w:line="284" w:lineRule="auto"/>
        <w:tabs>
          <w:tab w:leader="none" w:pos="1345"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amount of cost savings, operating expense reductions, other operating improvements, synergies and other similar initiatives resulting from Permitted Acquisitions, permitted sales, transfers, leases or other dispositions of property, acquisitions, investments, operating improvements, restructurings, cost saving initiatives and other similar initiatives and the designation of a Restricted Subsidiary as an Unrestricted Subsidiary or an Unrestricted Subsidiary as a Restricted Subsidiary pursuant to the terms hereof (each, a “</w:t>
      </w:r>
      <w:r>
        <w:rPr>
          <w:rFonts w:ascii="Arial" w:cs="Arial" w:eastAsia="Arial" w:hAnsi="Arial"/>
          <w:sz w:val="16"/>
          <w:szCs w:val="16"/>
          <w:i w:val="1"/>
          <w:iCs w:val="1"/>
          <w:color w:val="auto"/>
        </w:rPr>
        <w:t>Specified Transaction</w:t>
      </w:r>
      <w:r>
        <w:rPr>
          <w:rFonts w:ascii="Arial" w:cs="Arial" w:eastAsia="Arial" w:hAnsi="Arial"/>
          <w:sz w:val="16"/>
          <w:szCs w:val="16"/>
          <w:color w:val="auto"/>
        </w:rPr>
        <w:t xml:space="preserve">”), without duplication, </w:t>
      </w:r>
      <w:r>
        <w:rPr>
          <w:rFonts w:ascii="Arial" w:cs="Arial" w:eastAsia="Arial" w:hAnsi="Arial"/>
          <w:sz w:val="16"/>
          <w:szCs w:val="16"/>
          <w:u w:val="single" w:color="auto"/>
          <w:color w:val="0000E1"/>
        </w:rPr>
        <w:t>which are</w:t>
      </w:r>
      <w:r>
        <w:rPr>
          <w:rFonts w:ascii="Arial" w:cs="Arial" w:eastAsia="Arial" w:hAnsi="Arial"/>
          <w:sz w:val="16"/>
          <w:szCs w:val="16"/>
          <w:color w:val="0000E1"/>
        </w:rPr>
        <w:t xml:space="preserve"> </w:t>
      </w:r>
      <w:r>
        <w:rPr>
          <w:rFonts w:ascii="Arial" w:cs="Arial" w:eastAsia="Arial" w:hAnsi="Arial"/>
          <w:sz w:val="16"/>
          <w:szCs w:val="16"/>
          <w:color w:val="000000"/>
        </w:rPr>
        <w:t>(A) consistent with Regulation S-X promulgated under the Securities Act, including, without limitation, cost savings resulting from head</w:t>
      </w:r>
      <w:r>
        <w:rPr>
          <w:rFonts w:ascii="Arial" w:cs="Arial" w:eastAsia="Arial" w:hAnsi="Arial"/>
          <w:sz w:val="16"/>
          <w:szCs w:val="16"/>
          <w:color w:val="0000E1"/>
        </w:rPr>
        <w:t xml:space="preserve"> </w:t>
      </w:r>
      <w:r>
        <w:rPr>
          <w:rFonts w:ascii="Arial" w:cs="Arial" w:eastAsia="Arial" w:hAnsi="Arial"/>
          <w:sz w:val="16"/>
          <w:szCs w:val="16"/>
          <w:color w:val="000000"/>
        </w:rPr>
        <w:t xml:space="preserve">count reduction, closure of facilities and other similar restructuring charges; (B) projected by the Borrower in good faith to be realized during such period in connection with the applicable Specified Transaction; (C) agreed to by the Administrative Agent in its sole discretion (it being understood and agreed that the Administrative Agent may consult with the Required Lenders prior to making any such decision); or (D) recommended by any due diligence quality of earnings report conducted by financial advisors of recognized national standing selected by the Borrower (it being understood and agreed that each of FTI Consulting, Grant Thornton and RSM </w:t>
      </w:r>
      <w:r>
        <w:rPr>
          <w:rFonts w:ascii="Arial" w:cs="Arial" w:eastAsia="Arial" w:hAnsi="Arial"/>
          <w:sz w:val="16"/>
          <w:szCs w:val="16"/>
          <w:color w:val="FF0000"/>
          <w:strike w:val="1"/>
        </w:rPr>
        <w:t>McGladrey, Inc.</w:t>
      </w:r>
      <w:r>
        <w:rPr>
          <w:rFonts w:ascii="Arial" w:cs="Arial" w:eastAsia="Arial" w:hAnsi="Arial"/>
          <w:sz w:val="16"/>
          <w:szCs w:val="16"/>
          <w:color w:val="000000"/>
        </w:rPr>
        <w:t xml:space="preserve"> and any of the “big four” accounting firms are of recognized national standing);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the aggregate amount of additions made pursuant to </w:t>
      </w:r>
      <w:r>
        <w:rPr>
          <w:rFonts w:ascii="Arial" w:cs="Arial" w:eastAsia="Arial" w:hAnsi="Arial"/>
          <w:sz w:val="16"/>
          <w:szCs w:val="16"/>
          <w:u w:val="single" w:color="auto"/>
          <w:color w:val="000000"/>
        </w:rPr>
        <w:t>clauses (j)(B)</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(j)(C)</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(j)(D)</w:t>
      </w:r>
      <w:r>
        <w:rPr>
          <w:rFonts w:ascii="Arial" w:cs="Arial" w:eastAsia="Arial" w:hAnsi="Arial"/>
          <w:sz w:val="16"/>
          <w:szCs w:val="16"/>
          <w:color w:val="000000"/>
        </w:rPr>
        <w:t xml:space="preserve"> and clause </w:t>
      </w:r>
      <w:r>
        <w:rPr>
          <w:rFonts w:ascii="Arial" w:cs="Arial" w:eastAsia="Arial" w:hAnsi="Arial"/>
          <w:sz w:val="16"/>
          <w:szCs w:val="16"/>
          <w:u w:val="single" w:color="auto"/>
          <w:color w:val="000000"/>
        </w:rPr>
        <w:t>(p)(A)</w:t>
      </w:r>
      <w:r>
        <w:rPr>
          <w:rFonts w:ascii="Arial" w:cs="Arial" w:eastAsia="Arial" w:hAnsi="Arial"/>
          <w:sz w:val="16"/>
          <w:szCs w:val="16"/>
          <w:color w:val="000000"/>
        </w:rPr>
        <w:t xml:space="preserve"> below in any four quarter period shall not exceed the greater of (x) $7,500,000 and (y) 5.0% of EBITDA on a Pro Forma Basis for such four quarter period (inclusive of such adjustments);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in the case of each of </w:t>
      </w:r>
      <w:r>
        <w:rPr>
          <w:rFonts w:ascii="Arial" w:cs="Arial" w:eastAsia="Arial" w:hAnsi="Arial"/>
          <w:sz w:val="16"/>
          <w:szCs w:val="16"/>
          <w:u w:val="single" w:color="auto"/>
          <w:color w:val="000000"/>
        </w:rPr>
        <w:t>clauses (j)(A)</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(j)(B)</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(j)(C)</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(j)(D)</w:t>
      </w:r>
      <w:r>
        <w:rPr>
          <w:rFonts w:ascii="Arial" w:cs="Arial" w:eastAsia="Arial" w:hAnsi="Arial"/>
          <w:sz w:val="16"/>
          <w:szCs w:val="16"/>
          <w:color w:val="000000"/>
        </w:rPr>
        <w:t xml:space="preserve">, (x) such cost savings, operating expense reductions, operating improvements, synergies and other similar initiatives shall be given effect as if they had been realized on the first day of such calculation period, (y) no cost savings, operating expense reductions, operating improvements, synergies or other similar initiatives shall be added pursuant to this </w:t>
      </w:r>
      <w:r>
        <w:rPr>
          <w:rFonts w:ascii="Arial" w:cs="Arial" w:eastAsia="Arial" w:hAnsi="Arial"/>
          <w:sz w:val="16"/>
          <w:szCs w:val="16"/>
          <w:u w:val="single" w:color="auto"/>
          <w:color w:val="000000"/>
        </w:rPr>
        <w:t>clause (j)</w:t>
      </w:r>
      <w:r>
        <w:rPr>
          <w:rFonts w:ascii="Arial" w:cs="Arial" w:eastAsia="Arial" w:hAnsi="Arial"/>
          <w:sz w:val="16"/>
          <w:szCs w:val="16"/>
          <w:color w:val="000000"/>
        </w:rPr>
        <w:t xml:space="preserve"> to the extent duplicative of any other amounts otherwise added to or included in Net Income, whether through a pro forma adjustment or otherwise, for such period and (z) any such projected cost savings, operating expense reductions, operating improvements, synergies and other similar initiatives shall be calculated net of actual benefits realized during such period from such actions that are otherwise included in the calculation of EBITDA; </w:t>
      </w:r>
      <w:r>
        <w:rPr>
          <w:rFonts w:ascii="Arial" w:cs="Arial" w:eastAsia="Arial" w:hAnsi="Arial"/>
          <w:sz w:val="16"/>
          <w:szCs w:val="16"/>
          <w:i w:val="1"/>
          <w:iCs w:val="1"/>
          <w:color w:val="000000"/>
        </w:rPr>
        <w:t>provided</w:t>
      </w:r>
      <w:r>
        <w:rPr>
          <w:rFonts w:ascii="Arial" w:cs="Arial" w:eastAsia="Arial" w:hAnsi="Arial"/>
          <w:sz w:val="16"/>
          <w:szCs w:val="16"/>
          <w:i w:val="1"/>
          <w:iCs w:val="1"/>
          <w:u w:val="single" w:color="auto"/>
          <w:color w:val="0000E1"/>
        </w:rPr>
        <w:t>,</w:t>
      </w:r>
      <w:r>
        <w:rPr>
          <w:rFonts w:ascii="Arial" w:cs="Arial" w:eastAsia="Arial" w:hAnsi="Arial"/>
          <w:sz w:val="16"/>
          <w:szCs w:val="16"/>
          <w:color w:val="000000"/>
        </w:rPr>
        <w:t xml:space="preserve"> </w:t>
      </w:r>
      <w:r>
        <w:rPr>
          <w:rFonts w:ascii="Arial" w:cs="Arial" w:eastAsia="Arial" w:hAnsi="Arial"/>
          <w:sz w:val="16"/>
          <w:szCs w:val="16"/>
          <w:i w:val="1"/>
          <w:iCs w:val="1"/>
          <w:color w:val="000000"/>
        </w:rPr>
        <w:t xml:space="preserve">further </w:t>
      </w:r>
      <w:r>
        <w:rPr>
          <w:rFonts w:ascii="Arial" w:cs="Arial" w:eastAsia="Arial" w:hAnsi="Arial"/>
          <w:sz w:val="16"/>
          <w:szCs w:val="16"/>
          <w:u w:val="single" w:color="auto"/>
          <w:color w:val="0000E1"/>
        </w:rPr>
        <w:t>,</w:t>
      </w:r>
      <w:r>
        <w:rPr>
          <w:rFonts w:ascii="Arial" w:cs="Arial" w:eastAsia="Arial" w:hAnsi="Arial"/>
          <w:sz w:val="16"/>
          <w:szCs w:val="16"/>
          <w:i w:val="1"/>
          <w:iCs w:val="1"/>
          <w:color w:val="000000"/>
        </w:rPr>
        <w:t xml:space="preserve"> </w:t>
      </w:r>
      <w:r>
        <w:rPr>
          <w:rFonts w:ascii="Arial" w:cs="Arial" w:eastAsia="Arial" w:hAnsi="Arial"/>
          <w:sz w:val="16"/>
          <w:szCs w:val="16"/>
          <w:color w:val="000000"/>
        </w:rPr>
        <w:t>that in the case of each of</w:t>
      </w:r>
      <w:r>
        <w:rPr>
          <w:rFonts w:ascii="Arial" w:cs="Arial" w:eastAsia="Arial" w:hAnsi="Arial"/>
          <w:sz w:val="16"/>
          <w:szCs w:val="16"/>
          <w:i w:val="1"/>
          <w:iCs w:val="1"/>
          <w:color w:val="000000"/>
        </w:rPr>
        <w:t xml:space="preserve"> </w:t>
      </w:r>
      <w:r>
        <w:rPr>
          <w:rFonts w:ascii="Arial" w:cs="Arial" w:eastAsia="Arial" w:hAnsi="Arial"/>
          <w:sz w:val="16"/>
          <w:szCs w:val="16"/>
          <w:u w:val="single" w:color="auto"/>
          <w:color w:val="000000"/>
        </w:rPr>
        <w:t>clauses (j)(B)</w:t>
      </w:r>
      <w:r>
        <w:rPr>
          <w:rFonts w:ascii="Arial" w:cs="Arial" w:eastAsia="Arial" w:hAnsi="Arial"/>
          <w:sz w:val="16"/>
          <w:szCs w:val="16"/>
          <w:i w:val="1"/>
          <w:iCs w:val="1"/>
          <w:color w:val="000000"/>
        </w:rPr>
        <w:t xml:space="preserve"> </w:t>
      </w:r>
      <w:r>
        <w:rPr>
          <w:rFonts w:ascii="Arial" w:cs="Arial" w:eastAsia="Arial" w:hAnsi="Arial"/>
          <w:sz w:val="16"/>
          <w:szCs w:val="16"/>
          <w:color w:val="000000"/>
        </w:rPr>
        <w:t>and</w:t>
      </w:r>
      <w:r>
        <w:rPr>
          <w:rFonts w:ascii="Arial" w:cs="Arial" w:eastAsia="Arial" w:hAnsi="Arial"/>
          <w:sz w:val="16"/>
          <w:szCs w:val="16"/>
          <w:i w:val="1"/>
          <w:iCs w:val="1"/>
          <w:color w:val="000000"/>
        </w:rPr>
        <w:t xml:space="preserve"> </w:t>
      </w:r>
      <w:r>
        <w:rPr>
          <w:rFonts w:ascii="Arial" w:cs="Arial" w:eastAsia="Arial" w:hAnsi="Arial"/>
          <w:sz w:val="16"/>
          <w:szCs w:val="16"/>
          <w:u w:val="single" w:color="auto"/>
          <w:color w:val="000000"/>
        </w:rPr>
        <w:t>(j)(D)</w:t>
      </w:r>
      <w:r>
        <w:rPr>
          <w:rFonts w:ascii="Arial" w:cs="Arial" w:eastAsia="Arial" w:hAnsi="Arial"/>
          <w:sz w:val="16"/>
          <w:szCs w:val="16"/>
          <w:color w:val="000000"/>
        </w:rPr>
        <w:t>, a duly completed certificate signed by an Authorized Representative of the Borrower shall</w:t>
      </w:r>
      <w:r>
        <w:rPr>
          <w:rFonts w:ascii="Arial" w:cs="Arial" w:eastAsia="Arial" w:hAnsi="Arial"/>
          <w:sz w:val="16"/>
          <w:szCs w:val="16"/>
          <w:i w:val="1"/>
          <w:iCs w:val="1"/>
          <w:color w:val="000000"/>
        </w:rPr>
        <w:t xml:space="preserve"> </w:t>
      </w:r>
      <w:r>
        <w:rPr>
          <w:rFonts w:ascii="Arial" w:cs="Arial" w:eastAsia="Arial" w:hAnsi="Arial"/>
          <w:sz w:val="16"/>
          <w:szCs w:val="16"/>
          <w:color w:val="000000"/>
        </w:rPr>
        <w:t>be delivered to the Administrative Agent certifying that such actions have been taken or will be taken within 18 months after the consummation of the applicable Specified Transaction, and that such cost savings, operating expense reductions, operating improvements, synergies and other similar initiatives are reasonably anticipated to be realized within 18 months after the consummation of the applicable Specified Transaction and are reasonably identifiable and factually supportable, in each case as determined in good faith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-2475865</wp:posOffset>
            </wp:positionV>
            <wp:extent cx="44577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6677660</wp:posOffset>
            </wp:positionH>
            <wp:positionV relativeFrom="paragraph">
              <wp:posOffset>-692785</wp:posOffset>
            </wp:positionV>
            <wp:extent cx="2603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317500</wp:posOffset>
            </wp:positionH>
            <wp:positionV relativeFrom="paragraph">
              <wp:posOffset>-632460</wp:posOffset>
            </wp:positionV>
            <wp:extent cx="2857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-555625</wp:posOffset>
            </wp:positionV>
            <wp:extent cx="342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8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4"/>
          </w:cols>
          <w:pgMar w:left="436" w:top="274" w:right="499" w:bottom="1440" w:gutter="0" w:footer="0" w:header="0"/>
        </w:sectPr>
      </w:pPr>
    </w:p>
    <w:bookmarkStart w:id="115" w:name="page116"/>
    <w:bookmarkEnd w:id="115"/>
    <w:p>
      <w:pPr>
        <w:ind w:left="4" w:firstLine="987"/>
        <w:spacing w:after="0" w:line="287" w:lineRule="auto"/>
        <w:tabs>
          <w:tab w:leader="none" w:pos="1385" w:val="left"/>
        </w:tabs>
        <w:numPr>
          <w:ilvl w:val="1"/>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fees, costs and expenses (including, without limitation, any taxes paid in connection therewith), without duplication, in connection with (A) the undertaking of cost savings, operating expense reductions, other operating improvements, synergies and other similar initiatives, integration, transition, opening and pre-opening expenses, business optimization, software development and costs related to closure or consolidation of facilities, curtailments and costs related to entry into new markets, (B)(1) transaction related expenditures consisting of management bonuses or cash stay bonuses paid to employees of any Person, (2) expenses relating to the winding down of a public company acquired in an Acquisition permitted hereunder, and (3) non-recurring costs and expenses incurred in connection with transfer pricing studies and their implementation and the structuring and implementation of intercompany licensing agreements in connection with an Acquisition permitted hereunder, (C) expenditures and charges arising out of restructuring, consolidation, severance or discontinuance of any portion of operations, employees and/or management of any Person in connection with an Acquisition permitted hereunder and (D) non-recurring charges and expenses relating to (i) the exercise of options, (ii) stock issued by the target of an Acquisition permitted hereunder and (iii) change of control and like bonuses incurred in connection with an Acquisition permitted hereunder;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aggregate amount of additions made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clauses (k)(A)</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(k)(B)</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(k)(C)</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(k)(D)</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 (p)(B)</w:t>
      </w:r>
      <w:r>
        <w:rPr>
          <w:rFonts w:ascii="Arial" w:cs="Arial" w:eastAsia="Arial" w:hAnsi="Arial"/>
          <w:sz w:val="16"/>
          <w:szCs w:val="16"/>
          <w:i w:val="1"/>
          <w:iCs w:val="1"/>
          <w:color w:val="auto"/>
        </w:rPr>
        <w:t xml:space="preserve"> </w:t>
      </w:r>
      <w:r>
        <w:rPr>
          <w:rFonts w:ascii="Arial" w:cs="Arial" w:eastAsia="Arial" w:hAnsi="Arial"/>
          <w:sz w:val="16"/>
          <w:szCs w:val="16"/>
          <w:color w:val="auto"/>
        </w:rPr>
        <w:t>below shall not exceed the</w:t>
      </w:r>
      <w:r>
        <w:rPr>
          <w:rFonts w:ascii="Arial" w:cs="Arial" w:eastAsia="Arial" w:hAnsi="Arial"/>
          <w:sz w:val="16"/>
          <w:szCs w:val="16"/>
          <w:i w:val="1"/>
          <w:iCs w:val="1"/>
          <w:color w:val="auto"/>
        </w:rPr>
        <w:t xml:space="preserve"> </w:t>
      </w:r>
      <w:r>
        <w:rPr>
          <w:rFonts w:ascii="Arial" w:cs="Arial" w:eastAsia="Arial" w:hAnsi="Arial"/>
          <w:sz w:val="16"/>
          <w:szCs w:val="16"/>
          <w:color w:val="auto"/>
        </w:rPr>
        <w:t>greater of (x) $7,500,000 and (y) 5.0% of EBITDA on a Pro Forma Basis for any four quarter period (inclusive of such adjustments),</w:t>
      </w:r>
    </w:p>
    <w:p>
      <w:pPr>
        <w:spacing w:after="0" w:line="167" w:lineRule="exact"/>
        <w:rPr>
          <w:rFonts w:ascii="Arial" w:cs="Arial" w:eastAsia="Arial" w:hAnsi="Arial"/>
          <w:sz w:val="16"/>
          <w:szCs w:val="16"/>
          <w:color w:val="auto"/>
        </w:rPr>
      </w:pPr>
    </w:p>
    <w:p>
      <w:pPr>
        <w:ind w:left="4" w:right="120" w:firstLine="987"/>
        <w:spacing w:after="0" w:line="263" w:lineRule="auto"/>
        <w:tabs>
          <w:tab w:leader="none" w:pos="134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net cash charges, expenses or losses for litigation, indemnity settlements or unusual or non-recurring charges, expenses or losses for such period (not to exceed the greater of (x) $7,500,000 and (y) 5.0% of EBITDA on a Pro Forma Basis for any four quarter period (inclusive of such adjustments)),</w:t>
      </w:r>
    </w:p>
    <w:p>
      <w:pPr>
        <w:spacing w:after="0" w:line="183" w:lineRule="exact"/>
        <w:rPr>
          <w:rFonts w:ascii="Arial" w:cs="Arial" w:eastAsia="Arial" w:hAnsi="Arial"/>
          <w:sz w:val="18"/>
          <w:szCs w:val="18"/>
          <w:color w:val="auto"/>
        </w:rPr>
      </w:pPr>
    </w:p>
    <w:p>
      <w:pPr>
        <w:ind w:left="4" w:right="200" w:firstLine="987"/>
        <w:spacing w:after="0" w:line="259" w:lineRule="auto"/>
        <w:tabs>
          <w:tab w:leader="none" w:pos="143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fees, costs and expenses incurred by the Borrower or any Restricted Subsidiaries in connection with the negotiation, execution and delivery of this Agreement, the other Loan Documents (including amendments, supplements, waivers and other modifications to the foregoing executed after the Closing Date) and the closing of the Transactions (including for the avoidance of doubt, upfront fees or original issue discount payable in connection therewith),</w:t>
      </w:r>
    </w:p>
    <w:p>
      <w:pPr>
        <w:spacing w:after="0" w:line="186" w:lineRule="exact"/>
        <w:rPr>
          <w:rFonts w:ascii="Arial" w:cs="Arial" w:eastAsia="Arial" w:hAnsi="Arial"/>
          <w:sz w:val="18"/>
          <w:szCs w:val="18"/>
          <w:color w:val="auto"/>
        </w:rPr>
      </w:pPr>
    </w:p>
    <w:p>
      <w:pPr>
        <w:ind w:left="4" w:right="280" w:firstLine="987"/>
        <w:spacing w:after="0" w:line="301" w:lineRule="auto"/>
        <w:tabs>
          <w:tab w:leader="none" w:pos="1385" w:val="left"/>
        </w:tabs>
        <w:numPr>
          <w:ilvl w:val="1"/>
          <w:numId w:val="135"/>
        </w:numPr>
        <w:rPr>
          <w:rFonts w:ascii="Arial" w:cs="Arial" w:eastAsia="Arial" w:hAnsi="Arial"/>
          <w:sz w:val="16"/>
          <w:szCs w:val="16"/>
          <w:color w:val="auto"/>
        </w:rPr>
      </w:pPr>
      <w:r>
        <w:rPr>
          <w:rFonts w:ascii="Arial" w:cs="Arial" w:eastAsia="Arial" w:hAnsi="Arial"/>
          <w:sz w:val="16"/>
          <w:szCs w:val="16"/>
          <w:color w:val="auto"/>
        </w:rPr>
        <w:t xml:space="preserve">other non-cash charges reducing Net Income for such period (including any net change in deferred amusement revenue and ticket liability reserves);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non-cash charges represent an accrual or reserve for potential cash charge in any future period, (A) the Borrower may determine not to add back such non-cash charge in the current period and (B) to the extent the Borrower does decide to add back such non-cash charge, the cash payment in respect thereof in such future period shall be subtracted from EBITDA to the extent of such add back,</w:t>
      </w:r>
    </w:p>
    <w:p>
      <w:pPr>
        <w:spacing w:after="0" w:line="157" w:lineRule="exact"/>
        <w:rPr>
          <w:rFonts w:ascii="Arial" w:cs="Arial" w:eastAsia="Arial" w:hAnsi="Arial"/>
          <w:sz w:val="16"/>
          <w:szCs w:val="16"/>
          <w:color w:val="auto"/>
        </w:rPr>
      </w:pPr>
    </w:p>
    <w:p>
      <w:pPr>
        <w:ind w:left="4" w:right="640" w:firstLine="987"/>
        <w:spacing w:after="0" w:line="277" w:lineRule="auto"/>
        <w:tabs>
          <w:tab w:leader="none" w:pos="138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amount of any expense or deduction associated with any Restricted Subsidiary attributable to non-controlling interests or minority interests of third parties,</w:t>
      </w:r>
    </w:p>
    <w:p>
      <w:pPr>
        <w:spacing w:after="0" w:line="170" w:lineRule="exact"/>
        <w:rPr>
          <w:rFonts w:ascii="Arial" w:cs="Arial" w:eastAsia="Arial" w:hAnsi="Arial"/>
          <w:sz w:val="18"/>
          <w:szCs w:val="18"/>
          <w:color w:val="auto"/>
        </w:rPr>
      </w:pPr>
    </w:p>
    <w:p>
      <w:pPr>
        <w:jc w:val="both"/>
        <w:ind w:left="4" w:right="20" w:firstLine="987"/>
        <w:spacing w:after="0" w:line="291" w:lineRule="auto"/>
        <w:tabs>
          <w:tab w:leader="none" w:pos="1385"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amount of any restructuring charge or reserve in connection with a single or one-time event, including in connection with (A) any Acquisition permitted hereunder consummated after the Closing Date</w:t>
      </w:r>
      <w:r>
        <w:rPr>
          <w:rFonts w:ascii="Arial" w:cs="Arial" w:eastAsia="Arial" w:hAnsi="Arial"/>
          <w:sz w:val="16"/>
          <w:szCs w:val="16"/>
          <w:color w:val="FF0000"/>
          <w:strike w:val="1"/>
        </w:rPr>
        <w:t>,</w:t>
      </w:r>
      <w:r>
        <w:rPr>
          <w:rFonts w:ascii="Arial" w:cs="Arial" w:eastAsia="Arial" w:hAnsi="Arial"/>
          <w:sz w:val="16"/>
          <w:szCs w:val="16"/>
          <w:u w:val="single" w:color="auto"/>
          <w:color w:val="0000E1"/>
        </w:rPr>
        <w:t>;</w:t>
      </w:r>
      <w:r>
        <w:rPr>
          <w:rFonts w:ascii="Arial" w:cs="Arial" w:eastAsia="Arial" w:hAnsi="Arial"/>
          <w:sz w:val="16"/>
          <w:szCs w:val="16"/>
          <w:color w:val="auto"/>
        </w:rPr>
        <w:t xml:space="preserve"> provided that the aggregate amount of additions made pursuant to this </w:t>
      </w:r>
      <w:r>
        <w:rPr>
          <w:rFonts w:ascii="Arial" w:cs="Arial" w:eastAsia="Arial" w:hAnsi="Arial"/>
          <w:sz w:val="16"/>
          <w:szCs w:val="16"/>
          <w:u w:val="single" w:color="auto"/>
          <w:color w:val="auto"/>
        </w:rPr>
        <w:t>clause (p)</w:t>
      </w:r>
    </w:p>
    <w:p>
      <w:pPr>
        <w:ind w:left="4" w:right="40" w:hanging="4"/>
        <w:spacing w:after="0" w:line="253" w:lineRule="auto"/>
        <w:tabs>
          <w:tab w:leader="none" w:pos="299" w:val="left"/>
        </w:tabs>
        <w:numPr>
          <w:ilvl w:val="0"/>
          <w:numId w:val="136"/>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clauses (j)(B)</w:t>
      </w:r>
      <w:r>
        <w:rPr>
          <w:rFonts w:ascii="Arial" w:cs="Arial" w:eastAsia="Arial" w:hAnsi="Arial"/>
          <w:sz w:val="18"/>
          <w:szCs w:val="18"/>
          <w:color w:val="auto"/>
        </w:rPr>
        <w:t xml:space="preserve">, </w:t>
      </w:r>
      <w:r>
        <w:rPr>
          <w:rFonts w:ascii="Arial" w:cs="Arial" w:eastAsia="Arial" w:hAnsi="Arial"/>
          <w:sz w:val="18"/>
          <w:szCs w:val="18"/>
          <w:u w:val="single" w:color="auto"/>
          <w:color w:val="0000E1"/>
        </w:rPr>
        <w:t>(</w:t>
      </w:r>
      <w:r>
        <w:rPr>
          <w:rFonts w:ascii="Arial" w:cs="Arial" w:eastAsia="Arial" w:hAnsi="Arial"/>
          <w:sz w:val="18"/>
          <w:szCs w:val="18"/>
          <w:u w:val="single" w:color="auto"/>
          <w:color w:val="auto"/>
        </w:rPr>
        <w:t>j</w:t>
      </w:r>
      <w:r>
        <w:rPr>
          <w:rFonts w:ascii="Arial" w:cs="Arial" w:eastAsia="Arial" w:hAnsi="Arial"/>
          <w:sz w:val="18"/>
          <w:szCs w:val="18"/>
          <w:u w:val="single" w:color="auto"/>
          <w:color w:val="0000E1"/>
        </w:rPr>
        <w:t>)</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(j)(D)</w:t>
      </w:r>
      <w:r>
        <w:rPr>
          <w:rFonts w:ascii="Arial" w:cs="Arial" w:eastAsia="Arial" w:hAnsi="Arial"/>
          <w:sz w:val="18"/>
          <w:szCs w:val="18"/>
          <w:color w:val="auto"/>
        </w:rPr>
        <w:t xml:space="preserve"> above</w:t>
      </w:r>
      <w:r>
        <w:rPr>
          <w:rFonts w:ascii="Arial" w:cs="Arial" w:eastAsia="Arial" w:hAnsi="Arial"/>
          <w:sz w:val="18"/>
          <w:szCs w:val="18"/>
          <w:color w:val="FF0000"/>
          <w:strike w:val="1"/>
        </w:rPr>
        <w:t>)</w:t>
      </w:r>
      <w:r>
        <w:rPr>
          <w:rFonts w:ascii="Arial" w:cs="Arial" w:eastAsia="Arial" w:hAnsi="Arial"/>
          <w:sz w:val="18"/>
          <w:szCs w:val="18"/>
          <w:color w:val="auto"/>
        </w:rPr>
        <w:t xml:space="preserve"> in any four-quarter period shall not exceed the greater of (x) $7,500,000 and (y) 5.0% of EBITDA on a Pro Forma Basis for such four-quarter period (inclusive of such adjustments</w:t>
      </w:r>
      <w:r>
        <w:rPr>
          <w:rFonts w:ascii="Arial" w:cs="Arial" w:eastAsia="Arial" w:hAnsi="Arial"/>
          <w:sz w:val="18"/>
          <w:szCs w:val="18"/>
          <w:u w:val="single" w:color="auto"/>
          <w:color w:val="0000E1"/>
        </w:rPr>
        <w:t>)</w:t>
      </w:r>
      <w:r>
        <w:rPr>
          <w:rFonts w:ascii="Arial" w:cs="Arial" w:eastAsia="Arial" w:hAnsi="Arial"/>
          <w:sz w:val="18"/>
          <w:szCs w:val="18"/>
          <w:color w:val="auto"/>
        </w:rPr>
        <w:t>, and (B) the consolidation or closing of any location or office during such period</w:t>
      </w:r>
      <w:r>
        <w:rPr>
          <w:rFonts w:ascii="Arial" w:cs="Arial" w:eastAsia="Arial" w:hAnsi="Arial"/>
          <w:sz w:val="18"/>
          <w:szCs w:val="18"/>
          <w:color w:val="FF0000"/>
          <w:strike w:val="1"/>
        </w:rPr>
        <w:t>,</w:t>
      </w:r>
      <w:r>
        <w:rPr>
          <w:rFonts w:ascii="Arial" w:cs="Arial" w:eastAsia="Arial" w:hAnsi="Arial"/>
          <w:sz w:val="18"/>
          <w:szCs w:val="18"/>
          <w:u w:val="single" w:color="auto"/>
          <w:color w:val="0000E1"/>
        </w:rPr>
        <w:t>;</w:t>
      </w:r>
      <w:r>
        <w:rPr>
          <w:rFonts w:ascii="Arial" w:cs="Arial" w:eastAsia="Arial" w:hAnsi="Arial"/>
          <w:sz w:val="18"/>
          <w:szCs w:val="18"/>
          <w:color w:val="auto"/>
        </w:rPr>
        <w:t xml:space="preserve"> provided that the aggregate amount of additions made pursuant to this </w:t>
      </w:r>
      <w:r>
        <w:rPr>
          <w:rFonts w:ascii="Arial" w:cs="Arial" w:eastAsia="Arial" w:hAnsi="Arial"/>
          <w:sz w:val="18"/>
          <w:szCs w:val="18"/>
          <w:u w:val="single" w:color="auto"/>
          <w:color w:val="auto"/>
        </w:rPr>
        <w:t>clause (p)(B)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clauses (k)(A)</w:t>
      </w:r>
      <w:r>
        <w:rPr>
          <w:rFonts w:ascii="Arial" w:cs="Arial" w:eastAsia="Arial" w:hAnsi="Arial"/>
          <w:sz w:val="18"/>
          <w:szCs w:val="18"/>
          <w:color w:val="auto"/>
        </w:rPr>
        <w:t xml:space="preserve">, </w:t>
      </w:r>
      <w:r>
        <w:rPr>
          <w:rFonts w:ascii="Arial" w:cs="Arial" w:eastAsia="Arial" w:hAnsi="Arial"/>
          <w:sz w:val="18"/>
          <w:szCs w:val="18"/>
          <w:u w:val="single" w:color="auto"/>
          <w:color w:val="auto"/>
        </w:rPr>
        <w:t>(k)(B)</w:t>
      </w:r>
      <w:r>
        <w:rPr>
          <w:rFonts w:ascii="Arial" w:cs="Arial" w:eastAsia="Arial" w:hAnsi="Arial"/>
          <w:sz w:val="18"/>
          <w:szCs w:val="18"/>
          <w:color w:val="auto"/>
        </w:rPr>
        <w:t xml:space="preserve">, </w:t>
      </w:r>
      <w:r>
        <w:rPr>
          <w:rFonts w:ascii="Arial" w:cs="Arial" w:eastAsia="Arial" w:hAnsi="Arial"/>
          <w:sz w:val="18"/>
          <w:szCs w:val="18"/>
          <w:u w:val="single" w:color="auto"/>
          <w:color w:val="auto"/>
        </w:rPr>
        <w:t>(k)(C)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(k)(D)</w:t>
      </w:r>
      <w:r>
        <w:rPr>
          <w:rFonts w:ascii="Arial" w:cs="Arial" w:eastAsia="Arial" w:hAnsi="Arial"/>
          <w:sz w:val="18"/>
          <w:szCs w:val="18"/>
          <w:color w:val="auto"/>
        </w:rPr>
        <w:t xml:space="preserve"> above in any four-quarter period shall not exceed the greater of (x) $7,500,000 and (y) 5.0% of EBITDA on a Pro Forma Basis for such four-quarter period (inclusive of such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-683260</wp:posOffset>
            </wp:positionV>
            <wp:extent cx="2603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1054100</wp:posOffset>
            </wp:positionH>
            <wp:positionV relativeFrom="paragraph">
              <wp:posOffset>-546100</wp:posOffset>
            </wp:positionV>
            <wp:extent cx="11176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-408940</wp:posOffset>
            </wp:positionV>
            <wp:extent cx="4318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-271780</wp:posOffset>
            </wp:positionV>
            <wp:extent cx="342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4"/>
          </w:cols>
          <w:pgMar w:left="436" w:top="274" w:right="459" w:bottom="1440" w:gutter="0" w:footer="0" w:header="0"/>
        </w:sectPr>
      </w:pPr>
    </w:p>
    <w:bookmarkStart w:id="116" w:name="page117"/>
    <w:bookmarkEnd w:id="116"/>
    <w:p>
      <w:pPr>
        <w:ind w:right="120" w:firstLine="987"/>
        <w:spacing w:after="0" w:line="263" w:lineRule="auto"/>
        <w:tabs>
          <w:tab w:leader="none" w:pos="1381" w:val="left"/>
        </w:tabs>
        <w:numPr>
          <w:ilvl w:val="0"/>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cash actually received (or any netting arrangements resulting in reduced cash expenditures) during such period, and not included in Net Income in any period, to the extent that the non-cash gain relating to such cash receipt or netting arrangement was deducted in the calculation of EBITDA pursuant to </w:t>
      </w:r>
      <w:r>
        <w:rPr>
          <w:rFonts w:ascii="Arial" w:cs="Arial" w:eastAsia="Arial" w:hAnsi="Arial"/>
          <w:sz w:val="18"/>
          <w:szCs w:val="18"/>
          <w:u w:val="single" w:color="auto"/>
          <w:color w:val="auto"/>
        </w:rPr>
        <w:t>clause (t)</w:t>
      </w:r>
      <w:r>
        <w:rPr>
          <w:rFonts w:ascii="Arial" w:cs="Arial" w:eastAsia="Arial" w:hAnsi="Arial"/>
          <w:sz w:val="18"/>
          <w:szCs w:val="18"/>
          <w:color w:val="auto"/>
        </w:rPr>
        <w:t xml:space="preserve"> below for any previous period and not added back, and</w:t>
      </w:r>
    </w:p>
    <w:p>
      <w:pPr>
        <w:spacing w:after="0" w:line="183" w:lineRule="exact"/>
        <w:rPr>
          <w:rFonts w:ascii="Arial" w:cs="Arial" w:eastAsia="Arial" w:hAnsi="Arial"/>
          <w:sz w:val="18"/>
          <w:szCs w:val="18"/>
          <w:color w:val="auto"/>
        </w:rPr>
      </w:pPr>
    </w:p>
    <w:p>
      <w:pPr>
        <w:ind w:firstLine="987"/>
        <w:spacing w:after="0" w:line="342" w:lineRule="auto"/>
        <w:tabs>
          <w:tab w:leader="none" w:pos="135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Consolidated Start-up Costs for such period in an aggregate amount not to exceed the greater of (i) $12,500,000 in any period of four consecutive fiscal quarters and (ii) 7.5% of EBITDA for such period (calculated after giving effect to amounts added back pursuant to this </w:t>
      </w:r>
      <w:r>
        <w:rPr>
          <w:rFonts w:ascii="Arial" w:cs="Arial" w:eastAsia="Arial" w:hAnsi="Arial"/>
          <w:sz w:val="16"/>
          <w:szCs w:val="16"/>
          <w:u w:val="single" w:color="auto"/>
          <w:color w:val="auto"/>
        </w:rPr>
        <w:t>clause (r)</w:t>
      </w:r>
      <w:r>
        <w:rPr>
          <w:rFonts w:ascii="Arial" w:cs="Arial" w:eastAsia="Arial" w:hAnsi="Arial"/>
          <w:sz w:val="16"/>
          <w:szCs w:val="16"/>
          <w:color w:val="auto"/>
        </w:rPr>
        <w:t>),</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minus</w:t>
      </w:r>
    </w:p>
    <w:p>
      <w:pPr>
        <w:spacing w:after="0" w:line="117" w:lineRule="exact"/>
        <w:rPr>
          <w:sz w:val="20"/>
          <w:szCs w:val="20"/>
          <w:color w:val="auto"/>
        </w:rPr>
      </w:pPr>
    </w:p>
    <w:p>
      <w:pPr>
        <w:ind w:left="1360" w:hanging="373"/>
        <w:spacing w:after="0"/>
        <w:tabs>
          <w:tab w:leader="none" w:pos="13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non-cash income or gains increasing Net Income for such period,</w:t>
      </w:r>
    </w:p>
    <w:p>
      <w:pPr>
        <w:spacing w:after="0" w:line="225" w:lineRule="exact"/>
        <w:rPr>
          <w:rFonts w:ascii="Arial" w:cs="Arial" w:eastAsia="Arial" w:hAnsi="Arial"/>
          <w:sz w:val="18"/>
          <w:szCs w:val="18"/>
          <w:color w:val="auto"/>
        </w:rPr>
      </w:pPr>
    </w:p>
    <w:p>
      <w:pPr>
        <w:ind w:right="800" w:firstLine="987"/>
        <w:spacing w:after="0" w:line="277" w:lineRule="auto"/>
        <w:tabs>
          <w:tab w:leader="none" w:pos="138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cash and non-cash additions required by the application of ASC 805 to be expensed by the Borrower and its Restricted Subsidiaries for the four fiscal quarters then ended, and</w:t>
      </w:r>
    </w:p>
    <w:p>
      <w:pPr>
        <w:spacing w:after="0" w:line="170" w:lineRule="exact"/>
        <w:rPr>
          <w:rFonts w:ascii="Arial" w:cs="Arial" w:eastAsia="Arial" w:hAnsi="Arial"/>
          <w:sz w:val="18"/>
          <w:szCs w:val="18"/>
          <w:color w:val="auto"/>
        </w:rPr>
      </w:pPr>
    </w:p>
    <w:p>
      <w:pPr>
        <w:ind w:right="380" w:firstLine="987"/>
        <w:spacing w:after="0" w:line="277" w:lineRule="auto"/>
        <w:tabs>
          <w:tab w:leader="none" w:pos="138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amount of any income or gain associated with any Restricted Subsidiary attributable to non-controlling interests or minority interests of third parties to the extent taken into account in determining Net Income for such period, and</w:t>
      </w:r>
    </w:p>
    <w:p>
      <w:pPr>
        <w:spacing w:after="0" w:line="170" w:lineRule="exact"/>
        <w:rPr>
          <w:rFonts w:ascii="Arial" w:cs="Arial" w:eastAsia="Arial" w:hAnsi="Arial"/>
          <w:sz w:val="18"/>
          <w:szCs w:val="18"/>
          <w:color w:val="auto"/>
        </w:rPr>
      </w:pPr>
    </w:p>
    <w:p>
      <w:pPr>
        <w:ind w:right="40" w:firstLine="987"/>
        <w:spacing w:after="0" w:line="277" w:lineRule="auto"/>
        <w:tabs>
          <w:tab w:leader="none" w:pos="142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any cash payments made during such period on account of non-cash charges increasing Net Income pursuant to </w:t>
      </w:r>
      <w:r>
        <w:rPr>
          <w:rFonts w:ascii="Arial" w:cs="Arial" w:eastAsia="Arial" w:hAnsi="Arial"/>
          <w:sz w:val="18"/>
          <w:szCs w:val="18"/>
          <w:u w:val="single" w:color="auto"/>
          <w:color w:val="auto"/>
        </w:rPr>
        <w:t>clause (n)(B)</w:t>
      </w:r>
      <w:r>
        <w:rPr>
          <w:rFonts w:ascii="Arial" w:cs="Arial" w:eastAsia="Arial" w:hAnsi="Arial"/>
          <w:sz w:val="18"/>
          <w:szCs w:val="18"/>
          <w:color w:val="auto"/>
        </w:rPr>
        <w:t xml:space="preserve"> above in a previous period.</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u w:val="single" w:color="auto"/>
          <w:color w:val="0000E1"/>
        </w:rPr>
        <w:t>Notwithstanding anything to the contrary in the foregoing, lost food and beverage revenues, amusement revenues and other lost or foregone revenues, including from reduced customer traffic resulting from voluntary or mandated social distancing and store closures (in each case attributable to the COVID-19 Pandemic), will not be an allowed add-back to Net Income in computing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38619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5198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450913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ECP</w:t>
      </w:r>
      <w:r>
        <w:rPr>
          <w:rFonts w:ascii="Arial" w:cs="Arial" w:eastAsia="Arial" w:hAnsi="Arial"/>
          <w:sz w:val="18"/>
          <w:szCs w:val="18"/>
          <w:color w:val="auto"/>
        </w:rPr>
        <w:t xml:space="preserve">” is defined in the definition of </w:t>
      </w:r>
      <w:r>
        <w:rPr>
          <w:rFonts w:ascii="Arial" w:cs="Arial" w:eastAsia="Arial" w:hAnsi="Arial"/>
          <w:sz w:val="18"/>
          <w:szCs w:val="18"/>
          <w:u w:val="single" w:color="auto"/>
          <w:color w:val="0000E1"/>
        </w:rPr>
        <w:t>the term “</w:t>
      </w:r>
      <w:r>
        <w:rPr>
          <w:rFonts w:ascii="Arial" w:cs="Arial" w:eastAsia="Arial" w:hAnsi="Arial"/>
          <w:sz w:val="18"/>
          <w:szCs w:val="18"/>
          <w:color w:val="auto"/>
        </w:rPr>
        <w:t>Excluded Swap Obligation</w:t>
      </w:r>
      <w:r>
        <w:rPr>
          <w:rFonts w:ascii="Arial" w:cs="Arial" w:eastAsia="Arial" w:hAnsi="Arial"/>
          <w:sz w:val="18"/>
          <w:szCs w:val="18"/>
          <w:u w:val="single" w:color="auto"/>
          <w:color w:val="0000E1"/>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23495</wp:posOffset>
            </wp:positionV>
            <wp:extent cx="46291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23495</wp:posOffset>
            </wp:positionV>
            <wp:extent cx="5143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Financial Institution</w:t>
      </w:r>
      <w:r>
        <w:rPr>
          <w:rFonts w:ascii="Arial" w:cs="Arial" w:eastAsia="Arial" w:hAnsi="Arial"/>
          <w:sz w:val="18"/>
          <w:szCs w:val="18"/>
          <w:color w:val="auto"/>
        </w:rPr>
        <w:t xml:space="preserve">” means (i) any credit institution or investment firm established in any EEA Member Country which is subject to the supervision of an EEA Resolution Authority, (ii) any entity established in an EEA Member Country which is a parent of an institution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definition, or (iii) any financial institution established in an EEA Member Country which is a subsidiary of an institution described in </w:t>
      </w:r>
      <w:r>
        <w:rPr>
          <w:rFonts w:ascii="Arial" w:cs="Arial" w:eastAsia="Arial" w:hAnsi="Arial"/>
          <w:sz w:val="18"/>
          <w:szCs w:val="18"/>
          <w:u w:val="single" w:color="auto"/>
          <w:color w:val="auto"/>
        </w:rPr>
        <w:t>clause</w:t>
      </w:r>
      <w:r>
        <w:rPr>
          <w:rFonts w:ascii="Arial" w:cs="Arial" w:eastAsia="Arial" w:hAnsi="Arial"/>
          <w:sz w:val="18"/>
          <w:szCs w:val="18"/>
          <w:color w:val="FF0000"/>
          <w:strike w:val="1"/>
        </w:rPr>
        <w:t>s</w:t>
      </w:r>
      <w:r>
        <w:rPr>
          <w:rFonts w:ascii="Arial" w:cs="Arial" w:eastAsia="Arial" w:hAnsi="Arial"/>
          <w:sz w:val="18"/>
          <w:szCs w:val="18"/>
          <w:color w:val="auto"/>
        </w:rPr>
        <w:t xml:space="preserve"> (i)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this definition and is subject to consolidated supervision with its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-34925</wp:posOffset>
            </wp:positionV>
            <wp:extent cx="13652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36525" cy="8890"/>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the authority to exercise Write-Down and Conversion Powers.</w:t>
      </w:r>
    </w:p>
    <w:p>
      <w:pPr>
        <w:spacing w:after="0" w:line="170"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Eligible Assignee</w:t>
      </w:r>
      <w:r>
        <w:rPr>
          <w:rFonts w:ascii="Arial" w:cs="Arial" w:eastAsia="Arial" w:hAnsi="Arial"/>
          <w:sz w:val="16"/>
          <w:szCs w:val="16"/>
          <w:color w:val="auto"/>
        </w:rPr>
        <w:t xml:space="preserve">” means (a) a Lender, (b) an Affiliate of a Lender, (c) an Approved Fund and (d) any other Person (other than a natural person) approved by (i) the Administrative Agent, (ii) in the case of any assignment of a Revolving Credit Commitment, the L/C Issuer and the Swing Line Lender, and (iii) unless an Event of Default under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w:t>
      </w:r>
      <w:r>
        <w:rPr>
          <w:rFonts w:ascii="Arial" w:cs="Arial" w:eastAsia="Arial" w:hAnsi="Arial"/>
          <w:sz w:val="16"/>
          <w:szCs w:val="16"/>
          <w:u w:val="single" w:color="auto"/>
          <w:color w:val="auto"/>
        </w:rPr>
        <w:t>(j)</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(k)</w:t>
      </w:r>
      <w:r>
        <w:rPr>
          <w:rFonts w:ascii="Arial" w:cs="Arial" w:eastAsia="Arial" w:hAnsi="Arial"/>
          <w:sz w:val="16"/>
          <w:szCs w:val="16"/>
          <w:color w:val="auto"/>
        </w:rPr>
        <w:t xml:space="preserve"> has occurred and is continuing, the Borrower (each such approval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“Eligible Assignee” shall not include any Disqualified Institution.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40"/>
          </w:cols>
          <w:pgMar w:left="440" w:top="274" w:right="519" w:bottom="1440" w:gutter="0" w:footer="0" w:header="0"/>
        </w:sectPr>
      </w:pPr>
    </w:p>
    <w:bookmarkStart w:id="117" w:name="page118"/>
    <w:bookmarkEnd w:id="1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Eligible Foreign Currency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1.3(b)</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Claim</w:t>
      </w:r>
      <w:r>
        <w:rPr>
          <w:rFonts w:ascii="Arial" w:cs="Arial" w:eastAsia="Arial" w:hAnsi="Arial"/>
          <w:sz w:val="17"/>
          <w:szCs w:val="17"/>
          <w:color w:val="auto"/>
        </w:rPr>
        <w:t>” means any investigation, notice, violation, demand, allegation, action, suit, injunction, judgment, order, consent decree, penalty, fine, lien, proceeding or claim (whether administrative, judicial or private in nature) arising (a) pursuant to, or in connection with an actual or alleged violation of, any Environmental Law, (b) in connection with any Hazardous Material, (c) from any abatement, removal, remedial, corrective or response action in connection with a Hazardous Material or Environmental Law or (d) from any actual or alleged damage, injury, threat or harm to natural resources, the environment or health and safety as it relates to Hazardous Material.</w:t>
      </w:r>
    </w:p>
    <w:p>
      <w:pPr>
        <w:spacing w:after="0" w:line="176"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Law</w:t>
      </w:r>
      <w:r>
        <w:rPr>
          <w:rFonts w:ascii="Arial" w:cs="Arial" w:eastAsia="Arial" w:hAnsi="Arial"/>
          <w:sz w:val="17"/>
          <w:szCs w:val="17"/>
          <w:color w:val="auto"/>
        </w:rPr>
        <w:t>” means any current or future Legal Requirement pertaining to (a) the protection of the environment or health and safety as it relates to Hazardous Material, (b) the conservation, management or use of natural resources and wildlife, (c) the protection or use of surface water or groundwater, (d) the management, manufacture, possession, presence, use, generation, transportation, treatment, storage, disposal, Release, threatened Release, abatement, removal, remediation or handling of, or exposure to, any Hazardous Material or (e) pollution (including any Release to air, land, surface water or groundwater), and any amendment, rule, regulation, order or directive issued thereunder.</w:t>
      </w:r>
    </w:p>
    <w:p>
      <w:pPr>
        <w:spacing w:after="0" w:line="176"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xml:space="preserve">” </w:t>
      </w:r>
      <w:r>
        <w:rPr>
          <w:rFonts w:ascii="Arial" w:cs="Arial" w:eastAsia="Arial" w:hAnsi="Arial"/>
          <w:sz w:val="18"/>
          <w:szCs w:val="18"/>
          <w:color w:val="FF0000"/>
          <w:strike w:val="1"/>
        </w:rPr>
        <w:t>shall</w:t>
      </w:r>
      <w:r>
        <w:rPr>
          <w:rFonts w:ascii="Arial" w:cs="Arial" w:eastAsia="Arial" w:hAnsi="Arial"/>
          <w:sz w:val="18"/>
          <w:szCs w:val="18"/>
          <w:color w:val="auto"/>
        </w:rPr>
        <w:t xml:space="preserve"> mean</w:t>
      </w:r>
      <w:r>
        <w:rPr>
          <w:rFonts w:ascii="Arial" w:cs="Arial" w:eastAsia="Arial" w:hAnsi="Arial"/>
          <w:sz w:val="18"/>
          <w:szCs w:val="18"/>
          <w:u w:val="single" w:color="auto"/>
          <w:color w:val="0000E1"/>
        </w:rPr>
        <w:t>s</w:t>
      </w:r>
      <w:r>
        <w:rPr>
          <w:rFonts w:ascii="Arial" w:cs="Arial" w:eastAsia="Arial" w:hAnsi="Arial"/>
          <w:sz w:val="18"/>
          <w:szCs w:val="18"/>
          <w:color w:val="auto"/>
        </w:rPr>
        <w:t xml:space="preserve"> shares of capital stock, partnership interests, membership interests in a limited liability company, beneficial interests in a trust or other equity interests in any Person, and any option, warrant or other right entitling the holder thereof to purchase or otherwise acquire any such 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-276860</wp:posOffset>
            </wp:positionV>
            <wp:extent cx="431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Eurodollar Loan</w:t>
      </w:r>
      <w:r>
        <w:rPr>
          <w:rFonts w:ascii="Arial" w:cs="Arial" w:eastAsia="Arial" w:hAnsi="Arial"/>
          <w:sz w:val="18"/>
          <w:szCs w:val="18"/>
          <w:color w:val="auto"/>
        </w:rPr>
        <w:t xml:space="preserve">” means a Loan bearing interest at the rate specified in </w:t>
      </w:r>
      <w:r>
        <w:rPr>
          <w:rFonts w:ascii="Arial" w:cs="Arial" w:eastAsia="Arial" w:hAnsi="Arial"/>
          <w:sz w:val="18"/>
          <w:szCs w:val="18"/>
          <w:u w:val="single" w:color="auto"/>
          <w:color w:val="auto"/>
        </w:rPr>
        <w:t>Section 1.4(b)</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Eurodollar Rate</w:t>
      </w:r>
      <w:r>
        <w:rPr>
          <w:rFonts w:ascii="Arial" w:cs="Arial" w:eastAsia="Arial" w:hAnsi="Arial"/>
          <w:sz w:val="18"/>
          <w:szCs w:val="18"/>
          <w:u w:val="single" w:color="auto"/>
          <w:color w:val="0000E1"/>
        </w:rPr>
        <w:t>” is defined in Section 1.4(b).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216852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xml:space="preserve">” means any event or condition identified as such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any of the following: (a) any loss, destruction or damage of such Property or (b) any condemnation, seizure, or taking, by exercise of the power of eminent domain or otherwise, of such Property, or confiscation of such Property or the requisition of the use of such Property.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Interest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13.20</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xml:space="preserve">” is defined in the definition of </w:t>
      </w:r>
      <w:r>
        <w:rPr>
          <w:rFonts w:ascii="Arial" w:cs="Arial" w:eastAsia="Arial" w:hAnsi="Arial"/>
          <w:sz w:val="18"/>
          <w:szCs w:val="18"/>
          <w:u w:val="single" w:color="auto"/>
          <w:color w:val="0000E1"/>
        </w:rPr>
        <w:t>the term “</w:t>
      </w:r>
      <w:r>
        <w:rPr>
          <w:rFonts w:ascii="Arial" w:cs="Arial" w:eastAsia="Arial" w:hAnsi="Arial"/>
          <w:sz w:val="18"/>
          <w:szCs w:val="18"/>
          <w:color w:val="auto"/>
        </w:rPr>
        <w:t>Change of Control</w:t>
      </w:r>
      <w:r>
        <w:rPr>
          <w:rFonts w:ascii="Arial" w:cs="Arial" w:eastAsia="Arial" w:hAnsi="Arial"/>
          <w:sz w:val="18"/>
          <w:szCs w:val="18"/>
          <w:u w:val="single" w:color="auto"/>
          <w:color w:val="0000E1"/>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23495</wp:posOffset>
            </wp:positionV>
            <wp:extent cx="45402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454025"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23495</wp:posOffset>
            </wp:positionV>
            <wp:extent cx="5143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Swap Obligation</w:t>
      </w:r>
      <w:r>
        <w:rPr>
          <w:rFonts w:ascii="Arial" w:cs="Arial" w:eastAsia="Arial" w:hAnsi="Arial"/>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74" w:right="439" w:bottom="1440" w:gutter="0" w:footer="0" w:header="0"/>
        </w:sectPr>
      </w:pPr>
    </w:p>
    <w:bookmarkStart w:id="118" w:name="page119"/>
    <w:bookmarkEnd w:id="11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reason to constitute an “eligible contract participant” as defined in the Commodity Exchange Act and the regulations thereunder (each an “</w:t>
      </w:r>
      <w:r>
        <w:rPr>
          <w:rFonts w:ascii="Arial" w:cs="Arial" w:eastAsia="Arial" w:hAnsi="Arial"/>
          <w:sz w:val="18"/>
          <w:szCs w:val="18"/>
          <w:i w:val="1"/>
          <w:iCs w:val="1"/>
          <w:color w:val="auto"/>
        </w:rPr>
        <w:t>ECP</w:t>
      </w:r>
      <w:r>
        <w:rPr>
          <w:rFonts w:ascii="Arial" w:cs="Arial" w:eastAsia="Arial" w:hAnsi="Arial"/>
          <w:sz w:val="18"/>
          <w:szCs w:val="18"/>
          <w:color w:val="auto"/>
        </w:rPr>
        <w:t>”)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Taxes</w:t>
      </w:r>
      <w:r>
        <w:rPr>
          <w:rFonts w:ascii="Arial" w:cs="Arial" w:eastAsia="Arial" w:hAnsi="Arial"/>
          <w:sz w:val="16"/>
          <w:szCs w:val="16"/>
          <w:color w:val="auto"/>
        </w:rPr>
        <w:t xml:space="preserve">” means, with respect to the Administrative Agent, any Lender or the L/C Issuer, (a) income taxes, branch profits taxes, franchise taxes imposed in lieu of income taxes or other taxes imposed on (or measured by) its net income by a jurisdiction (or any political subdivision thereof) under the laws of which such recipient is organized, in which its principal office is located, in which it is doing business, or in which it has a present or former connection (other than such a connection resulting solely from such person having executed or delivered, or performed its obligations, or received a payment under, or enforced, any Loan Document), or, in the case of any Lender or the L/C Issuer, in which its applicable lending office is located; (b) any withholding taxes imposed under FATCA; (c) any withholding tax that is imposed on amounts payable to such Person at the time it becomes a party to this Agreement (or acquires a participation in the Loans or Commitments made under this Agreement) or designates a new lending office, except to the extent that such Person was entitled, at the time of designation of a new lending office, to receive additional amounts from the Borrower with respect to such withholding tax pursuant to </w:t>
      </w:r>
      <w:r>
        <w:rPr>
          <w:rFonts w:ascii="Arial" w:cs="Arial" w:eastAsia="Arial" w:hAnsi="Arial"/>
          <w:sz w:val="16"/>
          <w:szCs w:val="16"/>
          <w:u w:val="single" w:color="auto"/>
          <w:color w:val="auto"/>
        </w:rPr>
        <w:t>Section 13.1(a)</w:t>
      </w:r>
      <w:r>
        <w:rPr>
          <w:rFonts w:ascii="Arial" w:cs="Arial" w:eastAsia="Arial" w:hAnsi="Arial"/>
          <w:sz w:val="16"/>
          <w:szCs w:val="16"/>
          <w:color w:val="auto"/>
        </w:rPr>
        <w:t xml:space="preserve"> or is the assignee or Participant of a Person who was entitled to receive such amounts from the Borrower; (d) any taxes attributable to such person’s failure </w:t>
      </w:r>
      <w:r>
        <w:rPr>
          <w:rFonts w:ascii="Arial" w:cs="Arial" w:eastAsia="Arial" w:hAnsi="Arial"/>
          <w:sz w:val="16"/>
          <w:szCs w:val="16"/>
          <w:color w:val="FF0000"/>
          <w:strike w:val="1"/>
        </w:rPr>
        <w:t>or inability (other than as a result of change in Legal Requirements)</w:t>
      </w:r>
      <w:r>
        <w:rPr>
          <w:rFonts w:ascii="Arial" w:cs="Arial" w:eastAsia="Arial" w:hAnsi="Arial"/>
          <w:sz w:val="16"/>
          <w:szCs w:val="16"/>
          <w:color w:val="auto"/>
        </w:rPr>
        <w:t xml:space="preserve"> to comply with </w:t>
      </w:r>
      <w:r>
        <w:rPr>
          <w:rFonts w:ascii="Arial" w:cs="Arial" w:eastAsia="Arial" w:hAnsi="Arial"/>
          <w:sz w:val="16"/>
          <w:szCs w:val="16"/>
          <w:u w:val="single" w:color="auto"/>
          <w:color w:val="auto"/>
        </w:rPr>
        <w:t>Section 13.1(b)</w:t>
      </w:r>
      <w:r>
        <w:rPr>
          <w:rFonts w:ascii="Arial" w:cs="Arial" w:eastAsia="Arial" w:hAnsi="Arial"/>
          <w:sz w:val="16"/>
          <w:szCs w:val="16"/>
          <w:color w:val="auto"/>
        </w:rPr>
        <w:t>; and (e) any interest, additions to tax or penalties in respect of the foregoing.</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2015 Loans</w:t>
      </w:r>
      <w:r>
        <w:rPr>
          <w:rFonts w:ascii="Arial" w:cs="Arial" w:eastAsia="Arial" w:hAnsi="Arial"/>
          <w:sz w:val="18"/>
          <w:szCs w:val="18"/>
          <w:color w:val="auto"/>
        </w:rPr>
        <w:t>” means the Existing 2015 Revolving Loans and the Existing 2015 Term Loans.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2015 Revolving Loans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13.29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2015 Term Loans</w:t>
      </w:r>
      <w:r>
        <w:rPr>
          <w:rFonts w:ascii="Arial" w:cs="Arial" w:eastAsia="Arial" w:hAnsi="Arial"/>
          <w:sz w:val="18"/>
          <w:szCs w:val="18"/>
          <w:color w:val="auto"/>
        </w:rPr>
        <w:t>” is defined in Section 13.29.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Credit Agreement</w:t>
      </w:r>
      <w:r>
        <w:rPr>
          <w:rFonts w:ascii="Arial" w:cs="Arial" w:eastAsia="Arial" w:hAnsi="Arial"/>
          <w:sz w:val="18"/>
          <w:szCs w:val="18"/>
          <w:color w:val="auto"/>
        </w:rPr>
        <w:t xml:space="preserve">” </w:t>
      </w:r>
      <w:r>
        <w:rPr>
          <w:rFonts w:ascii="Arial" w:cs="Arial" w:eastAsia="Arial" w:hAnsi="Arial"/>
          <w:sz w:val="18"/>
          <w:szCs w:val="18"/>
          <w:color w:val="FF0000"/>
          <w:strike w:val="1"/>
        </w:rPr>
        <w:t>shall have the meaning assigned to such term</w:t>
      </w:r>
      <w:r>
        <w:rPr>
          <w:rFonts w:ascii="Arial" w:cs="Arial" w:eastAsia="Arial" w:hAnsi="Arial"/>
          <w:sz w:val="18"/>
          <w:szCs w:val="18"/>
          <w:u w:val="single" w:color="auto"/>
          <w:color w:val="0000E1"/>
        </w:rPr>
        <w:t>is defined</w:t>
      </w:r>
      <w:r>
        <w:rPr>
          <w:rFonts w:ascii="Arial" w:cs="Arial" w:eastAsia="Arial" w:hAnsi="Arial"/>
          <w:sz w:val="18"/>
          <w:szCs w:val="18"/>
          <w:color w:val="auto"/>
        </w:rPr>
        <w:t xml:space="preserve"> in the recitals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3683635</wp:posOffset>
            </wp:positionH>
            <wp:positionV relativeFrom="paragraph">
              <wp:posOffset>23495</wp:posOffset>
            </wp:positionV>
            <wp:extent cx="44577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Letter</w:t>
      </w:r>
      <w:r>
        <w:rPr>
          <w:rFonts w:ascii="Arial" w:cs="Arial" w:eastAsia="Arial" w:hAnsi="Arial"/>
          <w:sz w:val="18"/>
          <w:szCs w:val="18"/>
          <w:i w:val="1"/>
          <w:iCs w:val="1"/>
          <w:u w:val="single" w:color="auto"/>
          <w:color w:val="0000E1"/>
        </w:rPr>
        <w:t>s</w:t>
      </w:r>
      <w:r>
        <w:rPr>
          <w:rFonts w:ascii="Arial" w:cs="Arial" w:eastAsia="Arial" w:hAnsi="Arial"/>
          <w:sz w:val="18"/>
          <w:szCs w:val="18"/>
          <w:color w:val="auto"/>
        </w:rPr>
        <w:t xml:space="preserve"> </w:t>
      </w:r>
      <w:r>
        <w:rPr>
          <w:rFonts w:ascii="Arial" w:cs="Arial" w:eastAsia="Arial" w:hAnsi="Arial"/>
          <w:sz w:val="18"/>
          <w:szCs w:val="18"/>
          <w:i w:val="1"/>
          <w:iCs w:val="1"/>
          <w:color w:val="auto"/>
        </w:rPr>
        <w:t>of Credit</w:t>
      </w:r>
      <w:r>
        <w:rPr>
          <w:rFonts w:ascii="Arial" w:cs="Arial" w:eastAsia="Arial" w:hAnsi="Arial"/>
          <w:sz w:val="18"/>
          <w:szCs w:val="18"/>
          <w:color w:val="auto"/>
        </w:rPr>
        <w:t xml:space="preserve">” </w:t>
      </w:r>
      <w:r>
        <w:rPr>
          <w:rFonts w:ascii="Arial" w:cs="Arial" w:eastAsia="Arial" w:hAnsi="Arial"/>
          <w:sz w:val="18"/>
          <w:szCs w:val="18"/>
          <w:color w:val="FF0000"/>
          <w:strike w:val="1"/>
        </w:rPr>
        <w:t>shall have the meaning provided</w:t>
      </w:r>
      <w:r>
        <w:rPr>
          <w:rFonts w:ascii="Arial" w:cs="Arial" w:eastAsia="Arial" w:hAnsi="Arial"/>
          <w:sz w:val="18"/>
          <w:szCs w:val="18"/>
          <w:u w:val="single" w:color="auto"/>
          <w:color w:val="0000E1"/>
        </w:rPr>
        <w:t>is defined</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13.29</w:t>
      </w:r>
      <w:r>
        <w:rPr>
          <w:rFonts w:ascii="Arial" w:cs="Arial" w:eastAsia="Arial" w:hAnsi="Arial"/>
          <w:sz w:val="18"/>
          <w:szCs w:val="18"/>
          <w:u w:val="single" w:color="auto"/>
          <w:color w:val="0000E1"/>
        </w:rPr>
        <w: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23495</wp:posOffset>
            </wp:positionV>
            <wp:extent cx="5143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23495</wp:posOffset>
            </wp:positionV>
            <wp:extent cx="44577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4266565</wp:posOffset>
            </wp:positionH>
            <wp:positionV relativeFrom="paragraph">
              <wp:posOffset>23495</wp:posOffset>
            </wp:positionV>
            <wp:extent cx="12890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Revolving Credit Commitments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1.19(a)</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Revolving Loans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1.19(a)</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Term Loans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1.18(a)</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Extended Revolving Credit Commitments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1.19(a)</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Extended Revolving Loans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1.19(a)</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Extended Term Loans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1.18(a)</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Extending Revolving Lender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1.19(b)</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Extending Term Loan Lender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1.18(b)</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20"/>
          </w:cols>
          <w:pgMar w:left="440" w:top="274" w:right="539" w:bottom="1440" w:gutter="0" w:footer="0" w:header="0"/>
        </w:sectPr>
      </w:pPr>
    </w:p>
    <w:bookmarkStart w:id="119" w:name="page120"/>
    <w:bookmarkEnd w:id="119"/>
    <w:p>
      <w:pPr>
        <w:ind w:right="16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i w:val="1"/>
          <w:iCs w:val="1"/>
          <w:color w:val="auto"/>
        </w:rPr>
        <w:t>FATCA</w:t>
      </w:r>
      <w:r>
        <w:rPr>
          <w:rFonts w:ascii="Arial" w:cs="Arial" w:eastAsia="Arial" w:hAnsi="Arial"/>
          <w:sz w:val="16"/>
          <w:szCs w:val="16"/>
          <w:color w:val="auto"/>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w:t>
      </w:r>
      <w:r>
        <w:rPr>
          <w:rFonts w:ascii="Arial" w:cs="Arial" w:eastAsia="Arial" w:hAnsi="Arial"/>
          <w:sz w:val="16"/>
          <w:szCs w:val="16"/>
          <w:color w:val="0000E1"/>
        </w:rPr>
        <w:t>and any fiscal or regulatory legislation, rules or practices adopted pursuant to any</w:t>
      </w:r>
      <w:r>
        <w:rPr>
          <w:rFonts w:ascii="Arial" w:cs="Arial" w:eastAsia="Arial" w:hAnsi="Arial"/>
          <w:sz w:val="16"/>
          <w:szCs w:val="16"/>
          <w:color w:val="auto"/>
        </w:rPr>
        <w:t xml:space="preserve"> </w:t>
      </w:r>
      <w:r>
        <w:rPr>
          <w:rFonts w:ascii="Arial" w:cs="Arial" w:eastAsia="Arial" w:hAnsi="Arial"/>
          <w:sz w:val="16"/>
          <w:szCs w:val="16"/>
          <w:u w:val="single" w:color="auto"/>
          <w:color w:val="0000E1"/>
        </w:rPr>
        <w:t>intergovernmental agreement, treaty or convention among Governmental Authorities and implementing such Sections of the Code</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-156210</wp:posOffset>
            </wp:positionV>
            <wp:extent cx="37547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3084830</wp:posOffset>
            </wp:positionH>
            <wp:positionV relativeFrom="paragraph">
              <wp:posOffset>-190500</wp:posOffset>
            </wp:positionV>
            <wp:extent cx="375031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7503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wp:posOffset>
            </wp:positionV>
            <wp:extent cx="594931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949315" cy="8890"/>
                    </a:xfrm>
                    <a:prstGeom prst="rect">
                      <a:avLst/>
                    </a:prstGeom>
                    <a:noFill/>
                  </pic:spPr>
                </pic:pic>
              </a:graphicData>
            </a:graphic>
          </wp:anchor>
        </w:drawing>
      </w:r>
    </w:p>
    <w:p>
      <w:pPr>
        <w:spacing w:after="0" w:line="13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Federal Funds Effective Rate</w:t>
      </w:r>
      <w:r>
        <w:rPr>
          <w:rFonts w:ascii="Arial" w:cs="Arial" w:eastAsia="Arial" w:hAnsi="Arial"/>
          <w:sz w:val="16"/>
          <w:szCs w:val="16"/>
          <w:color w:val="auto"/>
        </w:rPr>
        <w:t xml:space="preserve">” </w:t>
      </w:r>
      <w:r>
        <w:rPr>
          <w:rFonts w:ascii="Arial" w:cs="Arial" w:eastAsia="Arial" w:hAnsi="Arial"/>
          <w:sz w:val="16"/>
          <w:szCs w:val="16"/>
          <w:color w:val="FF0000"/>
          <w:strike w:val="1"/>
        </w:rPr>
        <w:t>shall</w:t>
      </w:r>
      <w:r>
        <w:rPr>
          <w:rFonts w:ascii="Arial" w:cs="Arial" w:eastAsia="Arial" w:hAnsi="Arial"/>
          <w:sz w:val="16"/>
          <w:szCs w:val="16"/>
          <w:color w:val="auto"/>
        </w:rPr>
        <w:t xml:space="preserve"> mean</w:t>
      </w:r>
      <w:r>
        <w:rPr>
          <w:rFonts w:ascii="Arial" w:cs="Arial" w:eastAsia="Arial" w:hAnsi="Arial"/>
          <w:sz w:val="16"/>
          <w:szCs w:val="16"/>
          <w:u w:val="single" w:color="auto"/>
          <w:color w:val="0000E1"/>
        </w:rPr>
        <w:t>s</w:t>
      </w:r>
      <w:r>
        <w:rPr>
          <w:rFonts w:ascii="Arial" w:cs="Arial" w:eastAsia="Arial" w:hAnsi="Arial"/>
          <w:sz w:val="16"/>
          <w:szCs w:val="16"/>
          <w:color w:val="auto"/>
        </w:rPr>
        <w:t xml:space="preserve">, for any day, the rate per annum </w:t>
      </w:r>
      <w:r>
        <w:rPr>
          <w:rFonts w:ascii="Arial" w:cs="Arial" w:eastAsia="Arial" w:hAnsi="Arial"/>
          <w:sz w:val="16"/>
          <w:szCs w:val="16"/>
          <w:color w:val="FF0000"/>
          <w:strike w:val="1"/>
        </w:rPr>
        <w:t>equal to the weighted average of the rates on overnight Federal funds</w:t>
      </w:r>
      <w:r>
        <w:rPr>
          <w:rFonts w:ascii="Arial" w:cs="Arial" w:eastAsia="Arial" w:hAnsi="Arial"/>
          <w:sz w:val="16"/>
          <w:szCs w:val="16"/>
          <w:color w:val="auto"/>
        </w:rPr>
        <w:t xml:space="preserve"> </w:t>
      </w:r>
      <w:r>
        <w:rPr>
          <w:rFonts w:ascii="Arial" w:cs="Arial" w:eastAsia="Arial" w:hAnsi="Arial"/>
          <w:sz w:val="16"/>
          <w:szCs w:val="16"/>
          <w:color w:val="FF0000"/>
          <w:strike w:val="1"/>
        </w:rPr>
        <w:t>transactions with members of the Federal Reserve System arranged by Federal funds brokers on such day, as published</w:t>
      </w:r>
      <w:r>
        <w:rPr>
          <w:rFonts w:ascii="Arial" w:cs="Arial" w:eastAsia="Arial" w:hAnsi="Arial"/>
          <w:sz w:val="16"/>
          <w:szCs w:val="16"/>
          <w:u w:val="single" w:color="auto"/>
          <w:color w:val="0000E1"/>
        </w:rPr>
        <w:t>calculated</w:t>
      </w:r>
      <w:r>
        <w:rPr>
          <w:rFonts w:ascii="Arial" w:cs="Arial" w:eastAsia="Arial" w:hAnsi="Arial"/>
          <w:sz w:val="16"/>
          <w:szCs w:val="16"/>
          <w:color w:val="FF0000"/>
        </w:rPr>
        <w:t xml:space="preserve"> </w:t>
      </w:r>
      <w:r>
        <w:rPr>
          <w:rFonts w:ascii="Arial" w:cs="Arial" w:eastAsia="Arial" w:hAnsi="Arial"/>
          <w:sz w:val="16"/>
          <w:szCs w:val="16"/>
          <w:color w:val="000000"/>
        </w:rPr>
        <w:t>by the Federal Reserve</w:t>
      </w:r>
      <w:r>
        <w:rPr>
          <w:rFonts w:ascii="Arial" w:cs="Arial" w:eastAsia="Arial" w:hAnsi="Arial"/>
          <w:sz w:val="16"/>
          <w:szCs w:val="16"/>
          <w:color w:val="FF0000"/>
        </w:rPr>
        <w:t xml:space="preserve"> </w:t>
      </w:r>
      <w:r>
        <w:rPr>
          <w:rFonts w:ascii="Arial" w:cs="Arial" w:eastAsia="Arial" w:hAnsi="Arial"/>
          <w:sz w:val="16"/>
          <w:szCs w:val="16"/>
          <w:color w:val="000000"/>
        </w:rPr>
        <w:t xml:space="preserve">Bank of New York </w:t>
      </w:r>
      <w:r>
        <w:rPr>
          <w:rFonts w:ascii="Arial" w:cs="Arial" w:eastAsia="Arial" w:hAnsi="Arial"/>
          <w:sz w:val="16"/>
          <w:szCs w:val="16"/>
          <w:color w:val="FF0000"/>
          <w:strike w:val="1"/>
        </w:rPr>
        <w:t>on the Business Day next succeeding such day; provided that (a) if such day is not a Business Day, the Federal Funds Rate for such</w:t>
      </w:r>
      <w:r>
        <w:rPr>
          <w:rFonts w:ascii="Arial" w:cs="Arial" w:eastAsia="Arial" w:hAnsi="Arial"/>
          <w:sz w:val="16"/>
          <w:szCs w:val="16"/>
          <w:color w:val="000000"/>
        </w:rPr>
        <w:t xml:space="preserve"> </w:t>
      </w:r>
      <w:r>
        <w:rPr>
          <w:rFonts w:ascii="Arial" w:cs="Arial" w:eastAsia="Arial" w:hAnsi="Arial"/>
          <w:sz w:val="16"/>
          <w:szCs w:val="16"/>
          <w:color w:val="FF0000"/>
          <w:strike w:val="1"/>
        </w:rPr>
        <w:t>day shall be such rate on such transactions on the next preceding Business Day as so</w:t>
      </w:r>
      <w:r>
        <w:rPr>
          <w:rFonts w:ascii="Arial" w:cs="Arial" w:eastAsia="Arial" w:hAnsi="Arial"/>
          <w:sz w:val="16"/>
          <w:szCs w:val="16"/>
          <w:u w:val="single" w:color="auto"/>
          <w:color w:val="0000E1"/>
          <w:strike w:val="1"/>
        </w:rPr>
        <w:t>based on such day’s federal funds transactions by depository</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E1"/>
          <w:strike w:val="1"/>
        </w:rPr>
        <w:t xml:space="preserve">institutions (as determined in such manner as the Federal Reserve Bank of New York shall set forth on its public website from time to time) and </w:t>
      </w:r>
      <w:r>
        <w:rPr>
          <w:rFonts w:ascii="Arial" w:cs="Arial" w:eastAsia="Arial" w:hAnsi="Arial"/>
          <w:sz w:val="16"/>
          <w:szCs w:val="16"/>
          <w:color w:val="000000"/>
          <w:strike w:val="1"/>
        </w:rPr>
        <w:t>published on the next succeeding Business Day</w:t>
      </w:r>
      <w:r>
        <w:rPr>
          <w:rFonts w:ascii="Arial" w:cs="Arial" w:eastAsia="Arial" w:hAnsi="Arial"/>
          <w:sz w:val="16"/>
          <w:szCs w:val="16"/>
          <w:color w:val="FF0000"/>
          <w:strike w:val="1"/>
        </w:rPr>
        <w:t>, and (b) if no such rate is so published on such next succeeding Business Day,</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E1"/>
          <w:strike w:val="1"/>
        </w:rPr>
        <w:t>by the Federal Reserve</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E1"/>
          <w:strike w:val="1"/>
        </w:rPr>
        <w:t>Bank of New York as the federal funds effective rate;</w:t>
      </w:r>
      <w:r>
        <w:rPr>
          <w:rFonts w:ascii="Arial" w:cs="Arial" w:eastAsia="Arial" w:hAnsi="Arial"/>
          <w:sz w:val="16"/>
          <w:szCs w:val="16"/>
          <w:color w:val="0000E1"/>
          <w:strike w:val="1"/>
        </w:rPr>
        <w:t xml:space="preserve"> </w:t>
      </w:r>
      <w:r>
        <w:rPr>
          <w:rFonts w:ascii="Arial" w:cs="Arial" w:eastAsia="Arial" w:hAnsi="Arial"/>
          <w:sz w:val="16"/>
          <w:szCs w:val="16"/>
          <w:i w:val="1"/>
          <w:iCs w:val="1"/>
          <w:u w:val="single" w:color="auto"/>
          <w:color w:val="0000E1"/>
          <w:strike w:val="1"/>
        </w:rPr>
        <w:t>provided</w:t>
      </w:r>
      <w:r>
        <w:rPr>
          <w:rFonts w:ascii="Arial" w:cs="Arial" w:eastAsia="Arial" w:hAnsi="Arial"/>
          <w:sz w:val="16"/>
          <w:szCs w:val="16"/>
          <w:color w:val="0000E1"/>
          <w:strike w:val="1"/>
        </w:rPr>
        <w:t xml:space="preserve"> </w:t>
      </w:r>
      <w:r>
        <w:rPr>
          <w:rFonts w:ascii="Arial" w:cs="Arial" w:eastAsia="Arial" w:hAnsi="Arial"/>
          <w:sz w:val="16"/>
          <w:szCs w:val="16"/>
          <w:u w:val="single" w:color="auto"/>
          <w:color w:val="0000E1"/>
          <w:strike w:val="1"/>
        </w:rPr>
        <w:t>that if</w:t>
      </w:r>
      <w:r>
        <w:rPr>
          <w:rFonts w:ascii="Arial" w:cs="Arial" w:eastAsia="Arial" w:hAnsi="Arial"/>
          <w:sz w:val="16"/>
          <w:szCs w:val="16"/>
          <w:color w:val="0000E1"/>
          <w:strike w:val="1"/>
        </w:rPr>
        <w:t xml:space="preserve"> </w:t>
      </w:r>
      <w:r>
        <w:rPr>
          <w:rFonts w:ascii="Arial" w:cs="Arial" w:eastAsia="Arial" w:hAnsi="Arial"/>
          <w:sz w:val="16"/>
          <w:szCs w:val="16"/>
          <w:color w:val="000000"/>
          <w:strike w:val="1"/>
        </w:rPr>
        <w:t>the Federal Funds Effective Rate</w:t>
      </w:r>
      <w:r>
        <w:rPr>
          <w:rFonts w:ascii="Arial" w:cs="Arial" w:eastAsia="Arial" w:hAnsi="Arial"/>
          <w:sz w:val="16"/>
          <w:szCs w:val="16"/>
          <w:color w:val="0000E1"/>
          <w:strike w:val="1"/>
        </w:rPr>
        <w:t xml:space="preserve"> </w:t>
      </w:r>
      <w:r>
        <w:rPr>
          <w:rFonts w:ascii="Arial" w:cs="Arial" w:eastAsia="Arial" w:hAnsi="Arial"/>
          <w:sz w:val="16"/>
          <w:szCs w:val="16"/>
          <w:color w:val="FF0000"/>
          <w:strike w:val="1"/>
        </w:rPr>
        <w:t>for such day shall be the average rate (rounded</w:t>
      </w:r>
      <w:r>
        <w:rPr>
          <w:rFonts w:ascii="Arial" w:cs="Arial" w:eastAsia="Arial" w:hAnsi="Arial"/>
          <w:sz w:val="16"/>
          <w:szCs w:val="16"/>
          <w:color w:val="0000E1"/>
          <w:strike w:val="1"/>
        </w:rPr>
        <w:t xml:space="preserve"> </w:t>
      </w:r>
      <w:r>
        <w:rPr>
          <w:rFonts w:ascii="Arial" w:cs="Arial" w:eastAsia="Arial" w:hAnsi="Arial"/>
          <w:sz w:val="16"/>
          <w:szCs w:val="16"/>
          <w:color w:val="FF0000"/>
          <w:strike w:val="1"/>
        </w:rPr>
        <w:t xml:space="preserve">upward, if necessary, to a whole multiple of 1/100 of 1%) charged to Bank of America on such day on such transactions </w:t>
      </w:r>
      <w:r>
        <w:rPr>
          <w:rFonts w:ascii="Arial" w:cs="Arial" w:eastAsia="Arial" w:hAnsi="Arial"/>
          <w:sz w:val="16"/>
          <w:szCs w:val="16"/>
          <w:color w:val="008000"/>
          <w:strike w:val="1"/>
        </w:rPr>
        <w:t>as determined by the</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Administrative Agent</w:t>
      </w:r>
      <w:r>
        <w:rPr>
          <w:rFonts w:ascii="Arial" w:cs="Arial" w:eastAsia="Arial" w:hAnsi="Arial"/>
          <w:sz w:val="16"/>
          <w:szCs w:val="16"/>
          <w:color w:val="FF0000"/>
          <w:strike w:val="1"/>
        </w:rPr>
        <w:t>.</w:t>
      </w:r>
      <w:r>
        <w:rPr>
          <w:rFonts w:ascii="Arial" w:cs="Arial" w:eastAsia="Arial" w:hAnsi="Arial"/>
          <w:sz w:val="16"/>
          <w:szCs w:val="16"/>
          <w:u w:val="single" w:color="auto"/>
          <w:color w:val="0000E1"/>
          <w:strike w:val="1"/>
        </w:rPr>
        <w:t>as so determined would be</w:t>
      </w:r>
      <w:r>
        <w:rPr>
          <w:rFonts w:ascii="Arial" w:cs="Arial" w:eastAsia="Arial" w:hAnsi="Arial"/>
          <w:sz w:val="16"/>
          <w:szCs w:val="16"/>
          <w:color w:val="008000"/>
          <w:strike w:val="1"/>
        </w:rPr>
        <w:t xml:space="preserve"> </w:t>
      </w:r>
      <w:r>
        <w:rPr>
          <w:rFonts w:ascii="Arial" w:cs="Arial" w:eastAsia="Arial" w:hAnsi="Arial"/>
          <w:sz w:val="16"/>
          <w:szCs w:val="16"/>
          <w:u w:val="single" w:color="auto"/>
          <w:color w:val="008000"/>
          <w:strike w:val="1"/>
        </w:rPr>
        <w:t>less than zero, such rate shall be deemed</w:t>
      </w:r>
      <w:r>
        <w:rPr>
          <w:rFonts w:ascii="Arial" w:cs="Arial" w:eastAsia="Arial" w:hAnsi="Arial"/>
          <w:sz w:val="16"/>
          <w:szCs w:val="16"/>
          <w:color w:val="008000"/>
          <w:strike w:val="1"/>
        </w:rPr>
        <w:t xml:space="preserve"> </w:t>
      </w:r>
      <w:r>
        <w:rPr>
          <w:rFonts w:ascii="Arial" w:cs="Arial" w:eastAsia="Arial" w:hAnsi="Arial"/>
          <w:sz w:val="16"/>
          <w:szCs w:val="16"/>
          <w:u w:val="single" w:color="auto"/>
          <w:color w:val="0000E1"/>
          <w:strike w:val="1"/>
        </w:rPr>
        <w:t>to be</w:t>
      </w:r>
      <w:r>
        <w:rPr>
          <w:rFonts w:ascii="Arial" w:cs="Arial" w:eastAsia="Arial" w:hAnsi="Arial"/>
          <w:sz w:val="16"/>
          <w:szCs w:val="16"/>
          <w:color w:val="008000"/>
          <w:strike w:val="1"/>
        </w:rPr>
        <w:t xml:space="preserve"> </w:t>
      </w:r>
      <w:r>
        <w:rPr>
          <w:rFonts w:ascii="Arial" w:cs="Arial" w:eastAsia="Arial" w:hAnsi="Arial"/>
          <w:sz w:val="16"/>
          <w:szCs w:val="16"/>
          <w:u w:val="single" w:color="auto"/>
          <w:color w:val="008000"/>
          <w:strike w:val="1"/>
        </w:rPr>
        <w:t>zero for purposes of this Agreement</w:t>
      </w:r>
      <w:r>
        <w:rPr>
          <w:rFonts w:ascii="Arial" w:cs="Arial" w:eastAsia="Arial" w:hAnsi="Arial"/>
          <w:sz w:val="16"/>
          <w:szCs w:val="16"/>
          <w:u w:val="single" w:color="auto"/>
          <w:color w:val="0000E1"/>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-1110615</wp:posOffset>
            </wp:positionV>
            <wp:extent cx="4318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5432425</wp:posOffset>
            </wp:positionH>
            <wp:positionV relativeFrom="paragraph">
              <wp:posOffset>-973455</wp:posOffset>
            </wp:positionV>
            <wp:extent cx="46291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-699135</wp:posOffset>
            </wp:positionV>
            <wp:extent cx="27774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7774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-561975</wp:posOffset>
            </wp:positionV>
            <wp:extent cx="65747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5783580</wp:posOffset>
            </wp:positionH>
            <wp:positionV relativeFrom="paragraph">
              <wp:posOffset>-424815</wp:posOffset>
            </wp:positionV>
            <wp:extent cx="105410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-287655</wp:posOffset>
            </wp:positionV>
            <wp:extent cx="316293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162935"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-13335</wp:posOffset>
            </wp:positionV>
            <wp:extent cx="121729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-13335</wp:posOffset>
            </wp:positionV>
            <wp:extent cx="22288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-13335</wp:posOffset>
            </wp:positionV>
            <wp:extent cx="2540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46"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Financial Covenant Suspension Period</w:t>
      </w:r>
      <w:r>
        <w:rPr>
          <w:rFonts w:ascii="Arial" w:cs="Arial" w:eastAsia="Arial" w:hAnsi="Arial"/>
          <w:sz w:val="18"/>
          <w:szCs w:val="18"/>
          <w:u w:val="single" w:color="auto"/>
          <w:color w:val="0000E1"/>
        </w:rPr>
        <w:t>” means the period from the First Amendment Effective Date until the date financial statements are required to be delivered for the fiscal quarter of the Borrower ending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40334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398589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15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u w:val="single" w:color="auto"/>
          <w:color w:val="0000E1"/>
        </w:rPr>
        <w:t>“</w:t>
      </w:r>
      <w:r>
        <w:rPr>
          <w:rFonts w:ascii="Arial" w:cs="Arial" w:eastAsia="Arial" w:hAnsi="Arial"/>
          <w:sz w:val="18"/>
          <w:szCs w:val="18"/>
          <w:i w:val="1"/>
          <w:iCs w:val="1"/>
          <w:u w:val="single" w:color="auto"/>
          <w:color w:val="0000E1"/>
        </w:rPr>
        <w:t>First Amendment</w:t>
      </w:r>
      <w:r>
        <w:rPr>
          <w:rFonts w:ascii="Arial" w:cs="Arial" w:eastAsia="Arial" w:hAnsi="Arial"/>
          <w:sz w:val="18"/>
          <w:szCs w:val="18"/>
          <w:u w:val="single" w:color="auto"/>
          <w:color w:val="0000E1"/>
        </w:rPr>
        <w:t>” means the First Amendment to Amended and Restated Credit Agreement, dated as of the First Amendment Effective Date, by and among the Borrower, each Lender party thereto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67766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377190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1"/>
        </w:rPr>
        <w:t>“</w:t>
      </w:r>
      <w:r>
        <w:rPr>
          <w:rFonts w:ascii="Arial" w:cs="Arial" w:eastAsia="Arial" w:hAnsi="Arial"/>
          <w:sz w:val="18"/>
          <w:szCs w:val="18"/>
          <w:i w:val="1"/>
          <w:iCs w:val="1"/>
          <w:u w:val="single" w:color="auto"/>
          <w:color w:val="0000E1"/>
        </w:rPr>
        <w:t>First Amendment Effective Date</w:t>
      </w:r>
      <w:r>
        <w:rPr>
          <w:rFonts w:ascii="Arial" w:cs="Arial" w:eastAsia="Arial" w:hAnsi="Arial"/>
          <w:sz w:val="18"/>
          <w:szCs w:val="18"/>
          <w:u w:val="single" w:color="auto"/>
          <w:color w:val="0000E1"/>
        </w:rPr>
        <w:t>” means April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260604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Fiscal Year</w:t>
      </w:r>
      <w:r>
        <w:rPr>
          <w:rFonts w:ascii="Arial" w:cs="Arial" w:eastAsia="Arial" w:hAnsi="Arial"/>
          <w:sz w:val="18"/>
          <w:szCs w:val="18"/>
          <w:color w:val="auto"/>
        </w:rPr>
        <w:t xml:space="preserve">” </w:t>
      </w:r>
      <w:r>
        <w:rPr>
          <w:rFonts w:ascii="Arial" w:cs="Arial" w:eastAsia="Arial" w:hAnsi="Arial"/>
          <w:sz w:val="18"/>
          <w:szCs w:val="18"/>
          <w:color w:val="FF0000"/>
          <w:strike w:val="1"/>
        </w:rPr>
        <w:t>shall</w:t>
      </w:r>
      <w:r>
        <w:rPr>
          <w:rFonts w:ascii="Arial" w:cs="Arial" w:eastAsia="Arial" w:hAnsi="Arial"/>
          <w:sz w:val="18"/>
          <w:szCs w:val="18"/>
          <w:color w:val="auto"/>
        </w:rPr>
        <w:t xml:space="preserve"> mean</w:t>
      </w:r>
      <w:r>
        <w:rPr>
          <w:rFonts w:ascii="Arial" w:cs="Arial" w:eastAsia="Arial" w:hAnsi="Arial"/>
          <w:sz w:val="18"/>
          <w:szCs w:val="18"/>
          <w:u w:val="single" w:color="auto"/>
          <w:color w:val="0000E1"/>
        </w:rPr>
        <w:t>s</w:t>
      </w:r>
      <w:r>
        <w:rPr>
          <w:rFonts w:ascii="Arial" w:cs="Arial" w:eastAsia="Arial" w:hAnsi="Arial"/>
          <w:sz w:val="18"/>
          <w:szCs w:val="18"/>
          <w:color w:val="auto"/>
        </w:rPr>
        <w:t xml:space="preserve"> the 12-month financial accounting period ending on each Sunday described in </w:t>
      </w:r>
      <w:r>
        <w:rPr>
          <w:rFonts w:ascii="Arial" w:cs="Arial" w:eastAsia="Arial" w:hAnsi="Arial"/>
          <w:sz w:val="18"/>
          <w:szCs w:val="18"/>
          <w:u w:val="single" w:color="auto"/>
          <w:color w:val="auto"/>
        </w:rPr>
        <w:t>Section 8.16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23495</wp:posOffset>
            </wp:positionV>
            <wp:extent cx="4318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008000"/>
          <w:strike w:val="1"/>
        </w:rPr>
        <w:t>“Fixed Charges” means, with reference to any period, without duplication, the sum of (a) the aggregate amount of Interest Expense paid or payable in cash during such period plus (b) the aggregate amount of scheduled principal payments of Total Funded Debt paid or payable in cash during such period, all calculated for such period for the Borrower and its Restricted Subsidiaries on a consolidated basis.</w:t>
      </w:r>
    </w:p>
    <w:p>
      <w:pPr>
        <w:spacing w:after="0" w:line="16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008000"/>
          <w:strike w:val="1"/>
        </w:rPr>
        <w:t>For purposes of determining the amount of principal allocated to scheduled payments under Capital Leases under this definition, interest in respect of any Capital Lease of any Person shall be deemed to accrue at an interest rate reasonably determined by such Person to be the rate of interest implicit in such Capital Lease in accordance with GAAP.</w:t>
      </w:r>
    </w:p>
    <w:p>
      <w:pPr>
        <w:spacing w:after="0" w:line="184"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 Coverage Ratio</w:t>
      </w:r>
      <w:r>
        <w:rPr>
          <w:rFonts w:ascii="Arial" w:cs="Arial" w:eastAsia="Arial" w:hAnsi="Arial"/>
          <w:sz w:val="18"/>
          <w:szCs w:val="18"/>
          <w:color w:val="auto"/>
        </w:rPr>
        <w:t xml:space="preserve">” means as of any date of determination, the ratio of (a)(i) EBITDA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Maintenance Capital Expenditures (except to the extent financed with the proceeds of long term Indebtedness for Borrowed Money (other than the Revolving Loans)),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(iii) the aggregate amount of taxes paid or payable in cash during such period </w:t>
      </w:r>
      <w:r>
        <w:rPr>
          <w:rFonts w:ascii="Arial" w:cs="Arial" w:eastAsia="Arial" w:hAnsi="Arial"/>
          <w:sz w:val="18"/>
          <w:szCs w:val="18"/>
          <w:i w:val="1"/>
          <w:iCs w:val="1"/>
          <w:color w:val="auto"/>
        </w:rPr>
        <w:t>minus</w:t>
      </w:r>
      <w:r>
        <w:rPr>
          <w:rFonts w:ascii="Arial" w:cs="Arial" w:eastAsia="Arial" w:hAnsi="Arial"/>
          <w:sz w:val="18"/>
          <w:szCs w:val="18"/>
          <w:color w:val="auto"/>
        </w:rPr>
        <w:t xml:space="preserve"> (iv) the aggregate amount of Restricted Payments actually made in cash during such period (which Restricted Payment deduction shall not apply if (i) the Total Leverage Ratio, as of the last day of and for such period, is less than 2.50:1.00 after giving effect to any Borrowing of Revolving Loans and (ii) the Cash Availability after giving effect to such Restricted Payment is equal to or exceeds $75,000,000) to (b) Fixed Charges of the Restricted Group for the period of four consecutive fiscal quarters most recently ended on or prior to such date.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120" w:name="page121"/>
    <w:bookmarkEnd w:id="120"/>
    <w:p>
      <w:pPr>
        <w:ind w:right="120" w:firstLine="440"/>
        <w:spacing w:after="0" w:line="286" w:lineRule="auto"/>
        <w:rPr>
          <w:sz w:val="20"/>
          <w:szCs w:val="20"/>
          <w:color w:val="auto"/>
        </w:rPr>
      </w:pPr>
      <w:r>
        <w:rPr>
          <w:rFonts w:ascii="Arial" w:cs="Arial" w:eastAsia="Arial" w:hAnsi="Arial"/>
          <w:sz w:val="17"/>
          <w:szCs w:val="17"/>
          <w:u w:val="single" w:color="auto"/>
          <w:color w:val="008000"/>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“Fixed Charges” means, with reference to any period, without duplication, the sum of (a) the aggregate amount of Interest Expense paid or payable in cash during such period plus (b) the aggregate amount of scheduled principal payments of Total Funded Debt paid or payable in cash during such period, all calculated for such period for the Borrower and its Restricted Subsidiaries on a consolidated basis.</w:t>
      </w:r>
    </w:p>
    <w:p>
      <w:pPr>
        <w:spacing w:after="0" w:line="16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u w:val="single" w:color="auto"/>
          <w:color w:val="008000"/>
        </w:rPr>
        <w:t>For purposes of determining the amount of principal allocated to scheduled payments under Capital Leases under this definition, interest in respect of any Capital Lease of any Person shall be deemed to accrue at an interest rate reasonably determined by such Person to be the rate of interest implicit in such Capital Lease in accordance with GAAP.</w:t>
      </w:r>
    </w:p>
    <w:p>
      <w:pPr>
        <w:spacing w:after="0" w:line="184"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Subsidiary</w:t>
      </w:r>
      <w:r>
        <w:rPr>
          <w:rFonts w:ascii="Arial" w:cs="Arial" w:eastAsia="Arial" w:hAnsi="Arial"/>
          <w:sz w:val="17"/>
          <w:szCs w:val="17"/>
          <w:color w:val="auto"/>
        </w:rPr>
        <w:t>” means any direct or indirect Restricted Subsidiary of the Borrower organized under the laws of any jurisdiction other than the United States of America, any state thereof or the District of Columbia (and including a Restricted Subsidiary of such a Subsidiary).</w:t>
      </w:r>
    </w:p>
    <w:p>
      <w:pPr>
        <w:spacing w:after="0" w:line="146"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Funds Transfer, Deposit Account Liability and Foreign LCs</w:t>
      </w:r>
      <w:r>
        <w:rPr>
          <w:rFonts w:ascii="Arial" w:cs="Arial" w:eastAsia="Arial" w:hAnsi="Arial"/>
          <w:sz w:val="16"/>
          <w:szCs w:val="16"/>
          <w:color w:val="auto"/>
        </w:rPr>
        <w:t>” means the liability of the Borrower or any Guarantor or any Foreign Subsidiary owing to any Person who, at the time such liability or the agreement in respect thereof arose or was entered into, was the Administrative Agent, a Lender, or an Affiliate of the Administrative Agent or a Lender, arising out of (a) the execution or processing of electronic transfers of funds by automatic clearing house transfer, wire transfer or otherwise to or from deposit accounts of the Borrower and/or Guarantor and/or Foreign Subsidiary now or hereafter maintained with any of the Administrative Agent, a Lender or any of their Affiliates, (b) the acceptance for deposit or the honoring for payment of any check, draft or other item with respect to any such deposit accounts, (c) any other deposit, disbursement, and cash management services afforded to the Borrower or any Guarantor of any Foreign Subsidiary by any of the Administrative Agent, a Lender or any of their Affiliates, (d) any purchasing card or other type of credit card issued under a separate agreement by the Administrative Agent, a Lender or any of their Affiliates to Holdings, the Borrower or any of its Subsidiaries and (e) the drawing under any letter of credit issued by the Administrative Agent, a Lender or an Affiliate of the Administrative Agent or a Lender, for the account of a Foreign Subsidiary, and any fees and expenses incurred in connection therewith.</w:t>
      </w:r>
    </w:p>
    <w:p>
      <w:pPr>
        <w:spacing w:after="0" w:line="168"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subject however, to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and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each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and “</w:t>
      </w:r>
      <w:r>
        <w:rPr>
          <w:rFonts w:ascii="Arial" w:cs="Arial" w:eastAsia="Arial" w:hAnsi="Arial"/>
          <w:sz w:val="18"/>
          <w:szCs w:val="18"/>
          <w:i w:val="1"/>
          <w:iCs w:val="1"/>
          <w:color w:val="auto"/>
        </w:rPr>
        <w:t>Guarantors</w:t>
      </w:r>
      <w:r>
        <w:rPr>
          <w:rFonts w:ascii="Arial" w:cs="Arial" w:eastAsia="Arial" w:hAnsi="Arial"/>
          <w:sz w:val="18"/>
          <w:szCs w:val="18"/>
          <w:color w:val="auto"/>
        </w:rPr>
        <w:t xml:space="preserve">” each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Hazardous Material</w:t>
      </w:r>
      <w:r>
        <w:rPr>
          <w:rFonts w:ascii="Arial" w:cs="Arial" w:eastAsia="Arial" w:hAnsi="Arial"/>
          <w:sz w:val="16"/>
          <w:szCs w:val="16"/>
          <w:color w:val="auto"/>
        </w:rPr>
        <w:t>” means any substance, chemical, compound, product, solid, gas, liquid, waste, byproduct,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121" w:name="page122"/>
    <w:bookmarkEnd w:id="121"/>
    <w:p>
      <w:pPr>
        <w:ind w:left="4" w:right="5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Hazardous Material Activity</w:t>
      </w:r>
      <w:r>
        <w:rPr>
          <w:rFonts w:ascii="Arial" w:cs="Arial" w:eastAsia="Arial" w:hAnsi="Arial"/>
          <w:sz w:val="18"/>
          <w:szCs w:val="18"/>
          <w:color w:val="auto"/>
        </w:rPr>
        <w:t>” means any activity, event or occurrence involving a Hazardous Material, including, without limitation, the manufacture, possession, presence, use, generation, transportation, treatment, storage, disposal, Release, threatened Release, abatement, removal, remediation, handling of or corrective or response action to any Hazardous Material.</w:t>
      </w:r>
    </w:p>
    <w:p>
      <w:pPr>
        <w:spacing w:after="0" w:line="184"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Hedging Liability</w:t>
      </w:r>
      <w:r>
        <w:rPr>
          <w:rFonts w:ascii="Arial" w:cs="Arial" w:eastAsia="Arial" w:hAnsi="Arial"/>
          <w:sz w:val="17"/>
          <w:szCs w:val="17"/>
          <w:color w:val="auto"/>
        </w:rPr>
        <w:t>” means the liability of the Borrower or any Guarantor, or any Foreign Subsidiary that is an ECP, or any Foreign Subsidiary that is not an ECP (solely with respect to spot foreign exchange transactions), to any Person who, at the time the agreement giving rise to such liability was entered into, was the Administrative Agent, a Lender, or an Affiliate of the Administrative Agent or a Lender, in respect of any interest rate and/or foreign currency swap, exchange, cap, collar, floor, forward, future or option agreement, or any other similar interest rate or currency hedging arrangement, in each case not entered into for speculative purposes, as the Borrower or any Guarantor, as the case may be, may from time to time enter into with any such Person, other than (and excluding) all Excluded Swap Obligations.</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Holdings</w:t>
      </w:r>
      <w:r>
        <w:rPr>
          <w:rFonts w:ascii="Arial" w:cs="Arial" w:eastAsia="Arial" w:hAnsi="Arial"/>
          <w:sz w:val="18"/>
          <w:szCs w:val="18"/>
          <w:color w:val="auto"/>
        </w:rPr>
        <w:t>” is defined in the introductory paragraph of this Agreement.</w:t>
      </w:r>
    </w:p>
    <w:p>
      <w:pPr>
        <w:spacing w:after="0" w:line="225"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Hostile Acquisition</w:t>
      </w:r>
      <w:r>
        <w:rPr>
          <w:rFonts w:ascii="Arial" w:cs="Arial" w:eastAsia="Arial" w:hAnsi="Arial"/>
          <w:sz w:val="18"/>
          <w:szCs w:val="18"/>
          <w:color w:val="auto"/>
        </w:rPr>
        <w:t>” means the acquisition of the Equity Interests of a Person through a tender offer or similar solicitation of the owners of such Equity Interests which has not been approved (prior to such acquisition) by resolutions of the Board of Directors of such Person or by similar action if such Person is not a corporation, and as to which such approval has not been withdrawn.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Immaterial Subordinated Debt</w:t>
      </w:r>
      <w:r>
        <w:rPr>
          <w:rFonts w:ascii="Arial" w:cs="Arial" w:eastAsia="Arial" w:hAnsi="Arial"/>
          <w:sz w:val="18"/>
          <w:szCs w:val="18"/>
          <w:color w:val="auto"/>
        </w:rPr>
        <w:t>” means Subordinated Debt the principal amount of which does not exceed the Threshold Amount.</w:t>
      </w:r>
    </w:p>
    <w:p>
      <w:pPr>
        <w:spacing w:after="0" w:line="225" w:lineRule="exact"/>
        <w:rPr>
          <w:sz w:val="20"/>
          <w:szCs w:val="20"/>
          <w:color w:val="auto"/>
        </w:rPr>
      </w:pPr>
    </w:p>
    <w:p>
      <w:pPr>
        <w:ind w:left="4" w:right="18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of determination, any Domestic Wholly -owned Subsidiary of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total assets of all Immaterial Subsidiaries, determined in accordance with GAAP (without giving effect to the adoption of ASC 2016-02 or any other change in GAAP or the application or interpretation thereof pertaining to the treatment of leases if such change would require treating any lease (or similar arrangement conveying the right to use) as a capital lease where such lease (or similar arrangement) was not required to be so treated under GAAP as in effect on the Closing Date), shall not exceed 5.0% of the Consolidated Total Assets of the Borrower and its Restricted Subsidiaries and</w:t>
      </w:r>
    </w:p>
    <w:p>
      <w:pPr>
        <w:spacing w:after="0" w:line="2" w:lineRule="exact"/>
        <w:rPr>
          <w:sz w:val="20"/>
          <w:szCs w:val="20"/>
          <w:color w:val="auto"/>
        </w:rPr>
      </w:pPr>
    </w:p>
    <w:p>
      <w:pPr>
        <w:ind w:left="4" w:right="680" w:hanging="4"/>
        <w:spacing w:after="0" w:line="260" w:lineRule="auto"/>
        <w:tabs>
          <w:tab w:leader="none" w:pos="26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EBITDA of all Immaterial Subsidiaries, calculated on a Pro Forma Basis, shall not exceed 5.0% of the EBITDA of the Borrower and its Restricted Subsidiaries. The Immaterial Subsidiaries as of the Closing Date are listed on </w:t>
      </w:r>
      <w:r>
        <w:rPr>
          <w:rFonts w:ascii="Arial" w:cs="Arial" w:eastAsia="Arial" w:hAnsi="Arial"/>
          <w:sz w:val="18"/>
          <w:szCs w:val="18"/>
          <w:u w:val="single" w:color="auto"/>
          <w:color w:val="auto"/>
        </w:rPr>
        <w:t>Schedule 5.1(a)</w:t>
      </w:r>
      <w:r>
        <w:rPr>
          <w:rFonts w:ascii="Arial" w:cs="Arial" w:eastAsia="Arial" w:hAnsi="Arial"/>
          <w:sz w:val="18"/>
          <w:szCs w:val="18"/>
          <w:color w:val="auto"/>
        </w:rPr>
        <w:t>.</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Increased Amount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u w:val="single" w:color="auto"/>
          <w:color w:val="0000E1"/>
        </w:rPr>
        <w:t>(a)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23495</wp:posOffset>
            </wp:positionV>
            <wp:extent cx="12890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Incremental Equivalent Debt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0000E1"/>
        </w:rPr>
        <w:t>Section</w:t>
      </w:r>
      <w:r>
        <w:rPr>
          <w:rFonts w:ascii="Arial" w:cs="Arial" w:eastAsia="Arial" w:hAnsi="Arial"/>
          <w:sz w:val="18"/>
          <w:szCs w:val="18"/>
          <w:color w:val="auto"/>
        </w:rPr>
        <w:t xml:space="preserve"> 8.7(o)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23495</wp:posOffset>
            </wp:positionV>
            <wp:extent cx="3429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2667635</wp:posOffset>
            </wp:positionH>
            <wp:positionV relativeFrom="paragraph">
              <wp:posOffset>-10160</wp:posOffset>
            </wp:positionV>
            <wp:extent cx="30480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04800" cy="8255"/>
                    </a:xfrm>
                    <a:prstGeom prst="rect">
                      <a:avLst/>
                    </a:prstGeom>
                    <a:noFill/>
                  </pic:spPr>
                </pic:pic>
              </a:graphicData>
            </a:graphic>
          </wp:anchor>
        </w:drawing>
      </w:r>
    </w:p>
    <w:p>
      <w:pPr>
        <w:spacing w:after="0" w:line="205"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 for Borrowed Money</w:t>
      </w:r>
      <w:r>
        <w:rPr>
          <w:rFonts w:ascii="Arial" w:cs="Arial" w:eastAsia="Arial" w:hAnsi="Arial"/>
          <w:sz w:val="18"/>
          <w:szCs w:val="18"/>
          <w:color w:val="auto"/>
        </w:rPr>
        <w:t>” means, for any Person (without duplication) (a) all indebtedness created, assumed or incurred in any manner by such Person representing borrowed money (including by the issuance of debt securities), (b) all indebtedness for the deferred purchase price of property or services (other than (i) trade accounts payable and other accrued expenses arising in the ordinary course of business, (ii) amounts owing in respect of employee benefits, (iii) amounts owing in respect of deferred compensation, (iv) Earnout Payments, (v) amounts owing in respect of working capital adjustments or purchase price adjustments in connection with any Acquisitions and (vi) royalty payments made in the ordinary course of business), (c) all indebtedness (excluding prepaid interest thereon) secured by any Lien upon Property of such Person, whether or not such Person has assumed or become liable for the payment</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4"/>
          </w:cols>
          <w:pgMar w:left="436" w:top="274" w:right="459" w:bottom="1440" w:gutter="0" w:footer="0" w:header="0"/>
        </w:sectPr>
      </w:pPr>
    </w:p>
    <w:bookmarkStart w:id="122" w:name="page123"/>
    <w:bookmarkEnd w:id="122"/>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such indebtedness, (d) all Capitalized Lease Obligations of such Person, (e) all obligations of such Person to purchase, redeem, retire or otherwise make a payment with respect to any Disqualified Stock and (f) all obligations of such Person on or with respect to letters of credit, bankers’ acceptances and other extensions of credit whether or not representing obligations for borrowed money. The amount of Indebtedness for Borrowed Money of any Person at any date shall be without duplication (i) in the case of Indebtedness for Borrowed Money in which the holder of such Indebtedness for Borrowed Money has contractually agreed to limit its repayment to a particular asset or assets, the lesser of the fair market value of such assets or assets as of such date and the aggregate principal amount of such Indebtedness for Borrowed Money and (ii) in the case of Indebtedness for Borrowed Money of others secured by a Lien to which the property or assets owned or held by such Person is subject, the lesser of fair market value at such date of any asset subject to a Lien securing the Indebtedness for Borrowed Money of others and the amount of the Indebtedness for Borrowed Money secured.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Person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13.15</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u w:val="single" w:color="auto"/>
          <w:color w:val="0000E1"/>
        </w:rPr>
        <w:t>(a)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23495</wp:posOffset>
            </wp:positionV>
            <wp:extent cx="12827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Taxes</w:t>
      </w:r>
      <w:r>
        <w:rPr>
          <w:rFonts w:ascii="Arial" w:cs="Arial" w:eastAsia="Arial" w:hAnsi="Arial"/>
          <w:sz w:val="18"/>
          <w:szCs w:val="18"/>
          <w:color w:val="auto"/>
        </w:rPr>
        <w:t xml:space="preserve">” means taxes (including interest and penalties thereon), other than Excluded Taxes, imposed on or with respect to any payment made by or on account of any obligation of any Loan Party under any Loan Document and taxes (including interest and penalties thereon) covered by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184"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Insolvency Laws</w:t>
      </w:r>
      <w:r>
        <w:rPr>
          <w:rFonts w:ascii="Arial" w:cs="Arial" w:eastAsia="Arial" w:hAnsi="Arial"/>
          <w:sz w:val="17"/>
          <w:szCs w:val="17"/>
          <w:color w:val="auto"/>
        </w:rPr>
        <w:t xml:space="preserve">” </w:t>
      </w:r>
      <w:r>
        <w:rPr>
          <w:rFonts w:ascii="Arial" w:cs="Arial" w:eastAsia="Arial" w:hAnsi="Arial"/>
          <w:sz w:val="17"/>
          <w:szCs w:val="17"/>
          <w:color w:val="FF0000"/>
          <w:strike w:val="1"/>
        </w:rPr>
        <w:t>shall</w:t>
      </w:r>
      <w:r>
        <w:rPr>
          <w:rFonts w:ascii="Arial" w:cs="Arial" w:eastAsia="Arial" w:hAnsi="Arial"/>
          <w:sz w:val="17"/>
          <w:szCs w:val="17"/>
          <w:color w:val="auto"/>
        </w:rPr>
        <w:t xml:space="preserve"> mean</w:t>
      </w:r>
      <w:r>
        <w:rPr>
          <w:rFonts w:ascii="Arial" w:cs="Arial" w:eastAsia="Arial" w:hAnsi="Arial"/>
          <w:sz w:val="17"/>
          <w:szCs w:val="17"/>
          <w:u w:val="single" w:color="auto"/>
          <w:color w:val="0000E1"/>
        </w:rPr>
        <w:t>s</w:t>
      </w:r>
      <w:r>
        <w:rPr>
          <w:rFonts w:ascii="Arial" w:cs="Arial" w:eastAsia="Arial" w:hAnsi="Arial"/>
          <w:sz w:val="17"/>
          <w:szCs w:val="17"/>
          <w:color w:val="auto"/>
        </w:rPr>
        <w:t xml:space="preserve"> the Bankruptcy Code of the United States, and all other insolvency, bankruptcy, receivership, liquidation, conservatorship, assignment for the benefit of creditors, moratorium, rearrangement, reorganization, or similar Legal Requirements of the United States or other applicable jurisdictions from time to time in effect and affecting the rights of creditors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-288290</wp:posOffset>
            </wp:positionV>
            <wp:extent cx="4318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Class</w:t>
      </w:r>
      <w:r>
        <w:rPr>
          <w:rFonts w:ascii="Arial" w:cs="Arial" w:eastAsia="Arial" w:hAnsi="Arial"/>
          <w:sz w:val="18"/>
          <w:szCs w:val="18"/>
          <w:color w:val="auto"/>
        </w:rPr>
        <w:t>” and “</w:t>
      </w:r>
      <w:r>
        <w:rPr>
          <w:rFonts w:ascii="Arial" w:cs="Arial" w:eastAsia="Arial" w:hAnsi="Arial"/>
          <w:sz w:val="18"/>
          <w:szCs w:val="18"/>
          <w:i w:val="1"/>
          <w:iCs w:val="1"/>
          <w:color w:val="auto"/>
        </w:rPr>
        <w:t>Initial Classes</w:t>
      </w:r>
      <w:r>
        <w:rPr>
          <w:rFonts w:ascii="Arial" w:cs="Arial" w:eastAsia="Arial" w:hAnsi="Arial"/>
          <w:sz w:val="18"/>
          <w:szCs w:val="18"/>
          <w:color w:val="auto"/>
        </w:rPr>
        <w:t xml:space="preserve">” </w:t>
      </w:r>
      <w:r>
        <w:rPr>
          <w:rFonts w:ascii="Arial" w:cs="Arial" w:eastAsia="Arial" w:hAnsi="Arial"/>
          <w:sz w:val="18"/>
          <w:szCs w:val="18"/>
          <w:color w:val="FF0000"/>
          <w:strike w:val="1"/>
        </w:rPr>
        <w:t>have the meanings specified</w:t>
      </w:r>
      <w:r>
        <w:rPr>
          <w:rFonts w:ascii="Arial" w:cs="Arial" w:eastAsia="Arial" w:hAnsi="Arial"/>
          <w:sz w:val="18"/>
          <w:szCs w:val="18"/>
          <w:u w:val="single" w:color="auto"/>
          <w:color w:val="0000E1"/>
        </w:rPr>
        <w:t>is defined</w:t>
      </w:r>
      <w:r>
        <w:rPr>
          <w:rFonts w:ascii="Arial" w:cs="Arial" w:eastAsia="Arial" w:hAnsi="Arial"/>
          <w:sz w:val="18"/>
          <w:szCs w:val="18"/>
          <w:color w:val="auto"/>
        </w:rPr>
        <w:t xml:space="preserve"> in the definition of </w:t>
      </w:r>
      <w:r>
        <w:rPr>
          <w:rFonts w:ascii="Arial" w:cs="Arial" w:eastAsia="Arial" w:hAnsi="Arial"/>
          <w:sz w:val="18"/>
          <w:szCs w:val="18"/>
          <w:u w:val="single" w:color="auto"/>
          <w:color w:val="0000E1"/>
        </w:rPr>
        <w:t>the term</w:t>
      </w:r>
      <w:r>
        <w:rPr>
          <w:rFonts w:ascii="Arial" w:cs="Arial" w:eastAsia="Arial" w:hAnsi="Arial"/>
          <w:sz w:val="18"/>
          <w:szCs w:val="18"/>
          <w:color w:val="auto"/>
        </w:rPr>
        <w:t xml:space="preserve"> “Class” </w:t>
      </w:r>
      <w:r>
        <w:rPr>
          <w:rFonts w:ascii="Arial" w:cs="Arial" w:eastAsia="Arial" w:hAnsi="Arial"/>
          <w:sz w:val="18"/>
          <w:szCs w:val="18"/>
          <w:color w:val="FF0000"/>
        </w:rPr>
        <w:t>in this Section 5.1</w:t>
      </w:r>
      <w:r>
        <w:rPr>
          <w:rFonts w:ascii="Arial" w:cs="Arial" w:eastAsia="Arial" w:hAnsi="Arial"/>
          <w:sz w:val="18"/>
          <w:szCs w:val="18"/>
          <w:u w:val="single" w:color="auto"/>
          <w:color w:val="0000E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23495</wp:posOffset>
            </wp:positionV>
            <wp:extent cx="44577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4600575</wp:posOffset>
            </wp:positionH>
            <wp:positionV relativeFrom="paragraph">
              <wp:posOffset>23495</wp:posOffset>
            </wp:positionV>
            <wp:extent cx="3771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5353050</wp:posOffset>
            </wp:positionH>
            <wp:positionV relativeFrom="paragraph">
              <wp:posOffset>-53340</wp:posOffset>
            </wp:positionV>
            <wp:extent cx="85344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5344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23495</wp:posOffset>
            </wp:positionV>
            <wp:extent cx="342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Intellectual Property</w:t>
      </w:r>
      <w:r>
        <w:rPr>
          <w:rFonts w:ascii="Arial" w:cs="Arial" w:eastAsia="Arial" w:hAnsi="Arial"/>
          <w:sz w:val="17"/>
          <w:szCs w:val="17"/>
          <w:color w:val="auto"/>
        </w:rPr>
        <w:t>” means patents, trademarks, service marks, trade names, trade styles, trade dress, logos, slogans, copyrights, domain names (and all applications for registration and registrations of all of the foregoing), software, source and object code, trade secrets, know how, and confidential commercial and proprietary information, and all other intellectual property and similar proprietary rights anywhere in the world.</w:t>
      </w:r>
    </w:p>
    <w:p>
      <w:pPr>
        <w:spacing w:after="0" w:line="16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Expense</w:t>
      </w:r>
      <w:r>
        <w:rPr>
          <w:rFonts w:ascii="Arial" w:cs="Arial" w:eastAsia="Arial" w:hAnsi="Arial"/>
          <w:sz w:val="18"/>
          <w:szCs w:val="18"/>
          <w:color w:val="auto"/>
        </w:rPr>
        <w:t>” means, with reference to any period, the sum of all interest charges (including imputed interest charges with respect to Capitalized Lease Obligations and all amortization of debt discount and expense) of the Restricted Group for such period determined on a consolidated basis in accordance with GAAP.</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Period</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Investment Affiliate</w:t>
      </w:r>
      <w:r>
        <w:rPr>
          <w:rFonts w:ascii="Arial" w:cs="Arial" w:eastAsia="Arial" w:hAnsi="Arial"/>
          <w:sz w:val="17"/>
          <w:szCs w:val="17"/>
          <w:color w:val="auto"/>
        </w:rPr>
        <w:t>” means, (i)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Borrower and/or other companies and (ii) as to any individual, such individual’s child, stepchild, grandchild or more remote descendant, parent, stepparent, grandparent, spouse, former spouse, current or former domestic partner, sibling, mother-in-law, father-in-law, son-in-law and daughter-in-law (including adoptive relationships), estate, heirs, permitted assigns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440" w:top="274" w:right="439" w:bottom="1440" w:gutter="0" w:footer="0" w:header="0"/>
        </w:sectPr>
      </w:pPr>
    </w:p>
    <w:bookmarkStart w:id="123" w:name="page124"/>
    <w:bookmarkEnd w:id="123"/>
    <w:p>
      <w:pPr>
        <w:ind w:left="4" w:right="3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ISP</w:t>
      </w:r>
      <w:r>
        <w:rPr>
          <w:rFonts w:ascii="Arial" w:cs="Arial" w:eastAsia="Arial" w:hAnsi="Arial"/>
          <w:sz w:val="18"/>
          <w:szCs w:val="18"/>
          <w:color w:val="auto"/>
        </w:rPr>
        <w:t>” means</w:t>
      </w:r>
      <w:r>
        <w:rPr>
          <w:rFonts w:ascii="Arial" w:cs="Arial" w:eastAsia="Arial" w:hAnsi="Arial"/>
          <w:sz w:val="18"/>
          <w:szCs w:val="18"/>
          <w:color w:val="FF0000"/>
          <w:strike w:val="1"/>
        </w:rPr>
        <w:t>, with respect to any Letter of Credit, the “</w:t>
      </w:r>
      <w:r>
        <w:rPr>
          <w:rFonts w:ascii="Arial" w:cs="Arial" w:eastAsia="Arial" w:hAnsi="Arial"/>
          <w:sz w:val="18"/>
          <w:szCs w:val="18"/>
          <w:color w:val="auto"/>
        </w:rPr>
        <w:t xml:space="preserve"> </w:t>
      </w:r>
      <w:r>
        <w:rPr>
          <w:rFonts w:ascii="Arial" w:cs="Arial" w:eastAsia="Arial" w:hAnsi="Arial"/>
          <w:sz w:val="18"/>
          <w:szCs w:val="18"/>
          <w:u w:val="single" w:color="auto"/>
          <w:color w:val="0000E1"/>
        </w:rPr>
        <w:t>the</w:t>
      </w:r>
      <w:r>
        <w:rPr>
          <w:rFonts w:ascii="Arial" w:cs="Arial" w:eastAsia="Arial" w:hAnsi="Arial"/>
          <w:sz w:val="18"/>
          <w:szCs w:val="18"/>
          <w:color w:val="auto"/>
        </w:rPr>
        <w:t xml:space="preserve"> International Standby Practices </w:t>
      </w:r>
      <w:r>
        <w:rPr>
          <w:rFonts w:ascii="Arial" w:cs="Arial" w:eastAsia="Arial" w:hAnsi="Arial"/>
          <w:sz w:val="18"/>
          <w:szCs w:val="18"/>
          <w:color w:val="FF0000"/>
          <w:strike w:val="1"/>
        </w:rPr>
        <w:t>1998” published by the Institute of</w:t>
      </w:r>
      <w:r>
        <w:rPr>
          <w:rFonts w:ascii="Arial" w:cs="Arial" w:eastAsia="Arial" w:hAnsi="Arial"/>
          <w:sz w:val="18"/>
          <w:szCs w:val="18"/>
          <w:u w:val="single" w:color="auto"/>
          <w:color w:val="0000E1"/>
        </w:rPr>
        <w:t>,</w:t>
      </w:r>
      <w:r>
        <w:rPr>
          <w:rFonts w:ascii="Arial" w:cs="Arial" w:eastAsia="Arial" w:hAnsi="Arial"/>
          <w:sz w:val="18"/>
          <w:szCs w:val="18"/>
          <w:color w:val="auto"/>
        </w:rPr>
        <w:t xml:space="preserve"> International </w:t>
      </w:r>
      <w:r>
        <w:rPr>
          <w:rFonts w:ascii="Arial" w:cs="Arial" w:eastAsia="Arial" w:hAnsi="Arial"/>
          <w:sz w:val="18"/>
          <w:szCs w:val="18"/>
          <w:color w:val="FF0000"/>
          <w:strike w:val="1"/>
        </w:rPr>
        <w:t>Banking Law &amp; Practice, Inc.</w:t>
      </w:r>
      <w:r>
        <w:rPr>
          <w:rFonts w:ascii="Arial" w:cs="Arial" w:eastAsia="Arial" w:hAnsi="Arial"/>
          <w:sz w:val="18"/>
          <w:szCs w:val="18"/>
          <w:u w:val="single" w:color="auto"/>
          <w:color w:val="0000E1"/>
        </w:rPr>
        <w:t>Chamber of Commerce Publication No. 590</w:t>
      </w:r>
      <w:r>
        <w:rPr>
          <w:rFonts w:ascii="Arial" w:cs="Arial" w:eastAsia="Arial" w:hAnsi="Arial"/>
          <w:sz w:val="18"/>
          <w:szCs w:val="18"/>
          <w:color w:val="FF0000"/>
        </w:rPr>
        <w:t xml:space="preserve"> </w:t>
      </w:r>
      <w:r>
        <w:rPr>
          <w:rFonts w:ascii="Arial" w:cs="Arial" w:eastAsia="Arial" w:hAnsi="Arial"/>
          <w:sz w:val="18"/>
          <w:szCs w:val="18"/>
          <w:color w:val="000000"/>
        </w:rPr>
        <w:t>(or such later version thereof as may be in effect at the</w:t>
      </w:r>
      <w:r>
        <w:rPr>
          <w:rFonts w:ascii="Arial" w:cs="Arial" w:eastAsia="Arial" w:hAnsi="Arial"/>
          <w:sz w:val="18"/>
          <w:szCs w:val="18"/>
          <w:color w:val="FF0000"/>
        </w:rPr>
        <w:t xml:space="preserve"> </w:t>
      </w:r>
      <w:r>
        <w:rPr>
          <w:rFonts w:ascii="Arial" w:cs="Arial" w:eastAsia="Arial" w:hAnsi="Arial"/>
          <w:sz w:val="18"/>
          <w:szCs w:val="18"/>
          <w:u w:val="single" w:color="auto"/>
          <w:color w:val="0000E1"/>
        </w:rPr>
        <w:t>applicable</w:t>
      </w:r>
      <w:r>
        <w:rPr>
          <w:rFonts w:ascii="Arial" w:cs="Arial" w:eastAsia="Arial" w:hAnsi="Arial"/>
          <w:sz w:val="18"/>
          <w:szCs w:val="18"/>
          <w:color w:val="FF0000"/>
        </w:rPr>
        <w:t xml:space="preserve"> </w:t>
      </w:r>
      <w:r>
        <w:rPr>
          <w:rFonts w:ascii="Arial" w:cs="Arial" w:eastAsia="Arial" w:hAnsi="Arial"/>
          <w:sz w:val="18"/>
          <w:szCs w:val="18"/>
          <w:color w:val="000000"/>
        </w:rPr>
        <w:t>time</w:t>
      </w:r>
      <w:r>
        <w:rPr>
          <w:rFonts w:ascii="Arial" w:cs="Arial" w:eastAsia="Arial" w:hAnsi="Arial"/>
          <w:sz w:val="18"/>
          <w:szCs w:val="18"/>
          <w:color w:val="FF0000"/>
        </w:rPr>
        <w:t xml:space="preserve"> of </w:t>
      </w:r>
      <w:r>
        <w:rPr>
          <w:rFonts w:ascii="Arial" w:cs="Arial" w:eastAsia="Arial" w:hAnsi="Arial"/>
          <w:sz w:val="18"/>
          <w:szCs w:val="18"/>
          <w:color w:val="FF0000"/>
          <w:strike w:val="1"/>
        </w:rPr>
        <w:t>issuance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-276860</wp:posOffset>
            </wp:positionV>
            <wp:extent cx="16256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6043295</wp:posOffset>
            </wp:positionH>
            <wp:positionV relativeFrom="paragraph">
              <wp:posOffset>-276860</wp:posOffset>
            </wp:positionV>
            <wp:extent cx="342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1362710</wp:posOffset>
            </wp:positionH>
            <wp:positionV relativeFrom="paragraph">
              <wp:posOffset>-139700</wp:posOffset>
            </wp:positionV>
            <wp:extent cx="204851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048510" cy="8255"/>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-139700</wp:posOffset>
            </wp:positionV>
            <wp:extent cx="47117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471170" cy="8255"/>
                    </a:xfrm>
                    <a:prstGeom prst="rect">
                      <a:avLst/>
                    </a:prstGeom>
                    <a:noFill/>
                  </pic:spPr>
                </pic:pic>
              </a:graphicData>
            </a:graphic>
          </wp:anchor>
        </w:drawing>
        <w:drawing>
          <wp:anchor simplePos="0" relativeHeight="251657728" behindDoc="1" locked="0" layoutInCell="0" allowOverlap="1">
            <wp:simplePos x="0" y="0"/>
            <wp:positionH relativeFrom="column">
              <wp:posOffset>6628130</wp:posOffset>
            </wp:positionH>
            <wp:positionV relativeFrom="paragraph">
              <wp:posOffset>-216535</wp:posOffset>
            </wp:positionV>
            <wp:extent cx="12382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164"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 Documents</w:t>
      </w:r>
      <w:r>
        <w:rPr>
          <w:rFonts w:ascii="Arial" w:cs="Arial" w:eastAsia="Arial" w:hAnsi="Arial"/>
          <w:sz w:val="18"/>
          <w:szCs w:val="18"/>
          <w:color w:val="auto"/>
        </w:rPr>
        <w:t xml:space="preserve">” </w:t>
      </w:r>
      <w:r>
        <w:rPr>
          <w:rFonts w:ascii="Arial" w:cs="Arial" w:eastAsia="Arial" w:hAnsi="Arial"/>
          <w:sz w:val="18"/>
          <w:szCs w:val="18"/>
          <w:color w:val="FF0000"/>
          <w:strike w:val="1"/>
        </w:rPr>
        <w:t>shall</w:t>
      </w:r>
      <w:r>
        <w:rPr>
          <w:rFonts w:ascii="Arial" w:cs="Arial" w:eastAsia="Arial" w:hAnsi="Arial"/>
          <w:sz w:val="18"/>
          <w:szCs w:val="18"/>
          <w:color w:val="auto"/>
        </w:rPr>
        <w:t xml:space="preserve"> mean</w:t>
      </w:r>
      <w:r>
        <w:rPr>
          <w:rFonts w:ascii="Arial" w:cs="Arial" w:eastAsia="Arial" w:hAnsi="Arial"/>
          <w:sz w:val="18"/>
          <w:szCs w:val="18"/>
          <w:u w:val="single" w:color="auto"/>
          <w:color w:val="0000E1"/>
        </w:rPr>
        <w:t>s</w:t>
      </w:r>
      <w:r>
        <w:rPr>
          <w:rFonts w:ascii="Arial" w:cs="Arial" w:eastAsia="Arial" w:hAnsi="Arial"/>
          <w:sz w:val="18"/>
          <w:szCs w:val="18"/>
          <w:color w:val="auto"/>
        </w:rPr>
        <w:t xml:space="preserve"> with respect to any Letter of Credit, the Application for such Letter of Credit and any other document, agreement and instrument entered into by the L/C Issuer and the Borrower (or any Subsidiary) or in favor of the L/C Issuer and relating to such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1748790</wp:posOffset>
            </wp:positionH>
            <wp:positionV relativeFrom="paragraph">
              <wp:posOffset>-276860</wp:posOffset>
            </wp:positionV>
            <wp:extent cx="4318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 xml:space="preserve">” </w:t>
      </w:r>
      <w:r>
        <w:rPr>
          <w:rFonts w:ascii="Arial" w:cs="Arial" w:eastAsia="Arial" w:hAnsi="Arial"/>
          <w:sz w:val="18"/>
          <w:szCs w:val="18"/>
          <w:color w:val="FF0000"/>
          <w:strike w:val="1"/>
        </w:rPr>
        <w:t>has the meaning specified</w:t>
      </w:r>
      <w:r>
        <w:rPr>
          <w:rFonts w:ascii="Arial" w:cs="Arial" w:eastAsia="Arial" w:hAnsi="Arial"/>
          <w:sz w:val="18"/>
          <w:szCs w:val="18"/>
          <w:u w:val="single" w:color="auto"/>
          <w:color w:val="0000E1"/>
        </w:rPr>
        <w:t>is defined</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13.30</w:t>
      </w:r>
      <w:r>
        <w:rPr>
          <w:rFonts w:ascii="Arial" w:cs="Arial" w:eastAsia="Arial" w:hAnsi="Arial"/>
          <w:sz w:val="18"/>
          <w:szCs w:val="18"/>
          <w:u w:val="single" w:color="auto"/>
          <w:color w:val="0000E1"/>
        </w:rPr>
        <w:t>(a)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2494280</wp:posOffset>
            </wp:positionH>
            <wp:positionV relativeFrom="paragraph">
              <wp:posOffset>23495</wp:posOffset>
            </wp:positionV>
            <wp:extent cx="44577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3711575</wp:posOffset>
            </wp:positionH>
            <wp:positionV relativeFrom="paragraph">
              <wp:posOffset>23495</wp:posOffset>
            </wp:positionV>
            <wp:extent cx="12890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 Conversion</w:t>
      </w:r>
      <w:r>
        <w:rPr>
          <w:rFonts w:ascii="Arial" w:cs="Arial" w:eastAsia="Arial" w:hAnsi="Arial"/>
          <w:sz w:val="18"/>
          <w:szCs w:val="18"/>
          <w:color w:val="auto"/>
        </w:rPr>
        <w:t xml:space="preserve"> </w:t>
      </w:r>
      <w:r>
        <w:rPr>
          <w:rFonts w:ascii="Arial" w:cs="Arial" w:eastAsia="Arial" w:hAnsi="Arial"/>
          <w:sz w:val="18"/>
          <w:szCs w:val="18"/>
          <w:i w:val="1"/>
          <w:iCs w:val="1"/>
          <w:color w:val="FF0000"/>
          <w:strike w:val="1"/>
        </w:rPr>
        <w:t>R</w:t>
      </w:r>
      <w:r>
        <w:rPr>
          <w:rFonts w:ascii="Arial" w:cs="Arial" w:eastAsia="Arial" w:hAnsi="Arial"/>
          <w:sz w:val="18"/>
          <w:szCs w:val="18"/>
          <w:i w:val="1"/>
          <w:iCs w:val="1"/>
          <w:u w:val="single" w:color="auto"/>
          <w:color w:val="0000E1"/>
        </w:rPr>
        <w:t>D</w:t>
      </w:r>
      <w:r>
        <w:rPr>
          <w:rFonts w:ascii="Arial" w:cs="Arial" w:eastAsia="Arial" w:hAnsi="Arial"/>
          <w:sz w:val="18"/>
          <w:szCs w:val="18"/>
          <w:i w:val="1"/>
          <w:iCs w:val="1"/>
          <w:color w:val="auto"/>
        </w:rPr>
        <w:t>ate</w:t>
      </w:r>
      <w:r>
        <w:rPr>
          <w:rFonts w:ascii="Arial" w:cs="Arial" w:eastAsia="Arial" w:hAnsi="Arial"/>
          <w:sz w:val="18"/>
          <w:szCs w:val="18"/>
          <w:color w:val="auto"/>
        </w:rPr>
        <w:t xml:space="preserve">” </w:t>
      </w:r>
      <w:r>
        <w:rPr>
          <w:rFonts w:ascii="Arial" w:cs="Arial" w:eastAsia="Arial" w:hAnsi="Arial"/>
          <w:sz w:val="18"/>
          <w:szCs w:val="18"/>
          <w:color w:val="FF0000"/>
          <w:strike w:val="1"/>
        </w:rPr>
        <w:t>has the meaning specified</w:t>
      </w:r>
      <w:r>
        <w:rPr>
          <w:rFonts w:ascii="Arial" w:cs="Arial" w:eastAsia="Arial" w:hAnsi="Arial"/>
          <w:sz w:val="18"/>
          <w:szCs w:val="18"/>
          <w:u w:val="single" w:color="auto"/>
          <w:color w:val="0000E1"/>
        </w:rPr>
        <w:t>is defined</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13.30</w:t>
      </w:r>
      <w:r>
        <w:rPr>
          <w:rFonts w:ascii="Arial" w:cs="Arial" w:eastAsia="Arial" w:hAnsi="Arial"/>
          <w:sz w:val="18"/>
          <w:szCs w:val="18"/>
          <w:u w:val="single" w:color="auto"/>
          <w:color w:val="0000E1"/>
        </w:rPr>
        <w:t>(a)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23495</wp:posOffset>
            </wp:positionV>
            <wp:extent cx="7683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23495</wp:posOffset>
            </wp:positionV>
            <wp:extent cx="44577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23495</wp:posOffset>
            </wp:positionV>
            <wp:extent cx="12890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5"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L/C Issuer</w:t>
      </w:r>
      <w:r>
        <w:rPr>
          <w:rFonts w:ascii="Arial" w:cs="Arial" w:eastAsia="Arial" w:hAnsi="Arial"/>
          <w:sz w:val="16"/>
          <w:szCs w:val="16"/>
          <w:color w:val="auto"/>
        </w:rPr>
        <w:t>” means, as the context may require, (a) each of Bank of America, N.A. (directly or through its affiliates) and any Lender reasonably acceptable to the Administrative Agent and Borrower which agrees to issue Letters of Credit hereunder, with respect to Letters of Credit issued by it;</w:t>
      </w:r>
    </w:p>
    <w:p>
      <w:pPr>
        <w:ind w:left="4" w:right="80" w:hanging="4"/>
        <w:spacing w:after="0" w:line="252" w:lineRule="auto"/>
        <w:tabs>
          <w:tab w:leader="none" w:pos="25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any other Lender that may become an L/C Issuer pursuant to </w:t>
      </w:r>
      <w:r>
        <w:rPr>
          <w:rFonts w:ascii="Arial" w:cs="Arial" w:eastAsia="Arial" w:hAnsi="Arial"/>
          <w:sz w:val="18"/>
          <w:szCs w:val="18"/>
          <w:u w:val="single" w:color="auto"/>
          <w:color w:val="auto"/>
        </w:rPr>
        <w:t>Section 1.3(g)</w:t>
      </w:r>
      <w:r>
        <w:rPr>
          <w:rFonts w:ascii="Arial" w:cs="Arial" w:eastAsia="Arial" w:hAnsi="Arial"/>
          <w:sz w:val="18"/>
          <w:szCs w:val="18"/>
          <w:color w:val="auto"/>
        </w:rPr>
        <w:t xml:space="preserve"> with respect to Letters of Credit issued by such Lender; (c) any Lender (which is not a Defaulting Lender) appointed by the Borrower (with the consent of such Lender and the Administrative Agent) by notice to the Lenders as a replacement for any L/C Issuer, who at the time of such appointment is a Defaulting Lender and/or (d) collectively, all of the foregoing. Any L/C Issuer may, in its discretion, arrange for one or more Letters of Credit to be issued by one or more Affiliates of such L/C Issuer (and such Affiliate shall be deemed to be an “L/C Issuer” for all purposes of the Loan Documents). In the event that there is more than one L/C Issuer at any time, references herein and in the other Loan Documents to the L/C Issuer shall be deemed to refer to the L/C Issuer in respect of the applicable Letter of Credit or to all L/C Issuers,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6400165</wp:posOffset>
            </wp:positionH>
            <wp:positionV relativeFrom="paragraph">
              <wp:posOffset>-622300</wp:posOffset>
            </wp:positionV>
            <wp:extent cx="2857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-347980</wp:posOffset>
            </wp:positionV>
            <wp:extent cx="2857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Obligations</w:t>
      </w:r>
      <w:r>
        <w:rPr>
          <w:rFonts w:ascii="Arial" w:cs="Arial" w:eastAsia="Arial" w:hAnsi="Arial"/>
          <w:sz w:val="18"/>
          <w:szCs w:val="18"/>
          <w:color w:val="auto"/>
        </w:rPr>
        <w:t xml:space="preserve">” means, as at any date of determination, the aggregate undrawn face amounts of all outstanding Letters of Credit and all unpaid Reimbursement Obligations, including all drawings under Letters of Credit. For purposes of computing the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5.5</w:t>
      </w:r>
      <w:r>
        <w:rPr>
          <w:rFonts w:ascii="Arial" w:cs="Arial" w:eastAsia="Arial" w:hAnsi="Arial"/>
          <w:sz w:val="18"/>
          <w:szCs w:val="18"/>
          <w:color w:val="auto"/>
        </w:rPr>
        <w:t>. For all purposes of this Agreement, if on any date of determination a Letter of Credit has expired by its terms but any amount may still be drawn thereunder by reason of the operation of Rule 3.14 of the ISP (to the extent the ISP applies to such Letter of Credit), such Letter of Credit shall be deemed to be “outstanding” in the amount so remaining available to be drawn.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4765040</wp:posOffset>
            </wp:positionH>
            <wp:positionV relativeFrom="paragraph">
              <wp:posOffset>-485140</wp:posOffset>
            </wp:positionV>
            <wp:extent cx="2857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Sublimit</w:t>
      </w:r>
      <w:r>
        <w:rPr>
          <w:rFonts w:ascii="Arial" w:cs="Arial" w:eastAsia="Arial" w:hAnsi="Arial"/>
          <w:sz w:val="18"/>
          <w:szCs w:val="18"/>
          <w:color w:val="auto"/>
        </w:rPr>
        <w:t>” means $35,000,000, as reduced pursuant to the terms hereof.</w:t>
      </w:r>
    </w:p>
    <w:p>
      <w:pPr>
        <w:spacing w:after="0" w:line="225" w:lineRule="exact"/>
        <w:rPr>
          <w:sz w:val="20"/>
          <w:szCs w:val="20"/>
          <w:color w:val="auto"/>
        </w:rPr>
      </w:pPr>
    </w:p>
    <w:p>
      <w:pPr>
        <w:ind w:left="4" w:right="6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Legal Requirement</w:t>
      </w:r>
      <w:r>
        <w:rPr>
          <w:rFonts w:ascii="Arial" w:cs="Arial" w:eastAsia="Arial" w:hAnsi="Arial"/>
          <w:sz w:val="17"/>
          <w:szCs w:val="17"/>
          <w:color w:val="auto"/>
        </w:rPr>
        <w:t>” means any treaty, convention, statute, law, regulation, ordinance, license, permit, governmental approval, injunction, judgment, order, consent decree or other requirement of any governmental authority, whether federal, state, or local.</w:t>
      </w:r>
    </w:p>
    <w:p>
      <w:pPr>
        <w:spacing w:after="0" w:line="146" w:lineRule="exact"/>
        <w:rPr>
          <w:sz w:val="20"/>
          <w:szCs w:val="20"/>
          <w:color w:val="auto"/>
        </w:rPr>
      </w:pPr>
    </w:p>
    <w:p>
      <w:pPr>
        <w:jc w:val="both"/>
        <w:ind w:left="4"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Lenders</w:t>
      </w:r>
      <w:r>
        <w:rPr>
          <w:rFonts w:ascii="Arial" w:cs="Arial" w:eastAsia="Arial" w:hAnsi="Arial"/>
          <w:sz w:val="18"/>
          <w:szCs w:val="18"/>
          <w:color w:val="auto"/>
        </w:rPr>
        <w:t xml:space="preserve">” means and includes Bank of America, N.A., Wells Fargo Bank, National Association and the other financial institutions party hereto as lenders as of the Closing Date or otherwise from time to time party to this Agreement, including each assignee Lender pursuant to </w:t>
      </w:r>
      <w:r>
        <w:rPr>
          <w:rFonts w:ascii="Arial" w:cs="Arial" w:eastAsia="Arial" w:hAnsi="Arial"/>
          <w:sz w:val="18"/>
          <w:szCs w:val="18"/>
          <w:u w:val="single" w:color="auto"/>
          <w:color w:val="auto"/>
        </w:rPr>
        <w:t>Section 13.12</w:t>
      </w:r>
      <w:r>
        <w:rPr>
          <w:rFonts w:ascii="Arial" w:cs="Arial" w:eastAsia="Arial" w:hAnsi="Arial"/>
          <w:sz w:val="18"/>
          <w:szCs w:val="18"/>
          <w:color w:val="auto"/>
        </w:rPr>
        <w:t xml:space="preserve"> hereof, and unless the context otherwise requires, the Swing Line Lender.</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Lending Office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w:t>
      </w:r>
      <w:r>
        <w:rPr>
          <w:rFonts w:ascii="Arial" w:cs="Arial" w:eastAsia="Arial" w:hAnsi="Arial"/>
          <w:sz w:val="18"/>
          <w:szCs w:val="18"/>
          <w:color w:val="auto"/>
        </w:rPr>
        <w:t>” means any letter of credit issued hereunder.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LIBOR</w:t>
      </w:r>
      <w:r>
        <w:rPr>
          <w:rFonts w:ascii="Arial" w:cs="Arial" w:eastAsia="Arial" w:hAnsi="Arial"/>
          <w:sz w:val="18"/>
          <w:szCs w:val="18"/>
          <w:u w:val="single" w:color="auto"/>
          <w:color w:val="0000E1"/>
        </w:rPr>
        <w:t>” is defined in the definition of the term “Eurodollar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310324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3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4"/>
          </w:cols>
          <w:pgMar w:left="436" w:top="274" w:right="459" w:bottom="1440" w:gutter="0" w:footer="0" w:header="0"/>
        </w:sectPr>
      </w:pPr>
    </w:p>
    <w:bookmarkStart w:id="124" w:name="page125"/>
    <w:bookmarkEnd w:id="124"/>
    <w:p>
      <w:pPr>
        <w:ind w:right="140" w:firstLine="440"/>
        <w:spacing w:after="0" w:line="308" w:lineRule="auto"/>
        <w:rPr>
          <w:sz w:val="20"/>
          <w:szCs w:val="20"/>
          <w:color w:val="auto"/>
        </w:rPr>
      </w:pPr>
      <w:r>
        <w:rPr>
          <w:rFonts w:ascii="Arial" w:cs="Arial" w:eastAsia="Arial" w:hAnsi="Arial"/>
          <w:sz w:val="17"/>
          <w:szCs w:val="17"/>
          <w:u w:val="single" w:color="auto"/>
          <w:color w:val="0000E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 </w:t>
      </w:r>
      <w:r>
        <w:rPr>
          <w:rFonts w:ascii="Arial" w:cs="Arial" w:eastAsia="Arial" w:hAnsi="Arial"/>
          <w:sz w:val="17"/>
          <w:szCs w:val="17"/>
          <w:i w:val="1"/>
          <w:iCs w:val="1"/>
          <w:u w:val="single" w:color="auto"/>
          <w:color w:val="0000E1"/>
        </w:rPr>
        <w:t>LIBOR Screen Rate</w:t>
      </w:r>
      <w:r>
        <w:rPr>
          <w:rFonts w:ascii="Arial" w:cs="Arial" w:eastAsia="Arial" w:hAnsi="Arial"/>
          <w:sz w:val="17"/>
          <w:szCs w:val="17"/>
          <w:u w:val="single" w:color="auto"/>
          <w:color w:val="0000E1"/>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-163195</wp:posOffset>
            </wp:positionV>
            <wp:extent cx="660908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-26035</wp:posOffset>
            </wp:positionV>
            <wp:extent cx="610362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FF0000"/>
          <w:strike w:val="1"/>
        </w:rPr>
        <w:t>Eurodollar</w:t>
      </w:r>
      <w:r>
        <w:rPr>
          <w:rFonts w:ascii="Arial" w:cs="Arial" w:eastAsia="Arial" w:hAnsi="Arial"/>
          <w:sz w:val="18"/>
          <w:szCs w:val="18"/>
          <w:i w:val="1"/>
          <w:iCs w:val="1"/>
          <w:u w:val="single" w:color="auto"/>
          <w:color w:val="0000E1"/>
        </w:rPr>
        <w:t>LIBOR Successor</w:t>
      </w:r>
      <w:r>
        <w:rPr>
          <w:rFonts w:ascii="Arial" w:cs="Arial" w:eastAsia="Arial" w:hAnsi="Arial"/>
          <w:sz w:val="18"/>
          <w:szCs w:val="18"/>
          <w:color w:val="auto"/>
        </w:rPr>
        <w:t xml:space="preserve"> </w:t>
      </w:r>
      <w:r>
        <w:rPr>
          <w:rFonts w:ascii="Arial" w:cs="Arial" w:eastAsia="Arial" w:hAnsi="Arial"/>
          <w:sz w:val="18"/>
          <w:szCs w:val="18"/>
          <w:i w:val="1"/>
          <w:iCs w:val="1"/>
          <w:color w:val="auto"/>
        </w:rPr>
        <w:t>Rate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color w:val="FF0000"/>
        </w:rPr>
        <w:t>1.4(b) hereof</w:t>
      </w:r>
      <w:r>
        <w:rPr>
          <w:rFonts w:ascii="Arial" w:cs="Arial" w:eastAsia="Arial" w:hAnsi="Arial"/>
          <w:sz w:val="18"/>
          <w:szCs w:val="18"/>
          <w:u w:val="single" w:color="auto"/>
          <w:color w:val="0000E1"/>
        </w:rPr>
        <w:t>10.2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23495</wp:posOffset>
            </wp:positionV>
            <wp:extent cx="81407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14070" cy="825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-53340</wp:posOffset>
            </wp:positionV>
            <wp:extent cx="62484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24840" cy="889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23495</wp:posOffset>
            </wp:positionV>
            <wp:extent cx="19685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05"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u w:val="single" w:color="auto"/>
          <w:color w:val="0000E1"/>
        </w:rPr>
        <w:t xml:space="preserve">“ </w:t>
      </w:r>
      <w:r>
        <w:rPr>
          <w:rFonts w:ascii="Arial" w:cs="Arial" w:eastAsia="Arial" w:hAnsi="Arial"/>
          <w:sz w:val="16"/>
          <w:szCs w:val="16"/>
          <w:i w:val="1"/>
          <w:iCs w:val="1"/>
          <w:u w:val="single" w:color="auto"/>
          <w:color w:val="0000E1"/>
        </w:rPr>
        <w:t>LIBOR Successor Rate Conforming Changes</w:t>
      </w:r>
      <w:r>
        <w:rPr>
          <w:rFonts w:ascii="Arial" w:cs="Arial" w:eastAsia="Arial" w:hAnsi="Arial"/>
          <w:sz w:val="16"/>
          <w:szCs w:val="16"/>
          <w:u w:val="single" w:color="auto"/>
          <w:color w:val="0000E1"/>
        </w:rPr>
        <w:t xml:space="preserve">” means, with respect to any proposed LIBOR Successor Rate, any conforming changes to the definition of Base Rate, Interest Period, timing and frequency of determining rates and making payments of interest and other technical, administrative or operational matters as may be appropriate, in the discretion of the Administrative Agent, to reflect the adoption and implementation of such LIBOR Successor Rate and to permit the administration thereof </w:t>
      </w:r>
      <w:r>
        <w:rPr>
          <w:rFonts w:ascii="Arial" w:cs="Arial" w:eastAsia="Arial" w:hAnsi="Arial"/>
          <w:sz w:val="16"/>
          <w:szCs w:val="16"/>
          <w:u w:val="single" w:color="auto"/>
          <w:color w:val="008000"/>
        </w:rPr>
        <w:t>by the Administrative Agent in</w:t>
      </w:r>
      <w:r>
        <w:rPr>
          <w:rFonts w:ascii="Arial" w:cs="Arial" w:eastAsia="Arial" w:hAnsi="Arial"/>
          <w:sz w:val="16"/>
          <w:szCs w:val="16"/>
          <w:u w:val="single" w:color="auto"/>
          <w:color w:val="0000E1"/>
        </w:rPr>
        <w:t xml:space="preserve">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 is reasonably necessary in connection with the administration of this Agreement).</w:t>
      </w:r>
    </w:p>
    <w:p>
      <w:pPr>
        <w:spacing w:after="0" w:line="166"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Liquidity Amount</w:t>
      </w:r>
      <w:r>
        <w:rPr>
          <w:rFonts w:ascii="Arial" w:cs="Arial" w:eastAsia="Arial" w:hAnsi="Arial"/>
          <w:sz w:val="18"/>
          <w:szCs w:val="18"/>
          <w:u w:val="single" w:color="auto"/>
          <w:color w:val="0000E1"/>
        </w:rPr>
        <w:t xml:space="preserve">” means the sum of (i) the aggregate amount of unrestricted cash of Holdings, the Borrower and their Restricted Subsidiaries held in one or more deposit accounts with </w:t>
      </w:r>
      <w:r>
        <w:rPr>
          <w:rFonts w:ascii="Arial" w:cs="Arial" w:eastAsia="Arial" w:hAnsi="Arial"/>
          <w:sz w:val="18"/>
          <w:szCs w:val="18"/>
          <w:u w:val="single" w:color="auto"/>
          <w:color w:val="008000"/>
        </w:rPr>
        <w:t>Bank of America, N.A.</w:t>
      </w:r>
      <w:r>
        <w:rPr>
          <w:rFonts w:ascii="Arial" w:cs="Arial" w:eastAsia="Arial" w:hAnsi="Arial"/>
          <w:sz w:val="18"/>
          <w:szCs w:val="18"/>
          <w:u w:val="single" w:color="auto"/>
          <w:color w:val="0000E1"/>
        </w:rPr>
        <w:t xml:space="preserve"> that, within thirty (30) days after the First Amendment Effective Date (or such longer period as may be agreed by the Administrative Agent), are subject to deposit account control agreements in favor of the Collateral Agent for the benefit of the Secured Creditors, and (ii) the aggregate amount of unrestricted Cash Equivalents of Holdings, the Borrower and their Restricted Subsidiaries credited to one or more securities accounts that, within thirty (30) days after the First Amendment Effective Date (or such longer period as may be agreed by the Administrative Agent), are subject to securities account control agreements in favor of the Collateral Agent for the benefit of the Secured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-1915795</wp:posOffset>
            </wp:positionV>
            <wp:extent cx="643763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-1778635</wp:posOffset>
            </wp:positionV>
            <wp:extent cx="68922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-1641475</wp:posOffset>
            </wp:positionV>
            <wp:extent cx="687514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-1504315</wp:posOffset>
            </wp:positionV>
            <wp:extent cx="694372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-1367155</wp:posOffset>
            </wp:positionV>
            <wp:extent cx="68922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-1229995</wp:posOffset>
            </wp:positionV>
            <wp:extent cx="681482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-1092835</wp:posOffset>
            </wp:positionV>
            <wp:extent cx="462026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46202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-818515</wp:posOffset>
            </wp:positionV>
            <wp:extent cx="656653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-681355</wp:posOffset>
            </wp:positionV>
            <wp:extent cx="693483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-544195</wp:posOffset>
            </wp:positionV>
            <wp:extent cx="693483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-407035</wp:posOffset>
            </wp:positionV>
            <wp:extent cx="680656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-269875</wp:posOffset>
            </wp:positionV>
            <wp:extent cx="668655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-132715</wp:posOffset>
            </wp:positionV>
            <wp:extent cx="69176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3810</wp:posOffset>
            </wp:positionV>
            <wp:extent cx="45402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175"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Lien</w:t>
      </w:r>
      <w:r>
        <w:rPr>
          <w:rFonts w:ascii="Arial" w:cs="Arial" w:eastAsia="Arial" w:hAnsi="Arial"/>
          <w:sz w:val="17"/>
          <w:szCs w:val="17"/>
          <w:color w:val="auto"/>
        </w:rPr>
        <w:t>” means any mortgage, lien, security interest, pledge, charge or encumbrance of any kind in respect of any Property in the nature of security, including the interests of a vendor or lessor under any conditional sale, Capital Lease or other title retention arrangement.</w:t>
      </w:r>
    </w:p>
    <w:p>
      <w:pPr>
        <w:spacing w:after="0" w:line="14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w:t>
      </w:r>
      <w:r>
        <w:rPr>
          <w:rFonts w:ascii="Arial" w:cs="Arial" w:eastAsia="Arial" w:hAnsi="Arial"/>
          <w:sz w:val="18"/>
          <w:szCs w:val="18"/>
          <w:color w:val="auto"/>
        </w:rPr>
        <w:t>” means any Revolving Loan, Swing Loan or Term Loan whether outstanding as a Base Rate Loan or Eurodollar Loan or otherwise, each of which is a “</w:t>
      </w:r>
      <w:r>
        <w:rPr>
          <w:rFonts w:ascii="Arial" w:cs="Arial" w:eastAsia="Arial" w:hAnsi="Arial"/>
          <w:sz w:val="18"/>
          <w:szCs w:val="18"/>
          <w:i w:val="1"/>
          <w:iCs w:val="1"/>
          <w:color w:val="auto"/>
        </w:rPr>
        <w:t>type</w:t>
      </w:r>
      <w:r>
        <w:rPr>
          <w:rFonts w:ascii="Arial" w:cs="Arial" w:eastAsia="Arial" w:hAnsi="Arial"/>
          <w:sz w:val="18"/>
          <w:szCs w:val="18"/>
          <w:color w:val="auto"/>
        </w:rPr>
        <w:t>” of Loan hereunder.</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Documents</w:t>
      </w:r>
      <w:r>
        <w:rPr>
          <w:rFonts w:ascii="Arial" w:cs="Arial" w:eastAsia="Arial" w:hAnsi="Arial"/>
          <w:sz w:val="18"/>
          <w:szCs w:val="18"/>
          <w:color w:val="auto"/>
        </w:rPr>
        <w:t>” means this Agreement</w:t>
      </w:r>
      <w:r>
        <w:rPr>
          <w:rFonts w:ascii="Arial" w:cs="Arial" w:eastAsia="Arial" w:hAnsi="Arial"/>
          <w:sz w:val="18"/>
          <w:szCs w:val="18"/>
          <w:u w:val="single" w:color="auto"/>
          <w:color w:val="0000E1"/>
        </w:rPr>
        <w:t>, the First Amendment</w:t>
      </w:r>
      <w:r>
        <w:rPr>
          <w:rFonts w:ascii="Arial" w:cs="Arial" w:eastAsia="Arial" w:hAnsi="Arial"/>
          <w:sz w:val="18"/>
          <w:szCs w:val="18"/>
          <w:color w:val="auto"/>
        </w:rPr>
        <w:t>, the Notes (if any), the Applications, the Collateral Documents, the Guarantees and each other instrument or document required to be executed and delivered by the Borrower or any Guarantor in favor of the Administrative Agent or the Lenders hereunder or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-276860</wp:posOffset>
            </wp:positionV>
            <wp:extent cx="1028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Party</w:t>
      </w:r>
      <w:r>
        <w:rPr>
          <w:rFonts w:ascii="Arial" w:cs="Arial" w:eastAsia="Arial" w:hAnsi="Arial"/>
          <w:sz w:val="18"/>
          <w:szCs w:val="18"/>
          <w:color w:val="auto"/>
        </w:rPr>
        <w:t>” means the Borrower and each Guarantor.</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London Banking Day</w:t>
      </w:r>
      <w:r>
        <w:rPr>
          <w:rFonts w:ascii="Arial" w:cs="Arial" w:eastAsia="Arial" w:hAnsi="Arial"/>
          <w:sz w:val="18"/>
          <w:szCs w:val="18"/>
          <w:u w:val="single" w:color="auto"/>
          <w:color w:val="0000E1"/>
        </w:rPr>
        <w:t xml:space="preserve">” means any day on which </w:t>
      </w:r>
      <w:r>
        <w:rPr>
          <w:rFonts w:ascii="Arial" w:cs="Arial" w:eastAsia="Arial" w:hAnsi="Arial"/>
          <w:sz w:val="18"/>
          <w:szCs w:val="18"/>
          <w:u w:val="single" w:color="auto"/>
          <w:color w:val="008000"/>
        </w:rPr>
        <w:t>dealings in U.S. Dollar deposits</w:t>
      </w:r>
      <w:r>
        <w:rPr>
          <w:rFonts w:ascii="Arial" w:cs="Arial" w:eastAsia="Arial" w:hAnsi="Arial"/>
          <w:sz w:val="18"/>
          <w:szCs w:val="18"/>
          <w:u w:val="single" w:color="auto"/>
          <w:color w:val="0000E1"/>
        </w:rPr>
        <w:t xml:space="preserve"> are conducted by and between banks </w:t>
      </w:r>
      <w:r>
        <w:rPr>
          <w:rFonts w:ascii="Arial" w:cs="Arial" w:eastAsia="Arial" w:hAnsi="Arial"/>
          <w:sz w:val="18"/>
          <w:szCs w:val="18"/>
          <w:u w:val="single" w:color="auto"/>
          <w:color w:val="008000"/>
        </w:rPr>
        <w:t>in the London interbank</w:t>
      </w:r>
      <w:r>
        <w:rPr>
          <w:rFonts w:ascii="Arial" w:cs="Arial" w:eastAsia="Arial" w:hAnsi="Arial"/>
          <w:sz w:val="18"/>
          <w:szCs w:val="18"/>
          <w:u w:val="single" w:color="auto"/>
          <w:color w:val="0000E1"/>
        </w:rPr>
        <w:t xml:space="preserve"> </w:t>
      </w:r>
      <w:r>
        <w:rPr>
          <w:rFonts w:ascii="Arial" w:cs="Arial" w:eastAsia="Arial" w:hAnsi="Arial"/>
          <w:sz w:val="18"/>
          <w:szCs w:val="18"/>
          <w:u w:val="single" w:color="auto"/>
          <w:color w:val="008000"/>
        </w:rPr>
        <w:t>eurodollar market</w:t>
      </w:r>
      <w:r>
        <w:rPr>
          <w:rFonts w:ascii="Arial" w:cs="Arial" w:eastAsia="Arial" w:hAnsi="Arial"/>
          <w:sz w:val="18"/>
          <w:szCs w:val="18"/>
          <w:u w:val="single" w:color="auto"/>
          <w:color w:val="0000E1"/>
        </w:rPr>
        <w:t>.</w:t>
      </w:r>
    </w:p>
    <w:p>
      <w:pPr>
        <w:spacing w:after="0" w:line="170"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u w:val="single" w:color="auto"/>
          <w:color w:val="0000E1"/>
        </w:rPr>
        <w:t xml:space="preserve">“ </w:t>
      </w:r>
      <w:r>
        <w:rPr>
          <w:rFonts w:ascii="Arial" w:cs="Arial" w:eastAsia="Arial" w:hAnsi="Arial"/>
          <w:sz w:val="16"/>
          <w:szCs w:val="16"/>
          <w:i w:val="1"/>
          <w:iCs w:val="1"/>
          <w:u w:val="single" w:color="auto"/>
          <w:color w:val="0000E1"/>
        </w:rPr>
        <w:t>Main Street Facility</w:t>
      </w:r>
      <w:r>
        <w:rPr>
          <w:rFonts w:ascii="Arial" w:cs="Arial" w:eastAsia="Arial" w:hAnsi="Arial"/>
          <w:sz w:val="16"/>
          <w:szCs w:val="16"/>
          <w:u w:val="single" w:color="auto"/>
          <w:color w:val="0000E1"/>
        </w:rPr>
        <w:t>” means the Main Street New Loan Facility and/or Main Street Expanded Loan Facility, in each case, established by the Federal Reserve on April 9, 2020 under the authority of Section 13(3) of the Federal Reserve Act, with approval of the U.S. Secretary of the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-589280</wp:posOffset>
            </wp:positionV>
            <wp:extent cx="226314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-589280</wp:posOffset>
            </wp:positionV>
            <wp:extent cx="168021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68021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-452120</wp:posOffset>
            </wp:positionV>
            <wp:extent cx="2603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-177800</wp:posOffset>
            </wp:positionV>
            <wp:extent cx="647192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685800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pacing w:after="0" w:line="10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Maintenance Capital Expenditures</w:t>
      </w:r>
      <w:r>
        <w:rPr>
          <w:rFonts w:ascii="Arial" w:cs="Arial" w:eastAsia="Arial" w:hAnsi="Arial"/>
          <w:sz w:val="18"/>
          <w:szCs w:val="18"/>
          <w:color w:val="auto"/>
        </w:rPr>
        <w:t>” means, for any Restricted Group Company in respect of any period, the aggregate of all expenditures incurred by such person during such period that, in accordance with GAAP, are or should be included in “additions to property, plant or equipment” or similar items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40" w:top="274" w:right="479" w:bottom="1440" w:gutter="0" w:footer="0" w:header="0"/>
        </w:sectPr>
      </w:pPr>
    </w:p>
    <w:bookmarkStart w:id="125" w:name="page126"/>
    <w:bookmarkEnd w:id="125"/>
    <w:p>
      <w:pPr>
        <w:ind w:left="4"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reflected in the statement of cash flows of such person, including expenditures made for the purpose of maintaining the operations of such person (such as expenditures to purchase games (other than in connection with a store/restaurant opening), plumbing, and kitchen equipment or ordinary course carpet replacements); provided that</w:t>
      </w:r>
      <w:r>
        <w:rPr>
          <w:rFonts w:ascii="Arial" w:cs="Arial" w:eastAsia="Arial" w:hAnsi="Arial"/>
          <w:sz w:val="17"/>
          <w:szCs w:val="17"/>
          <w:color w:val="FF0000"/>
          <w:strike w:val="1"/>
        </w:rPr>
        <w:t>,</w:t>
      </w:r>
      <w:r>
        <w:rPr>
          <w:rFonts w:ascii="Arial" w:cs="Arial" w:eastAsia="Arial" w:hAnsi="Arial"/>
          <w:sz w:val="17"/>
          <w:szCs w:val="17"/>
          <w:color w:val="auto"/>
        </w:rPr>
        <w:t xml:space="preserve"> Maintenance Capital Expenditures for the Restricted Group shall not include:</w:t>
      </w:r>
    </w:p>
    <w:p>
      <w:pPr>
        <w:spacing w:after="0" w:line="165" w:lineRule="exact"/>
        <w:rPr>
          <w:sz w:val="20"/>
          <w:szCs w:val="20"/>
          <w:color w:val="auto"/>
        </w:rPr>
      </w:pPr>
    </w:p>
    <w:p>
      <w:pPr>
        <w:ind w:left="4" w:right="500" w:firstLine="987"/>
        <w:spacing w:after="0" w:line="277" w:lineRule="auto"/>
        <w:tabs>
          <w:tab w:leader="none" w:pos="1375"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expenditures to the extent they are made with proceeds of the issuance of equity interests of, or a cash capital contribution to, a Restricted Group Company by any parent company of the Borrower after the Closing Date,</w:t>
      </w:r>
    </w:p>
    <w:p>
      <w:pPr>
        <w:spacing w:after="0" w:line="170" w:lineRule="exact"/>
        <w:rPr>
          <w:rFonts w:ascii="Arial" w:cs="Arial" w:eastAsia="Arial" w:hAnsi="Arial"/>
          <w:sz w:val="18"/>
          <w:szCs w:val="18"/>
          <w:color w:val="auto"/>
        </w:rPr>
      </w:pPr>
    </w:p>
    <w:p>
      <w:pPr>
        <w:ind w:left="4" w:right="40" w:firstLine="987"/>
        <w:spacing w:after="0" w:line="296" w:lineRule="auto"/>
        <w:tabs>
          <w:tab w:leader="none" w:pos="1385" w:val="left"/>
        </w:tabs>
        <w:numPr>
          <w:ilvl w:val="1"/>
          <w:numId w:val="145"/>
        </w:numPr>
        <w:rPr>
          <w:rFonts w:ascii="Arial" w:cs="Arial" w:eastAsia="Arial" w:hAnsi="Arial"/>
          <w:sz w:val="16"/>
          <w:szCs w:val="16"/>
          <w:color w:val="auto"/>
        </w:rPr>
      </w:pPr>
      <w:r>
        <w:rPr>
          <w:rFonts w:ascii="Arial" w:cs="Arial" w:eastAsia="Arial" w:hAnsi="Arial"/>
          <w:sz w:val="16"/>
          <w:szCs w:val="16"/>
          <w:color w:val="auto"/>
        </w:rPr>
        <w:t>capital expenditures with proceeds of insurance settlements, condemnation awards and other settlements in respect of lost, destroyed, damaged or condemned assets, equipment or other property to the extent such capital expenditures are made to replace or repair such lost, destroyed, damaged or condemned assets, equipment or other property or otherwise to acquire, maintain, develop, construct, improve, upgrade or repair assets or properties useful in the business of the Restricted Group Companies within 12 months of receipt of such proceeds (or, if not made within such period of 12 months, are committed to be made during such period, and actually made within 18 months following receipt of such proceeds),</w:t>
      </w:r>
    </w:p>
    <w:p>
      <w:pPr>
        <w:spacing w:after="0" w:line="161" w:lineRule="exact"/>
        <w:rPr>
          <w:rFonts w:ascii="Arial" w:cs="Arial" w:eastAsia="Arial" w:hAnsi="Arial"/>
          <w:sz w:val="16"/>
          <w:szCs w:val="16"/>
          <w:color w:val="auto"/>
        </w:rPr>
      </w:pPr>
    </w:p>
    <w:p>
      <w:pPr>
        <w:ind w:left="1364" w:hanging="373"/>
        <w:spacing w:after="0"/>
        <w:tabs>
          <w:tab w:leader="none" w:pos="136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interest capitalized during such period,</w:t>
      </w:r>
    </w:p>
    <w:p>
      <w:pPr>
        <w:spacing w:after="0" w:line="225" w:lineRule="exact"/>
        <w:rPr>
          <w:rFonts w:ascii="Arial" w:cs="Arial" w:eastAsia="Arial" w:hAnsi="Arial"/>
          <w:sz w:val="18"/>
          <w:szCs w:val="18"/>
          <w:color w:val="auto"/>
        </w:rPr>
      </w:pPr>
    </w:p>
    <w:p>
      <w:pPr>
        <w:ind w:left="4" w:right="240" w:firstLine="987"/>
        <w:spacing w:after="0" w:line="286" w:lineRule="auto"/>
        <w:tabs>
          <w:tab w:leader="none" w:pos="1385" w:val="left"/>
        </w:tabs>
        <w:numPr>
          <w:ilvl w:val="1"/>
          <w:numId w:val="145"/>
        </w:numPr>
        <w:rPr>
          <w:rFonts w:ascii="Arial" w:cs="Arial" w:eastAsia="Arial" w:hAnsi="Arial"/>
          <w:sz w:val="17"/>
          <w:szCs w:val="17"/>
          <w:color w:val="auto"/>
        </w:rPr>
      </w:pPr>
      <w:r>
        <w:rPr>
          <w:rFonts w:ascii="Arial" w:cs="Arial" w:eastAsia="Arial" w:hAnsi="Arial"/>
          <w:sz w:val="17"/>
          <w:szCs w:val="17"/>
          <w:color w:val="auto"/>
        </w:rPr>
        <w:t>expenditures that are accounted for as capital expenditures of such person and that actually are paid for by a third party (excluding any Consolidated Group Company) and for which no Consolidated Group Company has provided or is required to provide or incur, directly or indirectly, any consideration or obligation to such third party or any other person (whether before, during or after such period),</w:t>
      </w:r>
    </w:p>
    <w:p>
      <w:pPr>
        <w:spacing w:after="0" w:line="165" w:lineRule="exact"/>
        <w:rPr>
          <w:rFonts w:ascii="Arial" w:cs="Arial" w:eastAsia="Arial" w:hAnsi="Arial"/>
          <w:sz w:val="17"/>
          <w:szCs w:val="17"/>
          <w:color w:val="auto"/>
        </w:rPr>
      </w:pPr>
    </w:p>
    <w:p>
      <w:pPr>
        <w:ind w:left="4" w:right="240" w:firstLine="987"/>
        <w:spacing w:after="0" w:line="275" w:lineRule="auto"/>
        <w:tabs>
          <w:tab w:leader="none" w:pos="1375" w:val="left"/>
        </w:tabs>
        <w:numPr>
          <w:ilvl w:val="1"/>
          <w:numId w:val="145"/>
        </w:numPr>
        <w:rPr>
          <w:rFonts w:ascii="Arial" w:cs="Arial" w:eastAsia="Arial" w:hAnsi="Arial"/>
          <w:sz w:val="17"/>
          <w:szCs w:val="17"/>
          <w:color w:val="auto"/>
        </w:rPr>
      </w:pPr>
      <w:r>
        <w:rPr>
          <w:rFonts w:ascii="Arial" w:cs="Arial" w:eastAsia="Arial" w:hAnsi="Arial"/>
          <w:sz w:val="17"/>
          <w:szCs w:val="17"/>
          <w:color w:val="auto"/>
        </w:rPr>
        <w:t xml:space="preserve">the book value of any asset owned by such person prior to or during such period to the extent that such book value is included as a capital expenditure during such period as a result of such person reusing or beginning to reuse such asset during such period without a corresponding expenditure actually having been made in such period; </w:t>
      </w:r>
      <w:r>
        <w:rPr>
          <w:rFonts w:ascii="Arial" w:cs="Arial" w:eastAsia="Arial" w:hAnsi="Arial"/>
          <w:sz w:val="17"/>
          <w:szCs w:val="17"/>
          <w:i w:val="1"/>
          <w:iCs w:val="1"/>
          <w:color w:val="auto"/>
        </w:rPr>
        <w:t>provided</w:t>
      </w:r>
      <w:r>
        <w:rPr>
          <w:rFonts w:ascii="Arial" w:cs="Arial" w:eastAsia="Arial" w:hAnsi="Arial"/>
          <w:sz w:val="17"/>
          <w:szCs w:val="17"/>
          <w:color w:val="FF0000"/>
          <w:strike w:val="1"/>
        </w:rPr>
        <w:t>,</w:t>
      </w:r>
      <w:r>
        <w:rPr>
          <w:rFonts w:ascii="Arial" w:cs="Arial" w:eastAsia="Arial" w:hAnsi="Arial"/>
          <w:sz w:val="17"/>
          <w:szCs w:val="17"/>
          <w:color w:val="auto"/>
        </w:rPr>
        <w:t xml:space="preserve"> that (i) any expenditure necessary in order to permit such asset to be reused shall be included as a Maintenance Capital Expenditure during the period that such expenditure actually is made and (ii) such book value shall have been included in Maintenance Capital Expenditures when such asset was originally acquired,</w:t>
      </w:r>
    </w:p>
    <w:p>
      <w:pPr>
        <w:spacing w:after="0" w:line="176" w:lineRule="exact"/>
        <w:rPr>
          <w:rFonts w:ascii="Arial" w:cs="Arial" w:eastAsia="Arial" w:hAnsi="Arial"/>
          <w:sz w:val="17"/>
          <w:szCs w:val="17"/>
          <w:color w:val="auto"/>
        </w:rPr>
      </w:pPr>
    </w:p>
    <w:p>
      <w:pPr>
        <w:ind w:left="1344" w:hanging="353"/>
        <w:spacing w:after="0"/>
        <w:tabs>
          <w:tab w:leader="none" w:pos="1344"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purchase price of equipment purchased during such period to the extent the consideration therefor consists of any combination of</w:t>
      </w:r>
    </w:p>
    <w:p>
      <w:pPr>
        <w:spacing w:after="0" w:line="46" w:lineRule="exact"/>
        <w:rPr>
          <w:rFonts w:ascii="Arial" w:cs="Arial" w:eastAsia="Arial" w:hAnsi="Arial"/>
          <w:sz w:val="16"/>
          <w:szCs w:val="16"/>
          <w:color w:val="auto"/>
        </w:rPr>
      </w:pPr>
    </w:p>
    <w:p>
      <w:pPr>
        <w:ind w:left="4" w:right="40" w:hanging="4"/>
        <w:spacing w:after="0" w:line="260" w:lineRule="auto"/>
        <w:tabs>
          <w:tab w:leader="none" w:pos="21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used or surplus equipment traded in at the time of such purchase and (ii) the proceeds of a concurrent sale of used or surplus equipment, in each case, in the ordinary course of business consistent with past or industry practice,</w:t>
      </w:r>
    </w:p>
    <w:p>
      <w:pPr>
        <w:spacing w:after="0" w:line="185" w:lineRule="exact"/>
        <w:rPr>
          <w:rFonts w:ascii="Arial" w:cs="Arial" w:eastAsia="Arial" w:hAnsi="Arial"/>
          <w:sz w:val="18"/>
          <w:szCs w:val="18"/>
          <w:color w:val="auto"/>
        </w:rPr>
      </w:pPr>
    </w:p>
    <w:p>
      <w:pPr>
        <w:ind w:left="4" w:right="240" w:firstLine="987"/>
        <w:spacing w:after="0" w:line="277" w:lineRule="auto"/>
        <w:tabs>
          <w:tab w:leader="none" w:pos="1385" w:val="left"/>
        </w:tabs>
        <w:numPr>
          <w:ilvl w:val="1"/>
          <w:numId w:val="146"/>
        </w:numPr>
        <w:rPr>
          <w:rFonts w:ascii="Arial" w:cs="Arial" w:eastAsia="Arial" w:hAnsi="Arial"/>
          <w:sz w:val="18"/>
          <w:szCs w:val="18"/>
          <w:color w:val="auto"/>
        </w:rPr>
      </w:pPr>
      <w:r>
        <w:rPr>
          <w:rFonts w:ascii="Arial" w:cs="Arial" w:eastAsia="Arial" w:hAnsi="Arial"/>
          <w:sz w:val="18"/>
          <w:szCs w:val="18"/>
          <w:color w:val="FF0000"/>
          <w:strike w:val="1"/>
        </w:rPr>
        <w:t>I</w:t>
      </w:r>
      <w:r>
        <w:rPr>
          <w:rFonts w:ascii="Arial" w:cs="Arial" w:eastAsia="Arial" w:hAnsi="Arial"/>
          <w:sz w:val="18"/>
          <w:szCs w:val="18"/>
          <w:u w:val="single" w:color="auto"/>
          <w:color w:val="0000E1"/>
        </w:rPr>
        <w:t>i</w:t>
      </w:r>
      <w:r>
        <w:rPr>
          <w:rFonts w:ascii="Arial" w:cs="Arial" w:eastAsia="Arial" w:hAnsi="Arial"/>
          <w:sz w:val="18"/>
          <w:szCs w:val="18"/>
          <w:color w:val="000000"/>
        </w:rPr>
        <w:t>nvestments in respect of a Permitted Acquisition, with respect to the portion which is included as additions to property, plant and</w:t>
      </w:r>
      <w:r>
        <w:rPr>
          <w:rFonts w:ascii="Arial" w:cs="Arial" w:eastAsia="Arial" w:hAnsi="Arial"/>
          <w:sz w:val="18"/>
          <w:szCs w:val="18"/>
          <w:color w:val="FF0000"/>
        </w:rPr>
        <w:t xml:space="preserve"> </w:t>
      </w:r>
      <w:r>
        <w:rPr>
          <w:rFonts w:ascii="Arial" w:cs="Arial" w:eastAsia="Arial" w:hAnsi="Arial"/>
          <w:sz w:val="18"/>
          <w:szCs w:val="18"/>
          <w:color w:val="000000"/>
        </w:rPr>
        <w:t>equipment in accordance with GAAP;</w:t>
      </w:r>
    </w:p>
    <w:p>
      <w:pPr>
        <w:spacing w:after="0" w:line="170" w:lineRule="exact"/>
        <w:rPr>
          <w:rFonts w:ascii="Arial" w:cs="Arial" w:eastAsia="Arial" w:hAnsi="Arial"/>
          <w:sz w:val="18"/>
          <w:szCs w:val="18"/>
          <w:color w:val="auto"/>
        </w:rPr>
      </w:pPr>
    </w:p>
    <w:p>
      <w:pPr>
        <w:ind w:left="4" w:firstLine="987"/>
        <w:spacing w:after="0" w:line="263" w:lineRule="auto"/>
        <w:tabs>
          <w:tab w:leader="none" w:pos="138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purchase of property, plant or equipment made within 12 months of the sale of any asset to the extent purchased with the proceeds of such sale (or, if not made within such period of 12 months, to the extent committed to be made during such period, and actually made within 18 months following receipt of such proceeds),</w:t>
      </w:r>
    </w:p>
    <w:p>
      <w:pPr>
        <w:spacing w:after="0" w:line="183" w:lineRule="exact"/>
        <w:rPr>
          <w:rFonts w:ascii="Arial" w:cs="Arial" w:eastAsia="Arial" w:hAnsi="Arial"/>
          <w:sz w:val="18"/>
          <w:szCs w:val="18"/>
          <w:color w:val="auto"/>
        </w:rPr>
      </w:pPr>
    </w:p>
    <w:p>
      <w:pPr>
        <w:jc w:val="both"/>
        <w:ind w:left="4" w:right="120" w:firstLine="987"/>
        <w:spacing w:after="0" w:line="286" w:lineRule="auto"/>
        <w:tabs>
          <w:tab w:leader="none" w:pos="1345"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any capital expenditures related to the acquisition, opening and construction or furbishing of new Units and/or entertainment centers or conversion or refurbishing of existing Units and/or entertainment centers, and other expenditures associated with acquiring new games or equipment (but only to the extent acquired in connection with the other activities described in this </w:t>
      </w:r>
      <w:r>
        <w:rPr>
          <w:rFonts w:ascii="Arial" w:cs="Arial" w:eastAsia="Arial" w:hAnsi="Arial"/>
          <w:sz w:val="17"/>
          <w:szCs w:val="17"/>
          <w:u w:val="single" w:color="auto"/>
          <w:color w:val="auto"/>
        </w:rPr>
        <w:t>clause (i)</w:t>
      </w:r>
      <w:r>
        <w:rPr>
          <w:rFonts w:ascii="Arial" w:cs="Arial" w:eastAsia="Arial" w:hAnsi="Arial"/>
          <w:sz w:val="17"/>
          <w:szCs w:val="17"/>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-1248410</wp:posOffset>
            </wp:positionV>
            <wp:extent cx="2603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4"/>
          </w:cols>
          <w:pgMar w:left="436" w:top="274" w:right="459" w:bottom="1440" w:gutter="0" w:footer="0" w:header="0"/>
        </w:sectPr>
      </w:pPr>
    </w:p>
    <w:bookmarkStart w:id="126" w:name="page127"/>
    <w:bookmarkEnd w:id="126"/>
    <w:p>
      <w:pPr>
        <w:ind w:right="160" w:firstLine="987"/>
        <w:spacing w:after="0" w:line="286" w:lineRule="auto"/>
        <w:tabs>
          <w:tab w:leader="none" w:pos="1341" w:val="left"/>
        </w:tabs>
        <w:numPr>
          <w:ilvl w:val="0"/>
          <w:numId w:val="1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operating improvement initiative expenditures, project related capital expenditures or other expenditures made with the purpose of generating a return on investment as a result of such expenditures, including, without limitation, expenditures in connection with full scale remodeling, logo changes, purchases of energy management systems and/or purchases of table top ordering technology.</w:t>
      </w:r>
    </w:p>
    <w:p>
      <w:pPr>
        <w:spacing w:after="0" w:line="165"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means (a) a material adverse effect on the business, assets, financial condition or results of operations of the Restricted Group, taken as a whole, (b) a material and adverse effect on the rights and remedies (taken as a whole) of the Administrative Agent under any Loan Document or (c) a material and adverse effect on the ability of the Borrower and the Guarantors (taken as a whole) to perform their payment obligations under any Loan Document</w:t>
      </w:r>
      <w:r>
        <w:rPr>
          <w:rFonts w:ascii="Arial" w:cs="Arial" w:eastAsia="Arial" w:hAnsi="Arial"/>
          <w:sz w:val="16"/>
          <w:szCs w:val="16"/>
          <w:color w:val="FF0000"/>
          <w:strike w:val="1"/>
        </w:rPr>
        <w:t>.</w:t>
      </w:r>
      <w:r>
        <w:rPr>
          <w:rFonts w:ascii="Arial" w:cs="Arial" w:eastAsia="Arial" w:hAnsi="Arial"/>
          <w:sz w:val="16"/>
          <w:szCs w:val="16"/>
          <w:u w:val="single" w:color="auto"/>
          <w:color w:val="0000E1"/>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E1"/>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0000E1"/>
        </w:rPr>
        <w:t>that the impacts of the COVID-19 Pandemic on the business, assets, financial condition and/or results of</w:t>
      </w:r>
      <w:r>
        <w:rPr>
          <w:rFonts w:ascii="Arial" w:cs="Arial" w:eastAsia="Arial" w:hAnsi="Arial"/>
          <w:sz w:val="16"/>
          <w:szCs w:val="16"/>
          <w:color w:val="auto"/>
        </w:rPr>
        <w:t xml:space="preserve"> </w:t>
      </w:r>
      <w:r>
        <w:rPr>
          <w:rFonts w:ascii="Arial" w:cs="Arial" w:eastAsia="Arial" w:hAnsi="Arial"/>
          <w:sz w:val="16"/>
          <w:szCs w:val="16"/>
          <w:u w:val="single" w:color="auto"/>
          <w:color w:val="0000E1"/>
        </w:rPr>
        <w:t>operations of the Borrower and/or any of its Subsidiaries shall be disregarded for purposes of clauses (a) and (c)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-153670</wp:posOffset>
            </wp:positionV>
            <wp:extent cx="526351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2635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545211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Maximum Rate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13.20</w:t>
      </w:r>
      <w:r>
        <w:rPr>
          <w:rFonts w:ascii="Arial" w:cs="Arial" w:eastAsia="Arial" w:hAnsi="Arial"/>
          <w:sz w:val="18"/>
          <w:szCs w:val="18"/>
          <w:color w:val="auto"/>
        </w:rPr>
        <w:t xml:space="preserve"> </w:t>
      </w:r>
      <w:r>
        <w:rPr>
          <w:rFonts w:ascii="Arial" w:cs="Arial" w:eastAsia="Arial" w:hAnsi="Arial"/>
          <w:sz w:val="18"/>
          <w:szCs w:val="18"/>
          <w:color w:val="FF0000"/>
        </w:rPr>
        <w:t>of this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2323465</wp:posOffset>
            </wp:positionH>
            <wp:positionV relativeFrom="paragraph">
              <wp:posOffset>-53340</wp:posOffset>
            </wp:positionV>
            <wp:extent cx="8470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xml:space="preserve">” means Moody’s Investors Service, Inc. </w:t>
      </w:r>
      <w:r>
        <w:rPr>
          <w:rFonts w:ascii="Arial" w:cs="Arial" w:eastAsia="Arial" w:hAnsi="Arial"/>
          <w:sz w:val="18"/>
          <w:szCs w:val="18"/>
          <w:color w:val="0000E1"/>
        </w:rPr>
        <w:t>and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23495</wp:posOffset>
            </wp:positionV>
            <wp:extent cx="122555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-10160</wp:posOffset>
            </wp:positionV>
            <wp:extent cx="12274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27455" cy="8255"/>
                    </a:xfrm>
                    <a:prstGeom prst="rect">
                      <a:avLst/>
                    </a:prstGeom>
                    <a:noFill/>
                  </pic:spPr>
                </pic:pic>
              </a:graphicData>
            </a:graphic>
          </wp:anchor>
        </w:drawing>
      </w:r>
    </w:p>
    <w:p>
      <w:pPr>
        <w:spacing w:after="0" w:line="205"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Cash Proceeds</w:t>
      </w:r>
      <w:r>
        <w:rPr>
          <w:rFonts w:ascii="Arial" w:cs="Arial" w:eastAsia="Arial" w:hAnsi="Arial"/>
          <w:sz w:val="16"/>
          <w:szCs w:val="16"/>
          <w:color w:val="auto"/>
        </w:rPr>
        <w:t xml:space="preserve">” means, as applicable, (a) with respect to any Disposition by a Person, cash and Cash Equivalent proceeds received by or for such Person’s account, net of (i) direct costs to a third party that is not an Affiliate of such Person relating to such Disposition (including, without limitation, any underwriting, brokerage or other customary commissions and legal, advisory and other fees and expenses associated therewith), (ii) any taxes paid or payable by such Person as a direct result of such Disposition, (iii) until released a Restricted Group Company, all amounts that are set aside as a reserve (1) for adjustments in respect of the sale price of such assets, (2) in accordance with GAAP against any liabilities associated with such sale or casualty, (3) for the payment of unassumed liabilities relating to the assets sold or otherwise disposed of at the time of, or within </w:t>
      </w:r>
      <w:r>
        <w:rPr>
          <w:rFonts w:ascii="Arial" w:cs="Arial" w:eastAsia="Arial" w:hAnsi="Arial"/>
          <w:sz w:val="16"/>
          <w:szCs w:val="16"/>
          <w:u w:val="single" w:color="auto"/>
          <w:color w:val="0000E1"/>
        </w:rPr>
        <w:t>thirty (</w:t>
      </w:r>
      <w:r>
        <w:rPr>
          <w:rFonts w:ascii="Arial" w:cs="Arial" w:eastAsia="Arial" w:hAnsi="Arial"/>
          <w:sz w:val="16"/>
          <w:szCs w:val="16"/>
          <w:color w:val="auto"/>
        </w:rPr>
        <w:t xml:space="preserve">30 </w:t>
      </w:r>
      <w:r>
        <w:rPr>
          <w:rFonts w:ascii="Arial" w:cs="Arial" w:eastAsia="Arial" w:hAnsi="Arial"/>
          <w:sz w:val="16"/>
          <w:szCs w:val="16"/>
          <w:u w:val="single" w:color="auto"/>
          <w:color w:val="0000E1"/>
        </w:rPr>
        <w:t>)</w:t>
      </w:r>
      <w:r>
        <w:rPr>
          <w:rFonts w:ascii="Arial" w:cs="Arial" w:eastAsia="Arial" w:hAnsi="Arial"/>
          <w:sz w:val="16"/>
          <w:szCs w:val="16"/>
          <w:color w:val="auto"/>
        </w:rPr>
        <w:t xml:space="preserve"> days after, the date of such sale or other disposition and (4) for the principal amount of any Indebtedness for Borrowed Money that is secured by the applicable asset and that is, or is required to be, repaid in connection with such transaction or which would otherwise be in default (including as a result of any change of control), (b) with respect to any Event of Loss of a Person, cash and Cash Equivalent proceeds received by or for such Person’s account (whether as a result of payments made under any applicable insurance policy therefor or in connection with condemnation proceedings or otherwise), net of (i) direct costs to a third party incurred in connection with the collection of such proceeds, awards or other payments (including, without limitation, legal, advisory and other fees and expenses associated therewith), (ii) any taxes paid or payable by such Person as a direct result of the collection of such proceeds or awards and (iii) until released a Restricted Group Company, all amounts that are set aside as a reserve for the principal amount of any Indebtedness for Borrowed Money that is secured by the applicable asset and that is, or is required to be, repaid in connection with such transaction or which would otherwise be in default (including as a result of any change of control), and (c) with respect to the incurrence or issuance of any Indebtedness for Borrowed Money, cash and Cash Equivalent proceeds received by or for such Person’s account, net of legal expenses, underwriting commissions and discounts, and other fees and expenses to a third party not an Affiliate of such Person incurred as a direct result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6006465</wp:posOffset>
            </wp:positionH>
            <wp:positionV relativeFrom="paragraph">
              <wp:posOffset>-1517015</wp:posOffset>
            </wp:positionV>
            <wp:extent cx="31750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-1594485</wp:posOffset>
            </wp:positionV>
            <wp:extent cx="2857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-1517015</wp:posOffset>
            </wp:positionV>
            <wp:extent cx="4318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4" w:lineRule="exact"/>
        <w:rPr>
          <w:sz w:val="20"/>
          <w:szCs w:val="20"/>
          <w:color w:val="auto"/>
        </w:rPr>
      </w:pPr>
    </w:p>
    <w:p>
      <w:pPr>
        <w:ind w:right="2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Net Income</w:t>
      </w:r>
      <w:r>
        <w:rPr>
          <w:rFonts w:ascii="Arial" w:cs="Arial" w:eastAsia="Arial" w:hAnsi="Arial"/>
          <w:sz w:val="17"/>
          <w:szCs w:val="17"/>
          <w:color w:val="auto"/>
        </w:rPr>
        <w:t>” means, for any period, the net income (or loss) of the Borrower and its Restricted Subsidiaries on a consolidated basis for such period taken as a single accounting period determined in conformity with GAAP</w:t>
      </w:r>
      <w:r>
        <w:rPr>
          <w:rFonts w:ascii="Arial" w:cs="Arial" w:eastAsia="Arial" w:hAnsi="Arial"/>
          <w:sz w:val="17"/>
          <w:szCs w:val="17"/>
          <w:color w:val="FF0000"/>
          <w:strike w:val="1"/>
        </w:rPr>
        <w:t>,</w:t>
      </w:r>
      <w:r>
        <w:rPr>
          <w:rFonts w:ascii="Arial" w:cs="Arial" w:eastAsia="Arial" w:hAnsi="Arial"/>
          <w:sz w:val="17"/>
          <w:szCs w:val="17"/>
          <w:u w:val="single" w:color="auto"/>
          <w:color w:val="0000E1"/>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0000E1"/>
        </w:rPr>
        <w:t>,</w:t>
      </w:r>
      <w:r>
        <w:rPr>
          <w:rFonts w:ascii="Arial" w:cs="Arial" w:eastAsia="Arial" w:hAnsi="Arial"/>
          <w:sz w:val="17"/>
          <w:szCs w:val="17"/>
          <w:color w:val="auto"/>
        </w:rPr>
        <w:t xml:space="preserve"> </w:t>
      </w:r>
      <w:r>
        <w:rPr>
          <w:rFonts w:ascii="Arial" w:cs="Arial" w:eastAsia="Arial" w:hAnsi="Arial"/>
          <w:sz w:val="17"/>
          <w:szCs w:val="17"/>
          <w:i w:val="1"/>
          <w:iCs w:val="1"/>
          <w:color w:val="0000E1"/>
        </w:rPr>
        <w:t>however</w:t>
      </w:r>
      <w:r>
        <w:rPr>
          <w:rFonts w:ascii="Arial" w:cs="Arial" w:eastAsia="Arial" w:hAnsi="Arial"/>
          <w:sz w:val="17"/>
          <w:szCs w:val="17"/>
          <w:color w:val="auto"/>
        </w:rPr>
        <w:t xml:space="preserve"> </w:t>
      </w:r>
      <w:r>
        <w:rPr>
          <w:rFonts w:ascii="Arial" w:cs="Arial" w:eastAsia="Arial" w:hAnsi="Arial"/>
          <w:sz w:val="17"/>
          <w:szCs w:val="17"/>
          <w:u w:val="single" w:color="auto"/>
          <w:color w:val="0000E1"/>
        </w:rPr>
        <w:t>,</w:t>
      </w:r>
      <w:r>
        <w:rPr>
          <w:rFonts w:ascii="Arial" w:cs="Arial" w:eastAsia="Arial" w:hAnsi="Arial"/>
          <w:sz w:val="17"/>
          <w:szCs w:val="17"/>
          <w:color w:val="auto"/>
        </w:rPr>
        <w:t xml:space="preserve"> </w:t>
      </w:r>
      <w:r>
        <w:rPr>
          <w:rFonts w:ascii="Arial" w:cs="Arial" w:eastAsia="Arial" w:hAnsi="Arial"/>
          <w:sz w:val="17"/>
          <w:szCs w:val="17"/>
          <w:color w:val="0000E1"/>
        </w:rPr>
        <w:t>that the following shall be excluded from Net</w:t>
      </w:r>
      <w:r>
        <w:rPr>
          <w:rFonts w:ascii="Arial" w:cs="Arial" w:eastAsia="Arial" w:hAnsi="Arial"/>
          <w:sz w:val="17"/>
          <w:szCs w:val="17"/>
          <w:color w:val="auto"/>
        </w:rPr>
        <w:t xml:space="preserve"> </w:t>
      </w:r>
      <w:r>
        <w:rPr>
          <w:rFonts w:ascii="Arial" w:cs="Arial" w:eastAsia="Arial" w:hAnsi="Arial"/>
          <w:sz w:val="17"/>
          <w:szCs w:val="17"/>
          <w:color w:val="0000E1"/>
        </w:rPr>
        <w:t xml:space="preserve">Income: (a) the income (or loss) of any Person (other than a Restricted Subsidiary) (x) in which any other Person (other than the Borrower or any Restricted Subsidiary) has an Equity Interest or (y) that is an Unrestricted Subsidiary, except to the extent of the amount of dividends or other distributions actually paid to the Borrower or any Restricted Subsidiaries by such Person during such period, (b) subject to </w:t>
      </w:r>
      <w:r>
        <w:rPr>
          <w:rFonts w:ascii="Arial" w:cs="Arial" w:eastAsia="Arial" w:hAnsi="Arial"/>
          <w:sz w:val="17"/>
          <w:szCs w:val="17"/>
          <w:u w:val="single" w:color="auto"/>
          <w:color w:val="0000E1"/>
        </w:rPr>
        <w:t>Section 5.2</w:t>
      </w:r>
      <w:r>
        <w:rPr>
          <w:rFonts w:ascii="Arial" w:cs="Arial" w:eastAsia="Arial" w:hAnsi="Arial"/>
          <w:sz w:val="17"/>
          <w:szCs w:val="17"/>
          <w:color w:val="0000E1"/>
        </w:rPr>
        <w:t>, the income (or loss) of any Person accrued but not received in cash by the Borrower or any of its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-554355</wp:posOffset>
            </wp:positionV>
            <wp:extent cx="254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-554355</wp:posOffset>
            </wp:positionV>
            <wp:extent cx="5143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-588645</wp:posOffset>
            </wp:positionV>
            <wp:extent cx="2857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-631825</wp:posOffset>
            </wp:positionV>
            <wp:extent cx="2857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-554355</wp:posOffset>
            </wp:positionV>
            <wp:extent cx="5143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-588645</wp:posOffset>
            </wp:positionV>
            <wp:extent cx="2857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-631825</wp:posOffset>
            </wp:positionV>
            <wp:extent cx="2857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371475</wp:posOffset>
            </wp:positionH>
            <wp:positionV relativeFrom="paragraph">
              <wp:posOffset>-494665</wp:posOffset>
            </wp:positionV>
            <wp:extent cx="2857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127" w:name="page128"/>
    <w:bookmarkEnd w:id="12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Subsidiaries prior to the date it becomes a Restricted Subsidiary or is merged into or consolidated with the Borrower or any Restricted Subsidiaries or that Person’s assets are acquired by the Borrower or any Restricted Subsidiaries, (c) any after tax gains or losses attributable to sales, leases or sub - leases, exclusive licenses (as licensor or sublicensor), conveyances, transfers or other dispositions of assets or properties or returned or surplus assets of any employee benefit plan, in each case other than in the ordinary course of business, (d) any after-tax income or loss (including the effect of all fees and expenses or charges relating thereto) attributable to the refinancing, modification of or early extinguishment of indebtedness and the termination of any Hedging Liabilities, (e)(x) any charges or expenses pursuant to any management equity plan or stock option plan or any other management or employee benefit plan or agreement, pension plan, any stock subscription or shareholder agreement or any distributor equity plan or agreement and (y) any charges, costs, expenses, accruals or reserves in connection with the rollover, acceleration or payout of Equity Interests held by management of the Borrower and its Restricted Subsidiaries, in each case of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to the extent that (in the case of any cash charges, costs and expenses) such charges, costs or expenses are funded with cash proceeds contributed to the capital of the Borrower or Net Cash Proceeds of an issuance of Equity Interests (other than Disqualified Stock) of the Borrower, (f) any net gain or loss resulting from currency translation gains or losses related to currency remeasurements of indebtedness (including any net loss or gain resulting from hedge agreements for currency exchange risk) and any foreign currency translation gains or losses, (g) any net realized or unrealized gains and losses resulting from obligations under hedging agreements or derivative instruments entered into for the purpose of hedging interest rate risk and the application of GAAP, (h) any write-off or amortization made in such period of deferred financing costs and premiums paid or other expenses incurred directly in connection with any early extinguishment of indebtedness, and (i) (to the extent not included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(h)</w:t>
      </w:r>
      <w:r>
        <w:rPr>
          <w:rFonts w:ascii="Arial" w:cs="Arial" w:eastAsia="Arial" w:hAnsi="Arial"/>
          <w:sz w:val="16"/>
          <w:szCs w:val="16"/>
          <w:color w:val="auto"/>
        </w:rPr>
        <w:t xml:space="preserve"> above) any net extraordinary, non -recurring or unusual gains or net extraordinary, non-recurring or unusual losses (including costs of and payments of actual or prospective legal settlements, fines, judgments or orders)</w:t>
      </w:r>
      <w:r>
        <w:rPr>
          <w:rFonts w:ascii="Arial" w:cs="Arial" w:eastAsia="Arial" w:hAnsi="Arial"/>
          <w:sz w:val="16"/>
          <w:szCs w:val="16"/>
          <w:color w:val="FF0000"/>
          <w:strike w:val="1"/>
        </w:rPr>
        <w:t>.</w:t>
      </w:r>
      <w:r>
        <w:rPr>
          <w:rFonts w:ascii="Arial" w:cs="Arial" w:eastAsia="Arial" w:hAnsi="Arial"/>
          <w:sz w:val="16"/>
          <w:szCs w:val="16"/>
          <w:u w:val="single" w:color="auto"/>
          <w:color w:val="0000E1"/>
        </w:rPr>
        <w:t>,</w:t>
      </w:r>
      <w:r>
        <w:rPr>
          <w:rFonts w:ascii="Arial" w:cs="Arial" w:eastAsia="Arial" w:hAnsi="Arial"/>
          <w:sz w:val="16"/>
          <w:szCs w:val="16"/>
          <w:color w:val="auto"/>
        </w:rPr>
        <w:t xml:space="preserve"> </w:t>
      </w:r>
      <w:r>
        <w:rPr>
          <w:rFonts w:ascii="Arial" w:cs="Arial" w:eastAsia="Arial" w:hAnsi="Arial"/>
          <w:sz w:val="16"/>
          <w:szCs w:val="16"/>
          <w:u w:val="single" w:color="auto"/>
          <w:color w:val="0000E1"/>
        </w:rPr>
        <w:t>but in no event shall any lost food and beverage revenues, amusement revenues and other lost or foregone revenues, including from reduced customer traffic resulting from voluntary or mandated social distancing and store closures (in each case attributable to the COVID-19 Pandemic, be included in Net Income pursuant to this clause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6855460</wp:posOffset>
            </wp:positionH>
            <wp:positionV relativeFrom="paragraph">
              <wp:posOffset>-285750</wp:posOffset>
            </wp:positionV>
            <wp:extent cx="2603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-148590</wp:posOffset>
            </wp:positionV>
            <wp:extent cx="684911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-11430</wp:posOffset>
            </wp:positionV>
            <wp:extent cx="68408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125095</wp:posOffset>
            </wp:positionV>
            <wp:extent cx="17487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6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In addition, to the extent not already included in or reducing the Net Income of the Borrower and its Restricted Subsidiaries, notwithstanding anything to the contrary in the foregoing (but without duplication) Net Income shall include (x) the amount of business interruption insurance, so long as the Borrower has made a determination that there exists reasonable expectation that such amount will in fact be reimbursed by the insurer and only to the extent that such amount is in fact reimbursed within 365 days of the date of such event (with a reversal in the applicable future period for any amount so included to the extent not so reimbursed within such 365-day period) and (y) expenses, charges or losses to the extent covered by indemnification or reimbursement provisions.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Revolving Credit Commitments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u w:val="single" w:color="auto"/>
          <w:color w:val="0000E1"/>
        </w:rPr>
        <w:t>(a)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23495</wp:posOffset>
            </wp:positionV>
            <wp:extent cx="12890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Revolving Lender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u w:val="single" w:color="auto"/>
          <w:color w:val="0000E1"/>
        </w:rPr>
        <w:t>(a)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23495</wp:posOffset>
            </wp:positionV>
            <wp:extent cx="12827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827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Revolving Loans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u w:val="single" w:color="auto"/>
          <w:color w:val="0000E1"/>
        </w:rPr>
        <w:t>(a)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23495</wp:posOffset>
            </wp:positionV>
            <wp:extent cx="12827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Term Lender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u w:val="single" w:color="auto"/>
          <w:color w:val="0000E1"/>
        </w:rPr>
        <w:t>(a)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23495</wp:posOffset>
            </wp:positionV>
            <wp:extent cx="12890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Term Loan Commitments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u w:val="single" w:color="auto"/>
          <w:color w:val="0000E1"/>
        </w:rPr>
        <w:t>(a)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23495</wp:posOffset>
            </wp:positionV>
            <wp:extent cx="12890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Term Loan Facility</w:t>
      </w:r>
      <w:r>
        <w:rPr>
          <w:rFonts w:ascii="Arial" w:cs="Arial" w:eastAsia="Arial" w:hAnsi="Arial"/>
          <w:sz w:val="18"/>
          <w:szCs w:val="18"/>
          <w:color w:val="auto"/>
        </w:rPr>
        <w:t xml:space="preserve">” </w:t>
      </w:r>
      <w:r>
        <w:rPr>
          <w:rFonts w:ascii="Arial" w:cs="Arial" w:eastAsia="Arial" w:hAnsi="Arial"/>
          <w:sz w:val="18"/>
          <w:szCs w:val="18"/>
          <w:color w:val="FF0000"/>
          <w:strike w:val="1"/>
        </w:rPr>
        <w:t>shall</w:t>
      </w:r>
      <w:r>
        <w:rPr>
          <w:rFonts w:ascii="Arial" w:cs="Arial" w:eastAsia="Arial" w:hAnsi="Arial"/>
          <w:sz w:val="18"/>
          <w:szCs w:val="18"/>
          <w:color w:val="auto"/>
        </w:rPr>
        <w:t xml:space="preserve"> mean</w:t>
      </w:r>
      <w:r>
        <w:rPr>
          <w:rFonts w:ascii="Arial" w:cs="Arial" w:eastAsia="Arial" w:hAnsi="Arial"/>
          <w:sz w:val="18"/>
          <w:szCs w:val="18"/>
          <w:u w:val="single" w:color="auto"/>
          <w:color w:val="0000E1"/>
        </w:rPr>
        <w:t>s</w:t>
      </w:r>
      <w:r>
        <w:rPr>
          <w:rFonts w:ascii="Arial" w:cs="Arial" w:eastAsia="Arial" w:hAnsi="Arial"/>
          <w:sz w:val="18"/>
          <w:szCs w:val="18"/>
          <w:color w:val="auto"/>
        </w:rPr>
        <w:t xml:space="preserve"> a facility providing for the borrowing of New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23495</wp:posOffset>
            </wp:positionV>
            <wp:extent cx="4318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Term Loans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u w:val="single" w:color="auto"/>
          <w:color w:val="0000E1"/>
        </w:rPr>
        <w:t>(a)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23495</wp:posOffset>
            </wp:positionV>
            <wp:extent cx="12890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128" w:name="page129"/>
    <w:bookmarkEnd w:id="1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Non-Defaulting Lender</w:t>
      </w:r>
      <w:r>
        <w:rPr>
          <w:rFonts w:ascii="Arial" w:cs="Arial" w:eastAsia="Arial" w:hAnsi="Arial"/>
          <w:sz w:val="18"/>
          <w:szCs w:val="18"/>
          <w:color w:val="auto"/>
        </w:rPr>
        <w:t xml:space="preserve">” </w:t>
      </w:r>
      <w:r>
        <w:rPr>
          <w:rFonts w:ascii="Arial" w:cs="Arial" w:eastAsia="Arial" w:hAnsi="Arial"/>
          <w:sz w:val="18"/>
          <w:szCs w:val="18"/>
          <w:color w:val="FF0000"/>
          <w:strike w:val="1"/>
        </w:rPr>
        <w:t>shall</w:t>
      </w:r>
      <w:r>
        <w:rPr>
          <w:rFonts w:ascii="Arial" w:cs="Arial" w:eastAsia="Arial" w:hAnsi="Arial"/>
          <w:sz w:val="18"/>
          <w:szCs w:val="18"/>
          <w:color w:val="auto"/>
        </w:rPr>
        <w:t xml:space="preserve"> mean</w:t>
      </w:r>
      <w:r>
        <w:rPr>
          <w:rFonts w:ascii="Arial" w:cs="Arial" w:eastAsia="Arial" w:hAnsi="Arial"/>
          <w:sz w:val="18"/>
          <w:szCs w:val="18"/>
          <w:u w:val="single" w:color="auto"/>
          <w:color w:val="0000E1"/>
        </w:rPr>
        <w:t>s</w:t>
      </w:r>
      <w:r>
        <w:rPr>
          <w:rFonts w:ascii="Arial" w:cs="Arial" w:eastAsia="Arial" w:hAnsi="Arial"/>
          <w:sz w:val="18"/>
          <w:szCs w:val="18"/>
          <w:color w:val="auto"/>
        </w:rPr>
        <w:t>, at any time, each Lender that is not a Defaulting Lender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23495</wp:posOffset>
            </wp:positionV>
            <wp:extent cx="4318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w:t>
      </w:r>
      <w:r>
        <w:rPr>
          <w:rFonts w:ascii="Arial" w:cs="Arial" w:eastAsia="Arial" w:hAnsi="Arial"/>
          <w:sz w:val="18"/>
          <w:szCs w:val="18"/>
          <w:color w:val="auto"/>
        </w:rPr>
        <w:t>” and “</w:t>
      </w:r>
      <w:r>
        <w:rPr>
          <w:rFonts w:ascii="Arial" w:cs="Arial" w:eastAsia="Arial" w:hAnsi="Arial"/>
          <w:sz w:val="18"/>
          <w:szCs w:val="18"/>
          <w:i w:val="1"/>
          <w:iCs w:val="1"/>
          <w:color w:val="auto"/>
        </w:rPr>
        <w:t>Notes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1.11(d)</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 Currency</w:t>
      </w:r>
      <w:r>
        <w:rPr>
          <w:rFonts w:ascii="Arial" w:cs="Arial" w:eastAsia="Arial" w:hAnsi="Arial"/>
          <w:sz w:val="18"/>
          <w:szCs w:val="18"/>
          <w:color w:val="auto"/>
        </w:rPr>
        <w:t xml:space="preserve">” </w:t>
      </w:r>
      <w:r>
        <w:rPr>
          <w:rFonts w:ascii="Arial" w:cs="Arial" w:eastAsia="Arial" w:hAnsi="Arial"/>
          <w:sz w:val="18"/>
          <w:szCs w:val="18"/>
          <w:color w:val="FF0000"/>
          <w:strike w:val="1"/>
        </w:rPr>
        <w:t>has the meaning set forth</w:t>
      </w:r>
      <w:r>
        <w:rPr>
          <w:rFonts w:ascii="Arial" w:cs="Arial" w:eastAsia="Arial" w:hAnsi="Arial"/>
          <w:sz w:val="18"/>
          <w:szCs w:val="18"/>
          <w:u w:val="single" w:color="auto"/>
          <w:color w:val="0000E1"/>
        </w:rPr>
        <w:t>is defined</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13.30</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u w:val="single" w:color="auto"/>
          <w:color w:val="0000E1"/>
        </w:rPr>
        <w:t>(a)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23495</wp:posOffset>
            </wp:positionV>
            <wp:extent cx="44577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23495</wp:posOffset>
            </wp:positionV>
            <wp:extent cx="12890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5" w:lineRule="exact"/>
        <w:rPr>
          <w:sz w:val="20"/>
          <w:szCs w:val="20"/>
          <w:color w:val="auto"/>
        </w:rPr>
      </w:pPr>
    </w:p>
    <w:p>
      <w:pPr>
        <w:jc w:val="both"/>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all obligations of the Borrower to pay principal and interest on the Loans, all Reimbursement Obligations owing under the Applications, all fees and charges payable hereunder, and all other payment obligations of Holdings, the Borrower or any Restricted Subsidiary arising under or in relation to any Loan Document, in each case whether now existing or hereafter arising, due or to become due, direct or indirect, absolute or contingent, and howsoever evidenced, held or acquired.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008000"/>
          <w:strike w:val="1"/>
        </w:rPr>
        <w:t>“Original Closing Date” means May 15, 2015.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OFAC</w:t>
      </w:r>
      <w:r>
        <w:rPr>
          <w:rFonts w:ascii="Arial" w:cs="Arial" w:eastAsia="Arial" w:hAnsi="Arial"/>
          <w:sz w:val="18"/>
          <w:szCs w:val="18"/>
          <w:color w:val="auto"/>
        </w:rPr>
        <w:t xml:space="preserve">” is defined in the definition of the term “Sanctions”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8000"/>
        </w:rPr>
        <w:t>“</w:t>
      </w:r>
      <w:r>
        <w:rPr>
          <w:rFonts w:ascii="Arial" w:cs="Arial" w:eastAsia="Arial" w:hAnsi="Arial"/>
          <w:sz w:val="18"/>
          <w:szCs w:val="18"/>
          <w:i w:val="1"/>
          <w:iCs w:val="1"/>
          <w:u w:val="single" w:color="auto"/>
          <w:color w:val="008000"/>
        </w:rPr>
        <w:t>Original Closing Date</w:t>
      </w:r>
      <w:r>
        <w:rPr>
          <w:rFonts w:ascii="Arial" w:cs="Arial" w:eastAsia="Arial" w:hAnsi="Arial"/>
          <w:sz w:val="18"/>
          <w:szCs w:val="18"/>
          <w:u w:val="single" w:color="auto"/>
          <w:color w:val="008000"/>
        </w:rPr>
        <w:t>” means May 15, 2015.</w:t>
      </w:r>
    </w:p>
    <w:p>
      <w:pPr>
        <w:spacing w:after="0" w:line="225" w:lineRule="exact"/>
        <w:rPr>
          <w:sz w:val="20"/>
          <w:szCs w:val="20"/>
          <w:color w:val="auto"/>
        </w:rPr>
      </w:pPr>
    </w:p>
    <w:p>
      <w:pPr>
        <w:jc w:val="both"/>
        <w:ind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Parent Company</w:t>
      </w:r>
      <w:r>
        <w:rPr>
          <w:rFonts w:ascii="Arial" w:cs="Arial" w:eastAsia="Arial" w:hAnsi="Arial"/>
          <w:sz w:val="16"/>
          <w:szCs w:val="16"/>
          <w:color w:val="auto"/>
        </w:rPr>
        <w:t>” means, with respect to a lender, the bank holding company (as defined in Federal Reserve Board Regulation Y), if any, of such Lender, and/or any Person owning, beneficially or of record, directly or indirectly, a majority of the economic or voting Equity Interests of such Lender.</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Dave &amp; Buster’s Entertainment, Inc.,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Participating Interest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Participating Lender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PATRIOT Act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13.24</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PBGC”</w:t>
      </w:r>
      <w:r>
        <w:rPr>
          <w:rFonts w:ascii="Arial" w:cs="Arial" w:eastAsia="Arial" w:hAnsi="Arial"/>
          <w:sz w:val="18"/>
          <w:szCs w:val="18"/>
          <w:color w:val="auto"/>
        </w:rPr>
        <w:t xml:space="preserve"> means the Pension Benefit Guaranty Corporation or any Person succeeding to any or all of its functions under ERISA.</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Percentage</w:t>
      </w:r>
      <w:r>
        <w:rPr>
          <w:rFonts w:ascii="Arial" w:cs="Arial" w:eastAsia="Arial" w:hAnsi="Arial"/>
          <w:sz w:val="18"/>
          <w:szCs w:val="18"/>
          <w:color w:val="auto"/>
        </w:rPr>
        <w:t>” means, for any Lender, its Revolver Percentage or Term Loan Percentage, as applicable and, where the term “</w:t>
      </w:r>
      <w:r>
        <w:rPr>
          <w:rFonts w:ascii="Arial" w:cs="Arial" w:eastAsia="Arial" w:hAnsi="Arial"/>
          <w:sz w:val="18"/>
          <w:szCs w:val="18"/>
          <w:i w:val="1"/>
          <w:iCs w:val="1"/>
          <w:color w:val="auto"/>
        </w:rPr>
        <w:t>Percentage</w:t>
      </w:r>
      <w:r>
        <w:rPr>
          <w:rFonts w:ascii="Arial" w:cs="Arial" w:eastAsia="Arial" w:hAnsi="Arial"/>
          <w:sz w:val="18"/>
          <w:szCs w:val="18"/>
          <w:color w:val="auto"/>
        </w:rPr>
        <w:t>” is applied on an aggregate basis, such aggregate percentage shall be calculated by aggregating the separate components of the Revolver Percentage and Term Loan Percentage and expressing such components on a single percentage basis.</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Acquisition</w:t>
      </w:r>
      <w:r>
        <w:rPr>
          <w:rFonts w:ascii="Arial" w:cs="Arial" w:eastAsia="Arial" w:hAnsi="Arial"/>
          <w:sz w:val="18"/>
          <w:szCs w:val="18"/>
          <w:color w:val="auto"/>
        </w:rPr>
        <w:t>” means any Acquisition (i) that has been approved by the Required Lenders in their sole discretion or (ii) with respect to which all of the following conditions shall have been satisfied:</w:t>
      </w:r>
    </w:p>
    <w:p>
      <w:pPr>
        <w:spacing w:after="0" w:line="170" w:lineRule="exact"/>
        <w:rPr>
          <w:sz w:val="20"/>
          <w:szCs w:val="20"/>
          <w:color w:val="auto"/>
        </w:rPr>
      </w:pPr>
    </w:p>
    <w:p>
      <w:pPr>
        <w:ind w:left="1360" w:hanging="373"/>
        <w:spacing w:after="0"/>
        <w:tabs>
          <w:tab w:leader="none" w:pos="13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after giving effect to such Acquisition, the Borrower will be in compliance with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Acquisition shall not be a Hostile Acquisition;</w:t>
      </w:r>
    </w:p>
    <w:p>
      <w:pPr>
        <w:spacing w:after="0" w:line="225" w:lineRule="exact"/>
        <w:rPr>
          <w:rFonts w:ascii="Arial" w:cs="Arial" w:eastAsia="Arial" w:hAnsi="Arial"/>
          <w:sz w:val="18"/>
          <w:szCs w:val="18"/>
          <w:color w:val="auto"/>
        </w:rPr>
      </w:pPr>
    </w:p>
    <w:p>
      <w:pPr>
        <w:ind w:right="20" w:firstLine="987"/>
        <w:spacing w:after="0" w:line="257" w:lineRule="auto"/>
        <w:tabs>
          <w:tab w:leader="none" w:pos="137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if total revenue of the Acquired Business exceeds $30,000,000 for the most recently ended consecutive four fiscal quarter period for which financial statements are available at the time of such Acquisition, the financial statements of the Acquired Business shall have been audited by a nationally recognized accounting firm (which shall include BDO USA, LLP, Grant Thornton LLP and </w:t>
      </w:r>
      <w:r>
        <w:rPr>
          <w:rFonts w:ascii="Arial" w:cs="Arial" w:eastAsia="Arial" w:hAnsi="Arial"/>
          <w:sz w:val="18"/>
          <w:szCs w:val="18"/>
          <w:color w:val="FF0000"/>
          <w:strike w:val="1"/>
        </w:rPr>
        <w:t>McGladrey</w:t>
      </w:r>
      <w:r>
        <w:rPr>
          <w:rFonts w:ascii="Arial" w:cs="Arial" w:eastAsia="Arial" w:hAnsi="Arial"/>
          <w:sz w:val="18"/>
          <w:szCs w:val="18"/>
          <w:u w:val="single" w:color="auto"/>
          <w:color w:val="0000E1"/>
        </w:rPr>
        <w:t>RSM US</w:t>
      </w:r>
      <w:r>
        <w:rPr>
          <w:rFonts w:ascii="Arial" w:cs="Arial" w:eastAsia="Arial" w:hAnsi="Arial"/>
          <w:sz w:val="18"/>
          <w:szCs w:val="18"/>
          <w:color w:val="auto"/>
        </w:rPr>
        <w:t xml:space="preserve"> LLP), or if such financial statements have not been audited by such an accounting firm, such financial statements shall have undergone a review by an accounting firm reasonably acceptable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5217795</wp:posOffset>
            </wp:positionH>
            <wp:positionV relativeFrom="paragraph">
              <wp:posOffset>-273685</wp:posOffset>
            </wp:positionV>
            <wp:extent cx="41148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274" w:right="479" w:bottom="1440" w:gutter="0" w:footer="0" w:header="0"/>
        </w:sectPr>
      </w:pPr>
    </w:p>
    <w:bookmarkStart w:id="129" w:name="page130"/>
    <w:bookmarkEnd w:id="129"/>
    <w:p>
      <w:pPr>
        <w:ind w:left="4" w:right="320" w:firstLine="987"/>
        <w:spacing w:after="0" w:line="277" w:lineRule="auto"/>
        <w:tabs>
          <w:tab w:leader="none" w:pos="1385" w:val="left"/>
        </w:tabs>
        <w:numPr>
          <w:ilvl w:val="1"/>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a new Restricted Subsidiary is formed or acquired as a result of or in connection with the Acquisition, the Borrower shall have complied with the requirements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8.17</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in connection therewith;</w:t>
      </w:r>
    </w:p>
    <w:p>
      <w:pPr>
        <w:spacing w:after="0" w:line="170" w:lineRule="exact"/>
        <w:rPr>
          <w:rFonts w:ascii="Arial" w:cs="Arial" w:eastAsia="Arial" w:hAnsi="Arial"/>
          <w:sz w:val="18"/>
          <w:szCs w:val="18"/>
          <w:color w:val="auto"/>
        </w:rPr>
      </w:pPr>
    </w:p>
    <w:p>
      <w:pPr>
        <w:ind w:left="4" w:right="320" w:firstLine="987"/>
        <w:spacing w:after="0" w:line="263" w:lineRule="auto"/>
        <w:tabs>
          <w:tab w:leader="none" w:pos="137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as of the date of the definitive documentation for such Acquisition, the Borrower would be in compliance with the financial covenants set forth in </w:t>
      </w:r>
      <w:r>
        <w:rPr>
          <w:rFonts w:ascii="Arial" w:cs="Arial" w:eastAsia="Arial" w:hAnsi="Arial"/>
          <w:sz w:val="18"/>
          <w:szCs w:val="18"/>
          <w:u w:val="single" w:color="auto"/>
          <w:color w:val="auto"/>
        </w:rPr>
        <w:t>Section 8.22</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in each case calculated on a Pro Forma Basis as of the last day of the most recent fiscal quarter for which financial statements are available prior to the date of such definitive documentation;</w:t>
      </w:r>
    </w:p>
    <w:p>
      <w:pPr>
        <w:spacing w:after="0" w:line="183" w:lineRule="exact"/>
        <w:rPr>
          <w:rFonts w:ascii="Arial" w:cs="Arial" w:eastAsia="Arial" w:hAnsi="Arial"/>
          <w:sz w:val="18"/>
          <w:szCs w:val="18"/>
          <w:color w:val="auto"/>
        </w:rPr>
      </w:pPr>
    </w:p>
    <w:p>
      <w:pPr>
        <w:ind w:left="1344" w:hanging="353"/>
        <w:spacing w:after="0"/>
        <w:tabs>
          <w:tab w:leader="none" w:pos="134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as of the date of the definitive documentation for such Acquisition, no Default or Event of Default; and</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1"/>
          <w:numId w:val="149"/>
        </w:numPr>
        <w:rPr>
          <w:rFonts w:ascii="Arial" w:cs="Arial" w:eastAsia="Arial" w:hAnsi="Arial"/>
          <w:sz w:val="16"/>
          <w:szCs w:val="16"/>
          <w:color w:val="auto"/>
        </w:rPr>
      </w:pPr>
      <w:r>
        <w:rPr>
          <w:rFonts w:ascii="Arial" w:cs="Arial" w:eastAsia="Arial" w:hAnsi="Arial"/>
          <w:sz w:val="16"/>
          <w:szCs w:val="16"/>
          <w:color w:val="auto"/>
        </w:rPr>
        <w:t xml:space="preserve">the Person so acquired (or the Person owning the assets so acquired) shall become (or be) a Guarantor; </w:t>
      </w:r>
      <w:r>
        <w:rPr>
          <w:rFonts w:ascii="Arial" w:cs="Arial" w:eastAsia="Arial" w:hAnsi="Arial"/>
          <w:sz w:val="16"/>
          <w:szCs w:val="16"/>
          <w:i w:val="1"/>
          <w:iCs w:val="1"/>
          <w:color w:val="auto"/>
        </w:rPr>
        <w:t>provided</w:t>
      </w:r>
      <w:r>
        <w:rPr>
          <w:rFonts w:ascii="Arial" w:cs="Arial" w:eastAsia="Arial" w:hAnsi="Arial"/>
          <w:sz w:val="16"/>
          <w:szCs w:val="16"/>
          <w:color w:val="FF0000"/>
          <w:strike w:val="1"/>
        </w:rPr>
        <w:t>,</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w:t>
      </w:r>
    </w:p>
    <w:p>
      <w:pPr>
        <w:spacing w:after="0" w:line="46" w:lineRule="exact"/>
        <w:rPr>
          <w:rFonts w:ascii="Arial" w:cs="Arial" w:eastAsia="Arial" w:hAnsi="Arial"/>
          <w:sz w:val="16"/>
          <w:szCs w:val="16"/>
          <w:color w:val="auto"/>
        </w:rPr>
      </w:pPr>
    </w:p>
    <w:p>
      <w:pPr>
        <w:ind w:left="4" w:right="100" w:hanging="4"/>
        <w:spacing w:after="0" w:line="260" w:lineRule="auto"/>
        <w:tabs>
          <w:tab w:leader="none" w:pos="259" w:val="left"/>
        </w:tabs>
        <w:numPr>
          <w:ilvl w:val="0"/>
          <w:numId w:val="150"/>
        </w:numPr>
        <w:rPr>
          <w:rFonts w:ascii="Arial" w:cs="Arial" w:eastAsia="Arial" w:hAnsi="Arial"/>
          <w:sz w:val="18"/>
          <w:szCs w:val="18"/>
          <w:u w:val="single" w:color="auto"/>
          <w:color w:val="auto"/>
        </w:rPr>
      </w:pPr>
      <w:r>
        <w:rPr>
          <w:rFonts w:ascii="Arial" w:cs="Arial" w:eastAsia="Arial" w:hAnsi="Arial"/>
          <w:sz w:val="18"/>
          <w:szCs w:val="18"/>
          <w:color w:val="auto"/>
        </w:rPr>
        <w:t>shall not restrict Acquisitions of such Person to the extent that such Person becomes a Guarantor, even though such Person owns Equity Interests in Persons that are not otherwise required to become Guarantors.</w:t>
      </w:r>
    </w:p>
    <w:p>
      <w:pPr>
        <w:spacing w:after="0" w:line="185" w:lineRule="exact"/>
        <w:rPr>
          <w:sz w:val="20"/>
          <w:szCs w:val="20"/>
          <w:color w:val="auto"/>
        </w:rPr>
      </w:pPr>
    </w:p>
    <w:p>
      <w:pPr>
        <w:ind w:left="5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xml:space="preserve">” means Liens permitted under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Refinancing</w:t>
      </w:r>
      <w:r>
        <w:rPr>
          <w:rFonts w:ascii="Arial" w:cs="Arial" w:eastAsia="Arial" w:hAnsi="Arial"/>
          <w:sz w:val="16"/>
          <w:szCs w:val="16"/>
          <w:color w:val="auto"/>
        </w:rPr>
        <w:t xml:space="preserve">” means, with respect to any Person, any modification, refinancing, refunding, renewal, replacement, exchange or extension of any indebtedness of such Person </w:t>
      </w:r>
      <w:r>
        <w:rPr>
          <w:rFonts w:ascii="Arial" w:cs="Arial" w:eastAsia="Arial" w:hAnsi="Arial"/>
          <w:sz w:val="16"/>
          <w:szCs w:val="16"/>
          <w:color w:val="FF0000"/>
        </w:rPr>
        <w:t>(the “Refinanced Debt”)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indebtedness so modified, refinanced, refunded, renewed, replaced, exchanged or extended except by an amount equal to unpaid accrued interest and premium thereon plus other reasonable amounts paid, and fees and expenses reasonably incurred, in connection with such modification, refinancing, refunding, renewal, replacement, exchange or extension and by an amount equal to any existing commitments unutilized thereunder and as otherwise permitted to be incurred or issued pursuant to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(b) other than with respect to indebtedness permitted pursuant to </w:t>
      </w:r>
      <w:r>
        <w:rPr>
          <w:rFonts w:ascii="Arial" w:cs="Arial" w:eastAsia="Arial" w:hAnsi="Arial"/>
          <w:sz w:val="16"/>
          <w:szCs w:val="16"/>
          <w:u w:val="single" w:color="auto"/>
          <w:color w:val="auto"/>
        </w:rPr>
        <w:t>Sections 8.7(h)</w:t>
      </w:r>
      <w:r>
        <w:rPr>
          <w:rFonts w:ascii="Arial" w:cs="Arial" w:eastAsia="Arial" w:hAnsi="Arial"/>
          <w:sz w:val="16"/>
          <w:szCs w:val="16"/>
          <w:u w:val="single" w:color="auto"/>
          <w:color w:val="0000E1"/>
        </w:rPr>
        <w:t>(i )</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(l)</w:t>
      </w:r>
      <w:r>
        <w:rPr>
          <w:rFonts w:ascii="Arial" w:cs="Arial" w:eastAsia="Arial" w:hAnsi="Arial"/>
          <w:sz w:val="16"/>
          <w:szCs w:val="16"/>
          <w:color w:val="auto"/>
        </w:rPr>
        <w:t xml:space="preserve">, such modification, refinancing, refunding, renewal, replacement, exchange or extension has a final maturity date equal to or later than the final maturity date of, and has a Weighted Average Life to Maturity equal to or greater than the Weighted Average Life to Maturity of, the indebtedness being modified, refinanced, refunded, renewed, exchanged or extended, (c) if the indebtedness being modified, refinanced, refunded, renewed, replaced, exchanged or extended is contractually subordinated in right of payment to the Obligations and/or is secured by a Lien that is junior to the Lien securing the Obligations, such modification, refinancing, refunding, renewal, exchange or extension is contractually subordinated in right of payment to the Obligations and/or is secured by a Lien that is junior to the Lien securing the Obligations on terms at least as favorable to the Lenders as those contained in the documentation governing the indebtedness being modified, refinanced, refunded, renewed, replaced, exchanged or extended, taken as a whole, (d) such modification, refinancing, refunding, renewal, replacement, exchange or extension is incurred solely by the Person or Persons who are the obligors on the indebtedness being modified, refinanced, refunded, renewed, replaced, exchanged or extended or would otherwise be permitted to incur such indebtedness (including any guarantors thereof to the extent of any guarantees thereof permitted pursuant to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8.9</w:t>
      </w:r>
      <w:r>
        <w:rPr>
          <w:rFonts w:ascii="Arial" w:cs="Arial" w:eastAsia="Arial" w:hAnsi="Arial"/>
          <w:sz w:val="16"/>
          <w:szCs w:val="16"/>
          <w:color w:val="auto"/>
        </w:rPr>
        <w:t>), (e) such indebtedness shall be unsecured if the indebtedness being modified, refinanced, refunded, renewed, replaced, exchanged or extended is unsecured (other than Permitted Liens), (f) such indebtedness is not secured by any additional property or collateral other than (i) property or collateral securing the indebtedness being modified, refinanced, refunded, renewed, replaced, exchanged or extended, (ii) after-acquired property that is affixed or incorporated into the property covered by the Lien securing such indebtedness, (iii) Permitted Liens,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-2549525</wp:posOffset>
            </wp:positionV>
            <wp:extent cx="114490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144905" cy="8255"/>
                    </a:xfrm>
                    <a:prstGeom prst="rect">
                      <a:avLst/>
                    </a:prstGeom>
                    <a:noFill/>
                  </pic:spPr>
                </pic:pic>
              </a:graphicData>
            </a:graphic>
          </wp:anchor>
        </w:drawing>
        <w:drawing>
          <wp:anchor simplePos="0" relativeHeight="251657728" behindDoc="1" locked="0" layoutInCell="0" allowOverlap="1">
            <wp:simplePos x="0" y="0"/>
            <wp:positionH relativeFrom="column">
              <wp:posOffset>3240405</wp:posOffset>
            </wp:positionH>
            <wp:positionV relativeFrom="paragraph">
              <wp:posOffset>-1786255</wp:posOffset>
            </wp:positionV>
            <wp:extent cx="13716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4"/>
          </w:cols>
          <w:pgMar w:left="436" w:top="274" w:right="499" w:bottom="1440" w:gutter="0" w:footer="0" w:header="0"/>
        </w:sectPr>
      </w:pPr>
    </w:p>
    <w:bookmarkStart w:id="130" w:name="page131"/>
    <w:bookmarkEnd w:id="130"/>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accessions, proceeds and products thereof and (v) to the extent securing assets financed by the same counterparty or its affiliate, (g) if any Liens securing the indebtedness being modified, refinanced, refunded, renewed, replaced, exchanged or extended is secured by the Collateral on a second priority (or other junior priority) basis to the Liens securing the Obligations, the Liens securing such indebtedness shall be secured by the Collateral on a second priority (or other junior priority) basis to the Liens securing the Obligations on terms that are at least as favorable to the Secured Creditors as those contained in the documentation governing the indebtedness being modified, refinanced, refunded, renewed, replaced, exchanged or extended, taken as a whole and (h) at the time of such modification, refinancing, refunding, renewal, replacement, exchange or extension of such indebtedness (other than in respect of Capital Lease Obligations, purchase money indebtedness or other indebtedness of the type permitted to be incurred pursuant to </w:t>
      </w:r>
      <w:r>
        <w:rPr>
          <w:rFonts w:ascii="Arial" w:cs="Arial" w:eastAsia="Arial" w:hAnsi="Arial"/>
          <w:sz w:val="17"/>
          <w:szCs w:val="17"/>
          <w:u w:val="single" w:color="auto"/>
          <w:color w:val="auto"/>
        </w:rPr>
        <w:t>Section 8.7(b)</w:t>
      </w:r>
      <w:r>
        <w:rPr>
          <w:rFonts w:ascii="Arial" w:cs="Arial" w:eastAsia="Arial" w:hAnsi="Arial"/>
          <w:sz w:val="17"/>
          <w:szCs w:val="17"/>
          <w:color w:val="auto"/>
        </w:rPr>
        <w:t>), no Event of Default shall have occurred and be continuing or result therefrom.</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i w:val="1"/>
          <w:iCs w:val="1"/>
          <w:color w:val="FF0000"/>
          <w:strike w:val="1"/>
        </w:rPr>
        <w:t>Permitted Surviving Debt</w:t>
      </w:r>
      <w:r>
        <w:rPr>
          <w:rFonts w:ascii="Arial" w:cs="Arial" w:eastAsia="Arial" w:hAnsi="Arial"/>
          <w:sz w:val="18"/>
          <w:szCs w:val="18"/>
          <w:color w:val="FF0000"/>
          <w:strike w:val="1"/>
        </w:rPr>
        <w:t>” means such indebtedness listed on Schedule 8.7.</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partnership, corporation, limited liability company, association, trust, unincorporated organization or any other entity or organization, including a government or agency or political subdivision thereof.</w:t>
      </w:r>
    </w:p>
    <w:p>
      <w:pPr>
        <w:spacing w:after="0" w:line="170"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any employee pension benefit plan covered by Title IV of ERISA or subject to the minimum funding standards under Section 412 of the Code that either (a) is maintained by a member of the Controlled Group for employees of a member of the Controlled Group or (b) is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Platform</w:t>
      </w:r>
      <w:r>
        <w:rPr>
          <w:rFonts w:ascii="Arial" w:cs="Arial" w:eastAsia="Arial" w:hAnsi="Arial"/>
          <w:sz w:val="18"/>
          <w:szCs w:val="18"/>
          <w:color w:val="auto"/>
        </w:rPr>
        <w:t xml:space="preserve">” </w:t>
      </w:r>
      <w:r>
        <w:rPr>
          <w:rFonts w:ascii="Arial" w:cs="Arial" w:eastAsia="Arial" w:hAnsi="Arial"/>
          <w:sz w:val="18"/>
          <w:szCs w:val="18"/>
          <w:color w:val="FF0000"/>
          <w:strike w:val="1"/>
        </w:rPr>
        <w:t>shall</w:t>
      </w:r>
      <w:r>
        <w:rPr>
          <w:rFonts w:ascii="Arial" w:cs="Arial" w:eastAsia="Arial" w:hAnsi="Arial"/>
          <w:sz w:val="18"/>
          <w:szCs w:val="18"/>
          <w:color w:val="auto"/>
        </w:rPr>
        <w:t xml:space="preserve"> mean</w:t>
      </w:r>
      <w:r>
        <w:rPr>
          <w:rFonts w:ascii="Arial" w:cs="Arial" w:eastAsia="Arial" w:hAnsi="Arial"/>
          <w:sz w:val="18"/>
          <w:szCs w:val="18"/>
          <w:u w:val="single" w:color="auto"/>
          <w:color w:val="0000E1"/>
        </w:rPr>
        <w:t>s</w:t>
      </w:r>
      <w:r>
        <w:rPr>
          <w:rFonts w:ascii="Arial" w:cs="Arial" w:eastAsia="Arial" w:hAnsi="Arial"/>
          <w:sz w:val="18"/>
          <w:szCs w:val="18"/>
          <w:color w:val="auto"/>
        </w:rPr>
        <w:t xml:space="preserve"> IntraLinks, SyndTrak, ClearPar or a substantially similar electronic transmission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1334770</wp:posOffset>
            </wp:positionH>
            <wp:positionV relativeFrom="paragraph">
              <wp:posOffset>23495</wp:posOffset>
            </wp:positionV>
            <wp:extent cx="4318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Premises</w:t>
      </w:r>
      <w:r>
        <w:rPr>
          <w:rFonts w:ascii="Arial" w:cs="Arial" w:eastAsia="Arial" w:hAnsi="Arial"/>
          <w:sz w:val="18"/>
          <w:szCs w:val="18"/>
          <w:color w:val="auto"/>
        </w:rPr>
        <w:t>” means the real property owned or leased by the Borrower or any Restricted Subsidiaries.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Prepayment Sale/Leaseback Transaction</w:t>
      </w:r>
      <w:r>
        <w:rPr>
          <w:rFonts w:ascii="Arial" w:cs="Arial" w:eastAsia="Arial" w:hAnsi="Arial"/>
          <w:sz w:val="18"/>
          <w:szCs w:val="18"/>
          <w:u w:val="single" w:color="auto"/>
          <w:color w:val="0000E1"/>
        </w:rPr>
        <w:t>” is defined in Section 1.9(b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48869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05"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Owned Properties</w:t>
      </w:r>
      <w:r>
        <w:rPr>
          <w:rFonts w:ascii="Arial" w:cs="Arial" w:eastAsia="Arial" w:hAnsi="Arial"/>
          <w:sz w:val="16"/>
          <w:szCs w:val="16"/>
          <w:color w:val="auto"/>
        </w:rPr>
        <w:t>” means fee interests in real property owned or leased by the Borrower or any of its Restricted Subsidiaries located in the United States and held or used for the development and/or operation of venues combining dining and entertainment for adults and families.</w:t>
      </w:r>
    </w:p>
    <w:p>
      <w:pPr>
        <w:spacing w:after="0" w:line="124"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Owned Property Holdcos</w:t>
      </w:r>
      <w:r>
        <w:rPr>
          <w:rFonts w:ascii="Arial" w:cs="Arial" w:eastAsia="Arial" w:hAnsi="Arial"/>
          <w:sz w:val="18"/>
          <w:szCs w:val="18"/>
          <w:color w:val="auto"/>
        </w:rPr>
        <w:t>” means any stock or other ownership interest owned or held by the Borrower or any of its Restricted Subsidiaries in any corporation or other entity owning Principal Owned Properties.</w:t>
      </w:r>
    </w:p>
    <w:p>
      <w:pPr>
        <w:spacing w:after="0" w:line="170"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Forma Basis</w:t>
      </w:r>
      <w:r>
        <w:rPr>
          <w:rFonts w:ascii="Arial" w:cs="Arial" w:eastAsia="Arial" w:hAnsi="Arial"/>
          <w:sz w:val="18"/>
          <w:szCs w:val="18"/>
          <w:color w:val="auto"/>
        </w:rPr>
        <w:t>” or “</w:t>
      </w:r>
      <w:r>
        <w:rPr>
          <w:rFonts w:ascii="Arial" w:cs="Arial" w:eastAsia="Arial" w:hAnsi="Arial"/>
          <w:sz w:val="18"/>
          <w:szCs w:val="18"/>
          <w:i w:val="1"/>
          <w:iCs w:val="1"/>
          <w:color w:val="auto"/>
        </w:rPr>
        <w:t>pro forma effect</w:t>
      </w:r>
      <w:r>
        <w:rPr>
          <w:rFonts w:ascii="Arial" w:cs="Arial" w:eastAsia="Arial" w:hAnsi="Arial"/>
          <w:sz w:val="18"/>
          <w:szCs w:val="18"/>
          <w:color w:val="auto"/>
        </w:rPr>
        <w:t>” means, with respect to any determination of the Secured Leverage Ratio, the Total Leverage Ratio, the Fixed Charge Coverage Ratio, Consolidated Total Assets or the calculation of any other financial ratio or test hereunder (including, in each case, component definitions thereof) that all Subject Transactions and the following transactions in connection therewith shall be deemed to have occurred as of the first day of the applicable period of measurement (or, in the case of Consolidated Total Assets, as of the last day of such period) with respect to any ratio or test for which such calculation is being made: (a) income statement items (whether positive or negative) attributable to the property or Person subject to such Subject Transaction, (i) in the case of a disposition of a Restricted Subsidiary or all or substantially all of the assets of a Restricted Subsidiary (or any business or division of the Borrower or any Restricted Subsidiary) or any designation of a Restricted Subsidiary as an Unrestricted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131" w:name="page132"/>
    <w:bookmarkEnd w:id="131"/>
    <w:p>
      <w:pPr>
        <w:ind w:right="14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Subsidiary, shall be excluded, and (ii) in the case of a Permitted Acquisition, investment or Subsidiary Redesignation described in the definition of the term “Subject Transaction”, shall be included, (b) any incurrence, retirement or repayment by the Borrower or any of its Restricted</w:t>
      </w:r>
    </w:p>
    <w:p>
      <w:pPr>
        <w:spacing w:after="0" w:line="267" w:lineRule="auto"/>
        <w:rPr>
          <w:sz w:val="20"/>
          <w:szCs w:val="20"/>
          <w:color w:val="auto"/>
        </w:rPr>
      </w:pPr>
      <w:r>
        <w:rPr>
          <w:rFonts w:ascii="Arial" w:cs="Arial" w:eastAsia="Arial" w:hAnsi="Arial"/>
          <w:sz w:val="17"/>
          <w:szCs w:val="17"/>
          <w:color w:val="FF0000"/>
          <w:strike w:val="1"/>
        </w:rPr>
        <w:t>Subsidiary</w:t>
      </w:r>
      <w:r>
        <w:rPr>
          <w:rFonts w:ascii="Arial" w:cs="Arial" w:eastAsia="Arial" w:hAnsi="Arial"/>
          <w:sz w:val="17"/>
          <w:szCs w:val="17"/>
          <w:color w:val="FF0000"/>
        </w:rPr>
        <w:t xml:space="preserve"> </w:t>
      </w:r>
      <w:r>
        <w:rPr>
          <w:rFonts w:ascii="Arial" w:cs="Arial" w:eastAsia="Arial" w:hAnsi="Arial"/>
          <w:sz w:val="17"/>
          <w:szCs w:val="17"/>
          <w:color w:val="000000"/>
        </w:rPr>
        <w:t>Subsidiaries of indebtedness;</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FF0000"/>
        </w:rPr>
        <w:t xml:space="preserve"> </w:t>
      </w:r>
      <w:r>
        <w:rPr>
          <w:rFonts w:ascii="Arial" w:cs="Arial" w:eastAsia="Arial" w:hAnsi="Arial"/>
          <w:sz w:val="17"/>
          <w:szCs w:val="17"/>
          <w:color w:val="000000"/>
        </w:rPr>
        <w:t>that in the case of this</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clause (b)</w:t>
      </w:r>
      <w:r>
        <w:rPr>
          <w:rFonts w:ascii="Arial" w:cs="Arial" w:eastAsia="Arial" w:hAnsi="Arial"/>
          <w:sz w:val="17"/>
          <w:szCs w:val="17"/>
          <w:color w:val="000000"/>
        </w:rPr>
        <w:t>, (x) if such indebtedness has a floating or formula rate, such</w:t>
      </w:r>
      <w:r>
        <w:rPr>
          <w:rFonts w:ascii="Arial" w:cs="Arial" w:eastAsia="Arial" w:hAnsi="Arial"/>
          <w:sz w:val="17"/>
          <w:szCs w:val="17"/>
          <w:color w:val="FF0000"/>
        </w:rPr>
        <w:t xml:space="preserve"> </w:t>
      </w:r>
      <w:r>
        <w:rPr>
          <w:rFonts w:ascii="Arial" w:cs="Arial" w:eastAsia="Arial" w:hAnsi="Arial"/>
          <w:sz w:val="17"/>
          <w:szCs w:val="17"/>
          <w:color w:val="000000"/>
        </w:rPr>
        <w:t xml:space="preserve">indebtedness shall have an implied rate of interest for the applicable period for purposes of this definition determined by utilizing the rate that is or would be in effect with respect to such indebtedness at the relevant date of determination (taking into account any interest hedging arrangements applicable to such indebtedness), (y) interest on any obligations with respect to Capital Leases shall be deemed to accrue at an interest rate reasonably determined by the Borrower to be the rate of interest implicit in such obligation in accordance with GAAP and (z)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w:t>
      </w:r>
      <w:r>
        <w:rPr>
          <w:rFonts w:ascii="Arial" w:cs="Arial" w:eastAsia="Arial" w:hAnsi="Arial"/>
          <w:sz w:val="17"/>
          <w:szCs w:val="17"/>
          <w:color w:val="FF0000"/>
          <w:strike w:val="1"/>
        </w:rPr>
        <w:t>such</w:t>
      </w:r>
      <w:r>
        <w:rPr>
          <w:rFonts w:ascii="Arial" w:cs="Arial" w:eastAsia="Arial" w:hAnsi="Arial"/>
          <w:sz w:val="17"/>
          <w:szCs w:val="17"/>
          <w:u w:val="single" w:color="auto"/>
          <w:color w:val="0000E1"/>
        </w:rPr>
        <w:t>the</w:t>
      </w:r>
      <w:r>
        <w:rPr>
          <w:rFonts w:ascii="Arial" w:cs="Arial" w:eastAsia="Arial" w:hAnsi="Arial"/>
          <w:sz w:val="17"/>
          <w:szCs w:val="17"/>
          <w:color w:val="000000"/>
        </w:rPr>
        <w:t xml:space="preserve"> Borrower or </w:t>
      </w:r>
      <w:r>
        <w:rPr>
          <w:rFonts w:ascii="Arial" w:cs="Arial" w:eastAsia="Arial" w:hAnsi="Arial"/>
          <w:sz w:val="17"/>
          <w:szCs w:val="17"/>
          <w:u w:val="single" w:color="auto"/>
          <w:color w:val="0000E1"/>
        </w:rPr>
        <w:t>such</w:t>
      </w:r>
      <w:r>
        <w:rPr>
          <w:rFonts w:ascii="Arial" w:cs="Arial" w:eastAsia="Arial" w:hAnsi="Arial"/>
          <w:sz w:val="17"/>
          <w:szCs w:val="17"/>
          <w:color w:val="000000"/>
        </w:rPr>
        <w:t xml:space="preserve"> Restricted Subsidiary may designate and (c) the acquisition of any Consolidated Total Assets, whether pursuant to any Subject Transaction or any Person becoming a Restricted Subsidiary or merging, amalgamating or consolidating with or into the Borrower or any of its Restricted Subsidiaries;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w:t>
      </w:r>
      <w:r>
        <w:rPr>
          <w:rFonts w:ascii="Arial" w:cs="Arial" w:eastAsia="Arial" w:hAnsi="Arial"/>
          <w:sz w:val="17"/>
          <w:szCs w:val="17"/>
          <w:color w:val="FF0000"/>
          <w:strike w:val="1"/>
        </w:rPr>
        <w:t>,</w:t>
      </w:r>
      <w:r>
        <w:rPr>
          <w:rFonts w:ascii="Arial" w:cs="Arial" w:eastAsia="Arial" w:hAnsi="Arial"/>
          <w:sz w:val="17"/>
          <w:szCs w:val="17"/>
          <w:color w:val="000000"/>
        </w:rPr>
        <w:t xml:space="preserve"> the foregoing pro forma adjustments described in </w:t>
      </w:r>
      <w:r>
        <w:rPr>
          <w:rFonts w:ascii="Arial" w:cs="Arial" w:eastAsia="Arial" w:hAnsi="Arial"/>
          <w:sz w:val="17"/>
          <w:szCs w:val="17"/>
          <w:u w:val="single" w:color="auto"/>
          <w:color w:val="000000"/>
        </w:rPr>
        <w:t>clause (a)</w:t>
      </w:r>
      <w:r>
        <w:rPr>
          <w:rFonts w:ascii="Arial" w:cs="Arial" w:eastAsia="Arial" w:hAnsi="Arial"/>
          <w:sz w:val="17"/>
          <w:szCs w:val="17"/>
          <w:color w:val="000000"/>
        </w:rPr>
        <w:t xml:space="preserve"> above may be applied to any such ratio or test solely to the extent that such adjustments are consistent with the definition of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5612130</wp:posOffset>
            </wp:positionH>
            <wp:positionV relativeFrom="paragraph">
              <wp:posOffset>-549910</wp:posOffset>
            </wp:positionV>
            <wp:extent cx="14541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-549910</wp:posOffset>
            </wp:positionV>
            <wp:extent cx="20574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66"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as to any Person, all types of real, personal, tangible, intangible or mixed property owned by such Person whether or not included in the most recent consolidated balance sheet of such Person under GAAP.</w:t>
      </w:r>
    </w:p>
    <w:p>
      <w:pPr>
        <w:spacing w:after="0" w:line="170"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Public Company Costs</w:t>
      </w:r>
      <w:r>
        <w:rPr>
          <w:rFonts w:ascii="Arial" w:cs="Arial" w:eastAsia="Arial" w:hAnsi="Arial"/>
          <w:sz w:val="16"/>
          <w:szCs w:val="16"/>
          <w:color w:val="auto"/>
        </w:rPr>
        <w:t>” means (a) costs, expenses and disbursements associated with, related to or incurred in anticipation of, or preparation for compliance with (x) the requirements of the Sarbanes-Oxley Act of 2002 and the rules and regulations promulgated in connection therewith, (y) the provisions of the Securities Act and the Exchange Act, as applicable to companies with equity or debt securities held by the public, and (z) the rules of national securities exchange companies with listed equity or debt securities, (b) costs and expenses associated with investor relations, shareholder meetings and reports to shareholders or debtholders and listing fees, and (c) directors’ and officers’ compensation, fees, indemnification, expense reimbursement (including legal and other professional fees, expenses and disbursements), and insurance.</w:t>
      </w:r>
    </w:p>
    <w:p>
      <w:pPr>
        <w:spacing w:after="0" w:line="16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Lenders</w:t>
      </w:r>
      <w:r>
        <w:rPr>
          <w:rFonts w:ascii="Arial" w:cs="Arial" w:eastAsia="Arial" w:hAnsi="Arial"/>
          <w:sz w:val="18"/>
          <w:szCs w:val="18"/>
          <w:color w:val="auto"/>
        </w:rPr>
        <w:t>” means certain of the Lenders who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0000E1"/>
        </w:rPr>
        <w:t xml:space="preserve">“ </w:t>
      </w:r>
      <w:r>
        <w:rPr>
          <w:rFonts w:ascii="Arial" w:cs="Arial" w:eastAsia="Arial" w:hAnsi="Arial"/>
          <w:sz w:val="16"/>
          <w:szCs w:val="16"/>
          <w:i w:val="1"/>
          <w:iCs w:val="1"/>
          <w:u w:val="single" w:color="auto"/>
          <w:color w:val="0000E1"/>
        </w:rPr>
        <w:t>QFC</w:t>
      </w:r>
      <w:r>
        <w:rPr>
          <w:rFonts w:ascii="Arial" w:cs="Arial" w:eastAsia="Arial" w:hAnsi="Arial"/>
          <w:sz w:val="16"/>
          <w:szCs w:val="16"/>
          <w:u w:val="single" w:color="auto"/>
          <w:color w:val="0000E1"/>
        </w:rPr>
        <w:t>” has the meaning assigned to the term “qualified financial contract” in, and shall be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1"/>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-121920</wp:posOffset>
            </wp:positionV>
            <wp:extent cx="659193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5919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18859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1"/>
        </w:rPr>
        <w:t>“ QFC Credit Support” is defined in Section  13.31.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239141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0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ECP Guarantor</w:t>
      </w:r>
      <w:r>
        <w:rPr>
          <w:rFonts w:ascii="Arial" w:cs="Arial" w:eastAsia="Arial" w:hAnsi="Arial"/>
          <w:sz w:val="18"/>
          <w:szCs w:val="18"/>
          <w:color w:val="auto"/>
        </w:rPr>
        <w:t>” means, in respect of any Swap Obligation, each Loan Party that has total assets exceeding $10,000,000 at the time such Swap Obligation is incurred or such other person as constitutes an ECP under the Commodity Exchange Act or any regulations promulgated thereunder and can cause another Person to qualify as an “eligible contract participant.”</w:t>
      </w:r>
    </w:p>
    <w:p>
      <w:pPr>
        <w:spacing w:after="0" w:line="184"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Qualifying Restaurant Lease Obligations</w:t>
      </w:r>
      <w:r>
        <w:rPr>
          <w:rFonts w:ascii="Arial" w:cs="Arial" w:eastAsia="Arial" w:hAnsi="Arial"/>
          <w:sz w:val="17"/>
          <w:szCs w:val="17"/>
          <w:color w:val="auto"/>
        </w:rPr>
        <w:t>” means, for any Person, any lease for a Unit by such Person as lessee which in accordance with GAAP is an operating lease of such Person, it being understood and agreed that, any lease for a Unit which is (or would be) classified and accounted for as operating leases on a basis consistent with the accounting treatment reflected in the audited financial statements for Parent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60"/>
          </w:cols>
          <w:pgMar w:left="440" w:top="274" w:right="499" w:bottom="1440" w:gutter="0" w:footer="0" w:header="0"/>
        </w:sectPr>
      </w:pPr>
    </w:p>
    <w:bookmarkStart w:id="132" w:name="page133"/>
    <w:bookmarkEnd w:id="13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its Subsidiaries for the fiscal year ended January 29, 2017, which might be capitalized (and recognized as a liability on the balance sheet), shall instead be classified and accounted for as an operating lease for all purposes of the this Agreement (including for purposes of the financial ratios and other financial calculations, the amount and utilization of any “basket” and whether any lease should be treated as a capital lease and the amount of any Capitalized Lease Obligations), regardless of any change in GAAP or the application or interpretation thereof (and disregarding the cumulative effect of changes in accounting principles, including without giving effect to any change to GAAP occurring after the Closing Date as a result of ASC 2016-02 or any other change in GAAP or the application or interpretation thereof pertaining to the treatment of leases if such change would require treating any lease (or similar arrangement conveying the right to use) as a capital lease where such lease (or similar arrangement) was not required to be so treated under GAAP as in effect on the Closing Date).</w:t>
      </w:r>
    </w:p>
    <w:p>
      <w:pPr>
        <w:spacing w:after="0" w:line="17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RCRA</w:t>
      </w:r>
      <w:r>
        <w:rPr>
          <w:rFonts w:ascii="Arial" w:cs="Arial" w:eastAsia="Arial" w:hAnsi="Arial"/>
          <w:sz w:val="18"/>
          <w:szCs w:val="18"/>
          <w:color w:val="auto"/>
        </w:rPr>
        <w:t xml:space="preserve">” means the Solid Waste Disposal Act, as amended by the Resource Conservation and Recovery Act of 1976 and Hazardous and Solid Waste Amendments of 1984, 42 U.S.C. §§6901 </w:t>
      </w:r>
      <w:r>
        <w:rPr>
          <w:rFonts w:ascii="Arial" w:cs="Arial" w:eastAsia="Arial" w:hAnsi="Arial"/>
          <w:sz w:val="18"/>
          <w:szCs w:val="18"/>
          <w:i w:val="1"/>
          <w:iCs w:val="1"/>
          <w:color w:val="auto"/>
        </w:rPr>
        <w:t>et seq.</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Period</w:t>
      </w:r>
      <w:r>
        <w:rPr>
          <w:rFonts w:ascii="Arial" w:cs="Arial" w:eastAsia="Arial" w:hAnsi="Arial"/>
          <w:sz w:val="18"/>
          <w:szCs w:val="18"/>
          <w:color w:val="auto"/>
        </w:rPr>
        <w:t>” means any period of four consecutive fiscal quarters.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w:t>
      </w:r>
      <w:r>
        <w:rPr>
          <w:rFonts w:ascii="Arial" w:cs="Arial" w:eastAsia="Arial" w:hAnsi="Arial"/>
          <w:sz w:val="18"/>
          <w:szCs w:val="18"/>
          <w:color w:val="auto"/>
        </w:rPr>
        <w:t>” is defined in the definition of the term “</w:t>
      </w:r>
      <w:r>
        <w:rPr>
          <w:rFonts w:ascii="Arial" w:cs="Arial" w:eastAsia="Arial" w:hAnsi="Arial"/>
          <w:sz w:val="18"/>
          <w:szCs w:val="18"/>
          <w:i w:val="1"/>
          <w:iCs w:val="1"/>
          <w:color w:val="auto"/>
        </w:rPr>
        <w:t>Transactions</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1.20(a)</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Effective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1.20(a)</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Term Lender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1.20(a)</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Term Loan Amendment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1.20(a)</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Term Loan Series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1.20(a)</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Term Loans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1.20(a)</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13.12(b)</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Reimbursement Obligation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1.3(c)</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Fund</w:t>
      </w:r>
      <w:r>
        <w:rPr>
          <w:rFonts w:ascii="Arial" w:cs="Arial" w:eastAsia="Arial" w:hAnsi="Arial"/>
          <w:sz w:val="18"/>
          <w:szCs w:val="18"/>
          <w:color w:val="auto"/>
        </w:rPr>
        <w:t>” means a fund, money market account, investment account or other account managed by a Lender or an Affiliate of such Lender or its investment manager.</w:t>
      </w:r>
    </w:p>
    <w:p>
      <w:pPr>
        <w:spacing w:after="0" w:line="170" w:lineRule="exact"/>
        <w:rPr>
          <w:sz w:val="20"/>
          <w:szCs w:val="20"/>
          <w:color w:val="auto"/>
        </w:rPr>
      </w:pPr>
    </w:p>
    <w:p>
      <w:pPr>
        <w:ind w:right="5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Person</w:t>
      </w:r>
      <w:r>
        <w:rPr>
          <w:rFonts w:ascii="Arial" w:cs="Arial" w:eastAsia="Arial" w:hAnsi="Arial"/>
          <w:sz w:val="17"/>
          <w:szCs w:val="17"/>
          <w:color w:val="auto"/>
        </w:rPr>
        <w:t xml:space="preserve">” </w:t>
      </w:r>
      <w:r>
        <w:rPr>
          <w:rFonts w:ascii="Arial" w:cs="Arial" w:eastAsia="Arial" w:hAnsi="Arial"/>
          <w:sz w:val="17"/>
          <w:szCs w:val="17"/>
          <w:color w:val="FF0000"/>
          <w:strike w:val="1"/>
        </w:rPr>
        <w:t>shall</w:t>
      </w:r>
      <w:r>
        <w:rPr>
          <w:rFonts w:ascii="Arial" w:cs="Arial" w:eastAsia="Arial" w:hAnsi="Arial"/>
          <w:sz w:val="17"/>
          <w:szCs w:val="17"/>
          <w:color w:val="auto"/>
        </w:rPr>
        <w:t xml:space="preserve"> mean</w:t>
      </w:r>
      <w:r>
        <w:rPr>
          <w:rFonts w:ascii="Arial" w:cs="Arial" w:eastAsia="Arial" w:hAnsi="Arial"/>
          <w:sz w:val="17"/>
          <w:szCs w:val="17"/>
          <w:u w:val="single" w:color="auto"/>
          <w:color w:val="0000E1"/>
        </w:rPr>
        <w:t>s</w:t>
      </w:r>
      <w:r>
        <w:rPr>
          <w:rFonts w:ascii="Arial" w:cs="Arial" w:eastAsia="Arial" w:hAnsi="Arial"/>
          <w:sz w:val="17"/>
          <w:szCs w:val="17"/>
          <w:color w:val="auto"/>
        </w:rPr>
        <w:t>, with respect to any Person, such Person’s Affiliates and the partners, directors, officers, employees, agents, trustees, administrators, managers, advisors and representatives of such Person and of such Person’s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-163195</wp:posOffset>
            </wp:positionV>
            <wp:extent cx="4318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26"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means any spilling, leaking, pumping, pouring, emitting, emptying, discharging, injecting, escaping, leaching, migration, dumping, or disposing into the indoor or outdoor environment, including, without limitation, the abandonment or discarding of barrels, drums, containers, tanks or other receptacles containing or previously containing any Hazardous Material.</w:t>
      </w:r>
    </w:p>
    <w:p>
      <w:pPr>
        <w:spacing w:after="0" w:line="18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Relevant Governmental Body</w:t>
      </w:r>
      <w:r>
        <w:rPr>
          <w:rFonts w:ascii="Arial" w:cs="Arial" w:eastAsia="Arial" w:hAnsi="Arial"/>
          <w:sz w:val="18"/>
          <w:szCs w:val="18"/>
          <w:u w:val="single" w:color="auto"/>
          <w:color w:val="0000E1"/>
        </w:rPr>
        <w:t>” means the Federal Reserve Board and/or the Federal Reserve Bank of New York, or a committee officially endorsed or convened by the Federal Reserve Board and/or the Federal Reserve Bank of New York for the purpose of recommending a benchmark rate to replace LIBOR in loan agreements similar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36905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0943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293179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133" w:name="page134"/>
    <w:bookmarkEnd w:id="133"/>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Replacement L/C Issuer</w:t>
      </w:r>
      <w:r>
        <w:rPr>
          <w:rFonts w:ascii="Arial" w:cs="Arial" w:eastAsia="Arial" w:hAnsi="Arial"/>
          <w:sz w:val="18"/>
          <w:szCs w:val="18"/>
          <w:color w:val="auto"/>
        </w:rPr>
        <w:t>” means with respect to any Replacement Revolving Facility, one or more Replacement Revolving Lenders thereunder from time to time designated by the Borrower as the Replacement L/C Issuer under such Replacement Revolving Facility with the consent of such Replacement Revolving Lender and the Administrative Agent.</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L/C Obligations</w:t>
      </w:r>
      <w:r>
        <w:rPr>
          <w:rFonts w:ascii="Arial" w:cs="Arial" w:eastAsia="Arial" w:hAnsi="Arial"/>
          <w:sz w:val="18"/>
          <w:szCs w:val="18"/>
          <w:color w:val="auto"/>
        </w:rPr>
        <w:t>” means at any time with respect to any Replacement Revolving Facility, an amount equal to the U.S. Dollar Equivalent of sum of (a) the then aggregate undrawn and unexpired amount of the then outstanding Replacement Letters of Credit under such Replacement Revolving Facility and (b) the aggregate amount of drawings under the Replacement Letters of Credit under such Replacement Revolving Facility that have not then been reimbursed.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Letter of Credit</w:t>
      </w:r>
      <w:r>
        <w:rPr>
          <w:rFonts w:ascii="Arial" w:cs="Arial" w:eastAsia="Arial" w:hAnsi="Arial"/>
          <w:sz w:val="18"/>
          <w:szCs w:val="18"/>
          <w:color w:val="auto"/>
        </w:rPr>
        <w:t>” means any letter of credit issued pursuant to a Replacement Revolving Facility.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Revolving Commitment Series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1.20(b)</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Revolving Credit Amendment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1.20(b)</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Revolving Credit Commitments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1.20(b)</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Revolving Credit Effective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1.20(b)</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Replacement Revolving Credit Percentage</w:t>
      </w:r>
      <w:r>
        <w:rPr>
          <w:rFonts w:ascii="Arial" w:cs="Arial" w:eastAsia="Arial" w:hAnsi="Arial"/>
          <w:sz w:val="17"/>
          <w:szCs w:val="17"/>
          <w:color w:val="auto"/>
        </w:rPr>
        <w:t>” means as to any Replacement Revolving Lender at any time under any Replacement Revolving Facility, the percentage which such Lender’s Replacement Revolving Credit Commitment under such Replacement Revolving Facility then constitutes of the aggregate Replacement Revolving Credit Commitments under such Replacement Revolving Facility (or, at any time after such Replacement Revolving Credit Commitments shall have expired or terminated, the percentage which the aggregate amount of such Lender’s Replacement Revolving Extensions of Credit then outstanding pursuant to such Replacement Revolving Facility constitutes of the amount of the aggregate Replacement Revolving Extensions of Credit then outstanding pursuant to such Replacement Revolving Facility).</w:t>
      </w:r>
    </w:p>
    <w:p>
      <w:pPr>
        <w:spacing w:after="0" w:line="178"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Replacement Revolving Extensions of Credit</w:t>
      </w:r>
      <w:r>
        <w:rPr>
          <w:rFonts w:ascii="Arial" w:cs="Arial" w:eastAsia="Arial" w:hAnsi="Arial"/>
          <w:sz w:val="16"/>
          <w:szCs w:val="16"/>
          <w:color w:val="auto"/>
        </w:rPr>
        <w:t>” means as to any Replacement Revolving Lender at any time under any Replacement Revolving Facility, an amount equal to the sum of (a) the aggregate principal amount of all Replacement Revolving Loans made by such Lender pursuant to such Replacement Revolving Facility then outstanding, (b) such Lender’s Replacement Revolving Credit Percentage of the outstanding Replacement L/C Obligations under any Replacement Letters of Credit under such Replacement Revolving Facility and (c) such Lender’s Replacement Revolving Credit Percentage of the Replacement Swing Loans then outstanding under such Replacement Revolving Facility.</w:t>
      </w:r>
    </w:p>
    <w:p>
      <w:pPr>
        <w:spacing w:after="0" w:line="16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Revolving Facility</w:t>
      </w:r>
      <w:r>
        <w:rPr>
          <w:rFonts w:ascii="Arial" w:cs="Arial" w:eastAsia="Arial" w:hAnsi="Arial"/>
          <w:sz w:val="18"/>
          <w:szCs w:val="18"/>
          <w:color w:val="auto"/>
        </w:rPr>
        <w:t>” means each Replacement Revolving Commitment Series of Replacement Revolving Credit Commitments and the Replacement Revolving Extensions of Credit made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Revolving Lender</w:t>
      </w:r>
      <w:r>
        <w:rPr>
          <w:rFonts w:ascii="Arial" w:cs="Arial" w:eastAsia="Arial" w:hAnsi="Arial"/>
          <w:sz w:val="18"/>
          <w:szCs w:val="18"/>
          <w:color w:val="auto"/>
        </w:rPr>
        <w:t xml:space="preserve">” is defined </w:t>
      </w:r>
      <w:r>
        <w:rPr>
          <w:rFonts w:ascii="Arial" w:cs="Arial" w:eastAsia="Arial" w:hAnsi="Arial"/>
          <w:sz w:val="18"/>
          <w:szCs w:val="18"/>
          <w:u w:val="single" w:color="auto"/>
          <w:color w:val="auto"/>
        </w:rPr>
        <w:t>Section 1.20(b)</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Revolving Loans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1.20(b)</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Swing Line Lender</w:t>
      </w:r>
      <w:r>
        <w:rPr>
          <w:rFonts w:ascii="Arial" w:cs="Arial" w:eastAsia="Arial" w:hAnsi="Arial"/>
          <w:sz w:val="18"/>
          <w:szCs w:val="18"/>
          <w:color w:val="auto"/>
        </w:rPr>
        <w:t>” means with respect to any Replacement Revolving Facility, any Replacement Revolving Lender thereunder from time to time designated by the Borrower as the Replacement Swing Line Lender under such Replacement Revolving Facility with the consent of such Replacement Revolving Lender and the Administrative Agent.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20"/>
          </w:cols>
          <w:pgMar w:left="440" w:top="274" w:right="539" w:bottom="1440" w:gutter="0" w:footer="0" w:header="0"/>
        </w:sectPr>
      </w:pPr>
    </w:p>
    <w:bookmarkStart w:id="134" w:name="page135"/>
    <w:bookmarkEnd w:id="1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Replacement Swing Loans</w:t>
      </w:r>
      <w:r>
        <w:rPr>
          <w:rFonts w:ascii="Arial" w:cs="Arial" w:eastAsia="Arial" w:hAnsi="Arial"/>
          <w:sz w:val="18"/>
          <w:szCs w:val="18"/>
          <w:color w:val="auto"/>
        </w:rPr>
        <w:t>” means any swing loan made to the Borrower pursuant to a Replacement Revolving Facility.</w:t>
      </w:r>
    </w:p>
    <w:p>
      <w:pPr>
        <w:spacing w:after="0" w:line="225"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Initial Class Lenders</w:t>
      </w:r>
      <w:r>
        <w:rPr>
          <w:rFonts w:ascii="Arial" w:cs="Arial" w:eastAsia="Arial" w:hAnsi="Arial"/>
          <w:sz w:val="16"/>
          <w:szCs w:val="16"/>
          <w:color w:val="auto"/>
        </w:rPr>
        <w:t xml:space="preserve">” means, as of the date of determination thereof, Initial Class Lenders whose outstanding Loans and interests in Letters of Credit, Unused Revolving Credit Commitments and unused Term Loan Commitments under the applicable Initial Classes, if any, constitute more than 50% of the sum of the total outstanding Loans, interests in Letters of Credit, Unused Revolving Credit Commitments and unused Term Loan Commitments, if any, of the Initial Class Lenders under the Initial Classes (voting together as a single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calculation of “Required Initial Class Lenders” shall not include any Defaulting Lender for any purpose under this Agreement (including, without limitation, </w:t>
      </w:r>
      <w:r>
        <w:rPr>
          <w:rFonts w:ascii="Arial" w:cs="Arial" w:eastAsia="Arial" w:hAnsi="Arial"/>
          <w:sz w:val="16"/>
          <w:szCs w:val="16"/>
          <w:u w:val="single" w:color="auto"/>
          <w:color w:val="auto"/>
        </w:rPr>
        <w:t>Section 13.13</w:t>
      </w:r>
      <w:r>
        <w:rPr>
          <w:rFonts w:ascii="Arial" w:cs="Arial" w:eastAsia="Arial" w:hAnsi="Arial"/>
          <w:sz w:val="16"/>
          <w:szCs w:val="16"/>
          <w:color w:val="auto"/>
        </w:rPr>
        <w:t xml:space="preserve"> with respect to any amendment or waiver requested by the Borrower); and </w:t>
      </w:r>
      <w:r>
        <w:rPr>
          <w:rFonts w:ascii="Arial" w:cs="Arial" w:eastAsia="Arial" w:hAnsi="Arial"/>
          <w:sz w:val="16"/>
          <w:szCs w:val="16"/>
          <w:i w:val="1"/>
          <w:iCs w:val="1"/>
          <w:color w:val="auto"/>
        </w:rPr>
        <w:t>provided</w:t>
      </w:r>
      <w:r>
        <w:rPr>
          <w:rFonts w:ascii="Arial" w:cs="Arial" w:eastAsia="Arial" w:hAnsi="Arial"/>
          <w:sz w:val="16"/>
          <w:szCs w:val="16"/>
          <w:i w:val="1"/>
          <w:iCs w:val="1"/>
          <w:u w:val="single" w:color="auto"/>
          <w:color w:val="0000E1"/>
        </w:rPr>
        <w:t>,</w:t>
      </w:r>
      <w:r>
        <w:rPr>
          <w:rFonts w:ascii="Arial" w:cs="Arial" w:eastAsia="Arial" w:hAnsi="Arial"/>
          <w:sz w:val="16"/>
          <w:szCs w:val="16"/>
          <w:color w:val="auto"/>
        </w:rPr>
        <w:t xml:space="preserve"> further </w:t>
      </w:r>
      <w:r>
        <w:rPr>
          <w:rFonts w:ascii="Arial" w:cs="Arial" w:eastAsia="Arial" w:hAnsi="Arial"/>
          <w:sz w:val="16"/>
          <w:szCs w:val="16"/>
          <w:i w:val="1"/>
          <w:iCs w:val="1"/>
          <w:u w:val="single" w:color="auto"/>
          <w:color w:val="0000E1"/>
        </w:rPr>
        <w:t>,</w:t>
      </w:r>
      <w:r>
        <w:rPr>
          <w:rFonts w:ascii="Arial" w:cs="Arial" w:eastAsia="Arial" w:hAnsi="Arial"/>
          <w:sz w:val="16"/>
          <w:szCs w:val="16"/>
          <w:color w:val="auto"/>
        </w:rPr>
        <w:t xml:space="preserve"> that, the amount of any participation in any Swing Loan and unreimbursed L/C drawings that such Defaulting Lender has failed to fund that have not been reallocated to and funded by another Lender shall be deemed to be held by the Initial Class Lender that is the Swing Line Lender or L/C Issuer, as the case may be, in making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-288290</wp:posOffset>
            </wp:positionV>
            <wp:extent cx="2540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-365125</wp:posOffset>
            </wp:positionV>
            <wp:extent cx="28575"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-288290</wp:posOffset>
            </wp:positionV>
            <wp:extent cx="2540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4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Lenders</w:t>
      </w:r>
      <w:r>
        <w:rPr>
          <w:rFonts w:ascii="Arial" w:cs="Arial" w:eastAsia="Arial" w:hAnsi="Arial"/>
          <w:sz w:val="18"/>
          <w:szCs w:val="18"/>
          <w:color w:val="auto"/>
        </w:rPr>
        <w:t xml:space="preserve">” means, as of the date of determination thereof, Lenders whose outstanding Loans and interests in Letters of Credit and Unused Revolving Credit Commitments and unused Term Loan Commitments, if any, constitute more than 50% of the sum of the total outstanding Loans, interests in Letters of Credit and Unused Revolving Credit Commitments and unused Term Loan Commitments, if any, of the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the calculation of “Required Lenders” shall not include any Defaulting Lender for any purpose under this Agreement (including,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limitation, </w:t>
      </w:r>
      <w:r>
        <w:rPr>
          <w:rFonts w:ascii="Arial" w:cs="Arial" w:eastAsia="Arial" w:hAnsi="Arial"/>
          <w:sz w:val="18"/>
          <w:szCs w:val="18"/>
          <w:u w:val="single" w:color="auto"/>
          <w:color w:val="auto"/>
        </w:rPr>
        <w:t>Section 13.13</w:t>
      </w:r>
      <w:r>
        <w:rPr>
          <w:rFonts w:ascii="Arial" w:cs="Arial" w:eastAsia="Arial" w:hAnsi="Arial"/>
          <w:sz w:val="18"/>
          <w:szCs w:val="18"/>
          <w:color w:val="auto"/>
        </w:rPr>
        <w:t xml:space="preserve"> with respect to any amendment or waiver requested by the Borrower); and </w:t>
      </w:r>
      <w:r>
        <w:rPr>
          <w:rFonts w:ascii="Arial" w:cs="Arial" w:eastAsia="Arial" w:hAnsi="Arial"/>
          <w:sz w:val="18"/>
          <w:szCs w:val="18"/>
          <w:i w:val="1"/>
          <w:iCs w:val="1"/>
          <w:color w:val="auto"/>
        </w:rPr>
        <w:t>provided, further</w:t>
      </w:r>
      <w:r>
        <w:rPr>
          <w:rFonts w:ascii="Arial" w:cs="Arial" w:eastAsia="Arial" w:hAnsi="Arial"/>
          <w:sz w:val="18"/>
          <w:szCs w:val="18"/>
          <w:i w:val="1"/>
          <w:iCs w:val="1"/>
          <w:u w:val="single" w:color="auto"/>
          <w:color w:val="0000E1"/>
        </w:rPr>
        <w:t>,</w:t>
      </w:r>
      <w:r>
        <w:rPr>
          <w:rFonts w:ascii="Arial" w:cs="Arial" w:eastAsia="Arial" w:hAnsi="Arial"/>
          <w:sz w:val="18"/>
          <w:szCs w:val="18"/>
          <w:color w:val="auto"/>
        </w:rPr>
        <w:t xml:space="preserve"> that the amount of any participation in any Swing Loan and unreimbursed L/C drawings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-408940</wp:posOffset>
            </wp:positionV>
            <wp:extent cx="342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Prepayment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1.9(e)</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Revolving Lenders</w:t>
      </w:r>
      <w:r>
        <w:rPr>
          <w:rFonts w:ascii="Arial" w:cs="Arial" w:eastAsia="Arial" w:hAnsi="Arial"/>
          <w:sz w:val="18"/>
          <w:szCs w:val="18"/>
          <w:color w:val="auto"/>
        </w:rPr>
        <w:t xml:space="preserve">” means, as of the date of determination thereof, Revolving Lenders whose outstanding Revolving Loans and interests in Letters of Credit and Unused Revolving Credit Commitments, if any, constitute more than 50% of the sum of the total outstanding Revolving Loans, interests in Letters of Credit and Unused Revolving Credit Commitments, if any, of the Revolving Lenders;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calculation of “Required Revolving Lenders” shall not include any Defaulting Lender for any purpose under this Agreement (including, without limitation, </w:t>
      </w:r>
      <w:r>
        <w:rPr>
          <w:rFonts w:ascii="Arial" w:cs="Arial" w:eastAsia="Arial" w:hAnsi="Arial"/>
          <w:sz w:val="18"/>
          <w:szCs w:val="18"/>
          <w:u w:val="single" w:color="auto"/>
          <w:color w:val="auto"/>
        </w:rPr>
        <w:t>Section 13.13</w:t>
      </w:r>
      <w:r>
        <w:rPr>
          <w:rFonts w:ascii="Arial" w:cs="Arial" w:eastAsia="Arial" w:hAnsi="Arial"/>
          <w:sz w:val="18"/>
          <w:szCs w:val="18"/>
          <w:color w:val="auto"/>
        </w:rPr>
        <w:t xml:space="preserve"> with respect to any amendment or waiver requested by the Borrower).</w:t>
      </w:r>
    </w:p>
    <w:p>
      <w:pPr>
        <w:spacing w:after="0" w:line="188"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u w:val="single" w:color="auto"/>
          <w:color w:val="0000E1"/>
        </w:rPr>
        <w:t>“</w:t>
      </w:r>
      <w:r>
        <w:rPr>
          <w:rFonts w:ascii="Arial" w:cs="Arial" w:eastAsia="Arial" w:hAnsi="Arial"/>
          <w:sz w:val="18"/>
          <w:szCs w:val="18"/>
          <w:i w:val="1"/>
          <w:iCs w:val="1"/>
          <w:u w:val="single" w:color="auto"/>
          <w:color w:val="0000E1"/>
        </w:rPr>
        <w:t>Required Term Lenders</w:t>
      </w:r>
      <w:r>
        <w:rPr>
          <w:rFonts w:ascii="Arial" w:cs="Arial" w:eastAsia="Arial" w:hAnsi="Arial"/>
          <w:sz w:val="18"/>
          <w:szCs w:val="18"/>
          <w:u w:val="single" w:color="auto"/>
          <w:color w:val="0000E1"/>
        </w:rPr>
        <w:t xml:space="preserve">” means, as of the date of determination thereof, Term Loan Lenders whose outstanding Term Loans and interests in unused Term Loan Commitments, if any, constitute more than 50% of the sum of the total outstanding Term Loans and interests in unused Term Loan Commitments, if any, of the Term Loan Lenders; </w:t>
      </w:r>
      <w:r>
        <w:rPr>
          <w:rFonts w:ascii="Arial" w:cs="Arial" w:eastAsia="Arial" w:hAnsi="Arial"/>
          <w:sz w:val="18"/>
          <w:szCs w:val="18"/>
          <w:i w:val="1"/>
          <w:iCs w:val="1"/>
          <w:u w:val="single" w:color="auto"/>
          <w:color w:val="0000E1"/>
        </w:rPr>
        <w:t>provided</w:t>
      </w: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however</w:t>
      </w:r>
      <w:r>
        <w:rPr>
          <w:rFonts w:ascii="Arial" w:cs="Arial" w:eastAsia="Arial" w:hAnsi="Arial"/>
          <w:sz w:val="18"/>
          <w:szCs w:val="18"/>
          <w:u w:val="single" w:color="auto"/>
          <w:color w:val="0000E1"/>
        </w:rPr>
        <w:t>, that the calculation of “Required Term Lenders” shall not include any Defaulting Lender for any purpose under this Agreement (including, without limitation, Section 13.13 with respect to any amendment or waiver requested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-548005</wp:posOffset>
            </wp:positionV>
            <wp:extent cx="6429375"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84911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87514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84911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50546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 Regulations</w:t>
      </w:r>
      <w:r>
        <w:rPr>
          <w:rFonts w:ascii="Arial" w:cs="Arial" w:eastAsia="Arial" w:hAnsi="Arial"/>
          <w:sz w:val="18"/>
          <w:szCs w:val="18"/>
          <w:color w:val="auto"/>
        </w:rPr>
        <w:t xml:space="preserve">” is defined in the definition of the term “Statutory Reserves”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0000E1"/>
        </w:rPr>
        <w:t xml:space="preserve">“ </w:t>
      </w:r>
      <w:r>
        <w:rPr>
          <w:rFonts w:ascii="Arial" w:cs="Arial" w:eastAsia="Arial" w:hAnsi="Arial"/>
          <w:sz w:val="17"/>
          <w:szCs w:val="17"/>
          <w:i w:val="1"/>
          <w:iCs w:val="1"/>
          <w:u w:val="single" w:color="auto"/>
          <w:color w:val="0000E1"/>
        </w:rPr>
        <w:t>Resolution Authority</w:t>
      </w:r>
      <w:r>
        <w:rPr>
          <w:rFonts w:ascii="Arial" w:cs="Arial" w:eastAsia="Arial" w:hAnsi="Arial"/>
          <w:sz w:val="17"/>
          <w:szCs w:val="17"/>
          <w:u w:val="single" w:color="auto"/>
          <w:color w:val="0000E1"/>
        </w:rPr>
        <w:t>” means an EEA Resolution Authority or, with respect to any UK Financial Institution, a UK Resolution Authority.</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-207645</wp:posOffset>
            </wp:positionV>
            <wp:extent cx="628332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35" w:name="page136"/>
    <w:bookmarkEnd w:id="135"/>
    <w:p>
      <w:pPr>
        <w:ind w:left="4"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Restaurant Capital Lease</w:t>
      </w:r>
      <w:r>
        <w:rPr>
          <w:rFonts w:ascii="Arial" w:cs="Arial" w:eastAsia="Arial" w:hAnsi="Arial"/>
          <w:sz w:val="18"/>
          <w:szCs w:val="18"/>
          <w:color w:val="auto"/>
        </w:rPr>
        <w:t>” means, for any Person, any lease for a Unit by such Person as lessee which in accordance with GAAP is required to be capitalized on the balance sheet of such Person.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1.9(d)</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Group</w:t>
      </w:r>
      <w:r>
        <w:rPr>
          <w:rFonts w:ascii="Arial" w:cs="Arial" w:eastAsia="Arial" w:hAnsi="Arial"/>
          <w:sz w:val="17"/>
          <w:szCs w:val="17"/>
          <w:color w:val="auto"/>
        </w:rPr>
        <w:t>” means, at any date and for (or for a pertinent portion of) any period, the Borrower and its Restricted Subsidiaries.</w:t>
      </w:r>
    </w:p>
    <w:p>
      <w:pPr>
        <w:spacing w:after="0" w:line="237"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Group Company</w:t>
      </w:r>
      <w:r>
        <w:rPr>
          <w:rFonts w:ascii="Arial" w:cs="Arial" w:eastAsia="Arial" w:hAnsi="Arial"/>
          <w:sz w:val="18"/>
          <w:szCs w:val="18"/>
          <w:color w:val="auto"/>
        </w:rPr>
        <w:t>” means at any date and for (or for a pertinent portion of) any period a Person which is a member of the Restricted Group.</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w:t>
      </w:r>
      <w:r>
        <w:rPr>
          <w:rFonts w:ascii="Arial" w:cs="Arial" w:eastAsia="Arial" w:hAnsi="Arial"/>
          <w:sz w:val="18"/>
          <w:szCs w:val="18"/>
          <w:i w:val="1"/>
          <w:iCs w:val="1"/>
          <w:color w:val="FF0000"/>
          <w:strike w:val="1"/>
        </w:rPr>
        <w: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at any date and for (or for a pertinent portion of) any period, any Subsidiary of the Borrower which is not an Unrestricted Subsidiary.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Revaluation Date</w:t>
      </w:r>
      <w:r>
        <w:rPr>
          <w:rFonts w:ascii="Arial" w:cs="Arial" w:eastAsia="Arial" w:hAnsi="Arial"/>
          <w:sz w:val="16"/>
          <w:szCs w:val="16"/>
          <w:color w:val="auto"/>
        </w:rPr>
        <w:t>” means, with respect to any Letter of Credit denominated in an Eligible Foreign Currency, (a) the date of issuance thereof,</w:t>
      </w:r>
    </w:p>
    <w:p>
      <w:pPr>
        <w:spacing w:after="0" w:line="46" w:lineRule="exact"/>
        <w:rPr>
          <w:sz w:val="20"/>
          <w:szCs w:val="20"/>
          <w:color w:val="auto"/>
        </w:rPr>
      </w:pPr>
    </w:p>
    <w:p>
      <w:pPr>
        <w:ind w:left="264" w:hanging="264"/>
        <w:spacing w:after="0"/>
        <w:tabs>
          <w:tab w:leader="none" w:pos="26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date of each amendment thereto having the effect of increasing the amount thereof, (c) the last Business Day of each calendar month, and</w:t>
      </w:r>
    </w:p>
    <w:p>
      <w:pPr>
        <w:spacing w:after="0" w:line="32" w:lineRule="exact"/>
        <w:rPr>
          <w:rFonts w:ascii="Arial" w:cs="Arial" w:eastAsia="Arial" w:hAnsi="Arial"/>
          <w:sz w:val="16"/>
          <w:szCs w:val="16"/>
          <w:color w:val="auto"/>
        </w:rPr>
      </w:pPr>
    </w:p>
    <w:p>
      <w:pPr>
        <w:ind w:left="264" w:hanging="264"/>
        <w:spacing w:after="0"/>
        <w:tabs>
          <w:tab w:leader="none" w:pos="26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each additional date as the Administrative Agent shall specify.</w:t>
      </w:r>
    </w:p>
    <w:p>
      <w:pPr>
        <w:spacing w:after="0" w:line="21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Revolver Percentage</w:t>
      </w:r>
      <w:r>
        <w:rPr>
          <w:rFonts w:ascii="Arial" w:cs="Arial" w:eastAsia="Arial" w:hAnsi="Arial"/>
          <w:sz w:val="18"/>
          <w:szCs w:val="18"/>
          <w:color w:val="auto"/>
        </w:rPr>
        <w:t>” means, for each Lender, the percentage of the total Revolving Credit Commitments represented by such Revolving Lender’s Revolving Credit Commitment or, if the Revolving Credit Commitments have been terminated, the percentage held by such Lender (including through Participating Interests in Reimbursement Obligations) of the aggregate principal amount of all Revolving Loans and the U.S. Dollar Equivalent of all L/C Obligations then outstanding.</w:t>
      </w:r>
    </w:p>
    <w:p>
      <w:pPr>
        <w:spacing w:after="0" w:line="187" w:lineRule="exact"/>
        <w:rPr>
          <w:sz w:val="20"/>
          <w:szCs w:val="20"/>
          <w:color w:val="auto"/>
        </w:rPr>
      </w:pPr>
    </w:p>
    <w:p>
      <w:pPr>
        <w:ind w:left="4" w:right="1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Revolving Credit Commitment</w:t>
      </w:r>
      <w:r>
        <w:rPr>
          <w:rFonts w:ascii="Arial" w:cs="Arial" w:eastAsia="Arial" w:hAnsi="Arial"/>
          <w:sz w:val="17"/>
          <w:szCs w:val="17"/>
          <w:color w:val="auto"/>
        </w:rPr>
        <w:t xml:space="preserve">” means, as to any Revolving Lender, the obligation of such Revolving Lender to make Revolving Loans, and to participate in Swing Loans and Letters of Credit issued for the account of the Borrower hereunder in an aggregate principal or face amount at any one time outstanding not to exceed the amount set forth opposite such Revolving Lender’s name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attached hereto and made a part hereof, as the same may be reduced or modified at any time or from time to time pursuant to the terms hereof, and shall include New Revolving Credit Commitments, if any, of such Revolving Lender, and Extended Revolving Credit Commitments, if any, of such Revolving Lender and Replacement Revolving Credit Commitments, if any, of such Revolving Lender and “Revolving Credit Commitments” means such commitments of all Revolving Lenders in the aggregate. The Borrower and the Revolving Lenders acknowledge and agree that the Revolving Credit Commitments of the Revolving Lenders aggregate $500,000,000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-219710</wp:posOffset>
            </wp:positionV>
            <wp:extent cx="2857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Commitment Extension Amendment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1.19(c)</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Commitment Extension Election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1.19(b)</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Commitment Extension Request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1.19(a)</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Facility</w:t>
      </w:r>
      <w:r>
        <w:rPr>
          <w:rFonts w:ascii="Arial" w:cs="Arial" w:eastAsia="Arial" w:hAnsi="Arial"/>
          <w:sz w:val="18"/>
          <w:szCs w:val="18"/>
          <w:color w:val="auto"/>
        </w:rPr>
        <w:t xml:space="preserve">” means the credit facility for making Revolving Loans, Swing Loans and issuing Letters of Credit described in </w:t>
      </w:r>
      <w:r>
        <w:rPr>
          <w:rFonts w:ascii="Arial" w:cs="Arial" w:eastAsia="Arial" w:hAnsi="Arial"/>
          <w:sz w:val="18"/>
          <w:szCs w:val="18"/>
          <w:u w:val="single" w:color="auto"/>
          <w:color w:val="auto"/>
        </w:rPr>
        <w:t>Sections 1.2</w:t>
      </w:r>
      <w:r>
        <w:rPr>
          <w:rFonts w:ascii="Arial" w:cs="Arial" w:eastAsia="Arial" w:hAnsi="Arial"/>
          <w:sz w:val="18"/>
          <w:szCs w:val="18"/>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1.15</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and each separate Class of Revolving Credit Commitments established in connection with the making or increase, as applicable, of New Revolving Credit Commitments pursuant to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Extended Revolving Credit Commitments pursuant to a Revolving Credit Extension Amendment as contemplated by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and Replacement Revolving Credit Commitments pursuant a Replacement Revolving Credit Amendment as contemplated by </w:t>
      </w:r>
      <w:r>
        <w:rPr>
          <w:rFonts w:ascii="Arial" w:cs="Arial" w:eastAsia="Arial" w:hAnsi="Arial"/>
          <w:sz w:val="18"/>
          <w:szCs w:val="18"/>
          <w:u w:val="single" w:color="auto"/>
          <w:color w:val="auto"/>
        </w:rPr>
        <w:t>Section 1.20</w:t>
      </w:r>
      <w:r>
        <w:rPr>
          <w:rFonts w:ascii="Arial" w:cs="Arial" w:eastAsia="Arial" w:hAnsi="Arial"/>
          <w:sz w:val="18"/>
          <w:szCs w:val="18"/>
          <w:color w:val="auto"/>
        </w:rPr>
        <w:t>.</w:t>
      </w:r>
    </w:p>
    <w:p>
      <w:pPr>
        <w:spacing w:after="0" w:line="120"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44"/>
          </w:cols>
          <w:pgMar w:left="436" w:top="274" w:right="519" w:bottom="1440" w:gutter="0" w:footer="0" w:header="0"/>
        </w:sectPr>
      </w:pPr>
    </w:p>
    <w:bookmarkStart w:id="136" w:name="page137"/>
    <w:bookmarkEnd w:id="136"/>
    <w:p>
      <w:pPr>
        <w:ind w:right="10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i w:val="1"/>
          <w:iCs w:val="1"/>
          <w:color w:val="auto"/>
        </w:rPr>
        <w:t>Revolving Credit Termination Date</w:t>
      </w:r>
      <w:r>
        <w:rPr>
          <w:rFonts w:ascii="Arial" w:cs="Arial" w:eastAsia="Arial" w:hAnsi="Arial"/>
          <w:sz w:val="16"/>
          <w:szCs w:val="16"/>
          <w:color w:val="auto"/>
        </w:rPr>
        <w:t xml:space="preserve">” means August 17, 2022, or such earlier date on which the Revolving Credit Commitments are terminated in whole pursuant to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w:t>
      </w:r>
      <w:r>
        <w:rPr>
          <w:rFonts w:ascii="Arial" w:cs="Arial" w:eastAsia="Arial" w:hAnsi="Arial"/>
          <w:sz w:val="16"/>
          <w:szCs w:val="16"/>
          <w:u w:val="single" w:color="auto"/>
          <w:color w:val="auto"/>
        </w:rPr>
        <w:t>9.2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9.3</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FF0000"/>
          <w:strike w:val="1"/>
        </w:rPr>
        <w:t>,</w:t>
      </w:r>
      <w:r>
        <w:rPr>
          <w:rFonts w:ascii="Arial" w:cs="Arial" w:eastAsia="Arial" w:hAnsi="Arial"/>
          <w:sz w:val="16"/>
          <w:szCs w:val="16"/>
          <w:color w:val="auto"/>
        </w:rPr>
        <w:t xml:space="preserve"> that any reference to Revolving Credit Termination Date with respect to (x) any New Revolving Credit Commitments shall be the final maturity date as specified in the applicable Commitment Amount Increase Notice, (y) Extended Revolving Credit Commitments shall be the final maturity date as specified in the applicable Revolving Credit Commitment Extension Request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(z) any Replacement Revolving Credit Commitments shall be the final maturity date as specified in the Replacement Revolving Credit Amendment.</w:t>
      </w:r>
    </w:p>
    <w:p>
      <w:pPr>
        <w:spacing w:after="0" w:line="23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Lender</w:t>
      </w:r>
      <w:r>
        <w:rPr>
          <w:rFonts w:ascii="Arial" w:cs="Arial" w:eastAsia="Arial" w:hAnsi="Arial"/>
          <w:sz w:val="18"/>
          <w:szCs w:val="18"/>
          <w:color w:val="auto"/>
        </w:rPr>
        <w:t>” means any Lender with a Revolving Credit Commitment or holding Revolving Loans or participating in L/C Obligations or Swing Loans.</w:t>
      </w:r>
    </w:p>
    <w:p>
      <w:pPr>
        <w:spacing w:after="0" w:line="170"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Loan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and includes any Revolving Loans advanced pursuant to the Revolving Credit Commitments in effect on the Closing Date, any New Revolving Loans advanced pursuant to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any Extended Revolving Loans established pursuant to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and any Replacement Revolving Loans advanced pursuant to </w:t>
      </w:r>
      <w:r>
        <w:rPr>
          <w:rFonts w:ascii="Arial" w:cs="Arial" w:eastAsia="Arial" w:hAnsi="Arial"/>
          <w:sz w:val="18"/>
          <w:szCs w:val="18"/>
          <w:u w:val="single" w:color="auto"/>
          <w:color w:val="auto"/>
        </w:rPr>
        <w:t>Section 1.20</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and, as so defined, includes a Base Rate Loan or a Eurodollar Loan, each of which is a “</w:t>
      </w:r>
      <w:r>
        <w:rPr>
          <w:rFonts w:ascii="Arial" w:cs="Arial" w:eastAsia="Arial" w:hAnsi="Arial"/>
          <w:sz w:val="18"/>
          <w:szCs w:val="18"/>
          <w:i w:val="1"/>
          <w:iCs w:val="1"/>
          <w:color w:val="auto"/>
        </w:rPr>
        <w:t>type</w:t>
      </w:r>
      <w:r>
        <w:rPr>
          <w:rFonts w:ascii="Arial" w:cs="Arial" w:eastAsia="Arial" w:hAnsi="Arial"/>
          <w:sz w:val="18"/>
          <w:szCs w:val="18"/>
          <w:color w:val="auto"/>
        </w:rPr>
        <w:t>” of Revolving Loan hereunder.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Note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1.11(d)</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Rollover Lender</w:t>
      </w:r>
      <w:r>
        <w:rPr>
          <w:rFonts w:ascii="Arial" w:cs="Arial" w:eastAsia="Arial" w:hAnsi="Arial"/>
          <w:sz w:val="17"/>
          <w:szCs w:val="17"/>
          <w:color w:val="auto"/>
        </w:rPr>
        <w:t>” means each Lender party to the Existing Credit Agreement immediately prior to the Closing Date which elected to exchange outstanding Existing 2015 Loans for Term Loans or Revolving Loans, as applicable, under and in accordance with this Agreement.</w:t>
      </w:r>
    </w:p>
    <w:p>
      <w:pPr>
        <w:spacing w:after="0" w:line="146"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xml:space="preserve">” means Standard &amp; Poor’s </w:t>
      </w:r>
      <w:r>
        <w:rPr>
          <w:rFonts w:ascii="Arial" w:cs="Arial" w:eastAsia="Arial" w:hAnsi="Arial"/>
          <w:sz w:val="18"/>
          <w:szCs w:val="18"/>
          <w:color w:val="FF0000"/>
          <w:strike w:val="1"/>
        </w:rPr>
        <w:t>Ratings</w:t>
      </w:r>
      <w:r>
        <w:rPr>
          <w:rFonts w:ascii="Arial" w:cs="Arial" w:eastAsia="Arial" w:hAnsi="Arial"/>
          <w:sz w:val="18"/>
          <w:szCs w:val="18"/>
          <w:u w:val="single" w:color="auto"/>
          <w:color w:val="0000E1"/>
        </w:rPr>
        <w:t>Financial</w:t>
      </w:r>
      <w:r>
        <w:rPr>
          <w:rFonts w:ascii="Arial" w:cs="Arial" w:eastAsia="Arial" w:hAnsi="Arial"/>
          <w:sz w:val="18"/>
          <w:szCs w:val="18"/>
          <w:color w:val="auto"/>
        </w:rPr>
        <w:t xml:space="preserve"> Services </w:t>
      </w:r>
      <w:r>
        <w:rPr>
          <w:rFonts w:ascii="Arial" w:cs="Arial" w:eastAsia="Arial" w:hAnsi="Arial"/>
          <w:sz w:val="18"/>
          <w:szCs w:val="18"/>
          <w:color w:val="FF0000"/>
          <w:strike w:val="1"/>
        </w:rPr>
        <w:t>Group, a division of The McGraw Hill Companies, Inc.</w:t>
      </w:r>
      <w:r>
        <w:rPr>
          <w:rFonts w:ascii="Arial" w:cs="Arial" w:eastAsia="Arial" w:hAnsi="Arial"/>
          <w:sz w:val="18"/>
          <w:szCs w:val="18"/>
          <w:u w:val="single" w:color="auto"/>
          <w:color w:val="0000E1"/>
        </w:rPr>
        <w:t>LLC, a subsidiary of S&amp;P</w:t>
      </w:r>
      <w:r>
        <w:rPr>
          <w:rFonts w:ascii="Arial" w:cs="Arial" w:eastAsia="Arial" w:hAnsi="Arial"/>
          <w:sz w:val="18"/>
          <w:szCs w:val="18"/>
          <w:color w:val="auto"/>
        </w:rPr>
        <w:t xml:space="preserve"> </w:t>
      </w:r>
      <w:r>
        <w:rPr>
          <w:rFonts w:ascii="Arial" w:cs="Arial" w:eastAsia="Arial" w:hAnsi="Arial"/>
          <w:sz w:val="18"/>
          <w:szCs w:val="18"/>
          <w:u w:val="single" w:color="auto"/>
          <w:color w:val="0000E1"/>
        </w:rPr>
        <w:t>Global Inc., and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-147955</wp:posOffset>
            </wp:positionV>
            <wp:extent cx="42862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-147955</wp:posOffset>
            </wp:positionV>
            <wp:extent cx="119126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1912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17741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50" w:lineRule="exact"/>
        <w:rPr>
          <w:sz w:val="20"/>
          <w:szCs w:val="20"/>
          <w:color w:val="auto"/>
        </w:rPr>
      </w:pPr>
    </w:p>
    <w:p>
      <w:pPr>
        <w:jc w:val="both"/>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any direct or indirect arrangement with any Person or to which any such Person is a party providing for the leasing to a Restricted Group Company of any property, whether owned by a Restricted Group Company as of the Closing Date or later acquired, which has been or is to be sold or transferred by a Restricted Group Company to such Person or to any other Person from whom funds have been, or are to be, advanced by such Person on the security of such Property.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Sanction(s)”</w:t>
      </w:r>
      <w:r>
        <w:rPr>
          <w:rFonts w:ascii="Arial" w:cs="Arial" w:eastAsia="Arial" w:hAnsi="Arial"/>
          <w:sz w:val="17"/>
          <w:szCs w:val="17"/>
          <w:color w:val="auto"/>
        </w:rPr>
        <w:t xml:space="preserve"> means sanction administered or enforced by the Office of Foreign Assets Control of the U.S. Treasury Department (“</w:t>
      </w:r>
      <w:r>
        <w:rPr>
          <w:rFonts w:ascii="Arial" w:cs="Arial" w:eastAsia="Arial" w:hAnsi="Arial"/>
          <w:sz w:val="17"/>
          <w:szCs w:val="17"/>
          <w:i w:val="1"/>
          <w:iCs w:val="1"/>
          <w:color w:val="auto"/>
        </w:rPr>
        <w:t>OFAC</w:t>
      </w:r>
      <w:r>
        <w:rPr>
          <w:rFonts w:ascii="Arial" w:cs="Arial" w:eastAsia="Arial" w:hAnsi="Arial"/>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 or any governmental authority succeeding to any of its principal functions</w:t>
      </w:r>
      <w:r>
        <w:rPr>
          <w:rFonts w:ascii="Arial" w:cs="Arial" w:eastAsia="Arial" w:hAnsi="Arial"/>
          <w:sz w:val="18"/>
          <w:szCs w:val="18"/>
          <w:color w:val="FF0000"/>
          <w:strike w:val="1"/>
        </w:rPr>
        <w:t>;</w:t>
      </w:r>
      <w:r>
        <w:rPr>
          <w:rFonts w:ascii="Arial" w:cs="Arial" w:eastAsia="Arial" w:hAnsi="Arial"/>
          <w:sz w:val="18"/>
          <w:szCs w:val="18"/>
          <w:u w:val="single" w:color="auto"/>
          <w:color w:val="0000E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23495</wp:posOffset>
            </wp:positionV>
            <wp:extent cx="26035"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Creditor</w:t>
      </w:r>
      <w:r>
        <w:rPr>
          <w:rFonts w:ascii="Arial" w:cs="Arial" w:eastAsia="Arial" w:hAnsi="Arial"/>
          <w:sz w:val="18"/>
          <w:szCs w:val="18"/>
          <w:color w:val="auto"/>
        </w:rPr>
        <w:t xml:space="preserve">” </w:t>
      </w:r>
      <w:r>
        <w:rPr>
          <w:rFonts w:ascii="Arial" w:cs="Arial" w:eastAsia="Arial" w:hAnsi="Arial"/>
          <w:sz w:val="18"/>
          <w:szCs w:val="18"/>
          <w:color w:val="FF0000"/>
          <w:strike w:val="1"/>
        </w:rPr>
        <w:t>shall have the meaning assigned to such term</w:t>
      </w:r>
      <w:r>
        <w:rPr>
          <w:rFonts w:ascii="Arial" w:cs="Arial" w:eastAsia="Arial" w:hAnsi="Arial"/>
          <w:sz w:val="18"/>
          <w:szCs w:val="18"/>
          <w:u w:val="single" w:color="auto"/>
          <w:color w:val="0000E1"/>
        </w:rPr>
        <w:t>is defined</w:t>
      </w:r>
      <w:r>
        <w:rPr>
          <w:rFonts w:ascii="Arial" w:cs="Arial" w:eastAsia="Arial" w:hAnsi="Arial"/>
          <w:sz w:val="18"/>
          <w:szCs w:val="18"/>
          <w:color w:val="auto"/>
        </w:rPr>
        <w:t xml:space="preserve"> in the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23495</wp:posOffset>
            </wp:positionV>
            <wp:extent cx="44577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Secured Leverage Ratio</w:t>
      </w:r>
      <w:r>
        <w:rPr>
          <w:rFonts w:ascii="Arial" w:cs="Arial" w:eastAsia="Arial" w:hAnsi="Arial"/>
          <w:sz w:val="17"/>
          <w:szCs w:val="17"/>
          <w:color w:val="auto"/>
        </w:rPr>
        <w:t>” means, as of any date of determination, the ratio of (i)(x) Total Funded Debt of the Borrower and its Restricted Subsidiaries as of such date, in each case, that is secured on a pari passu basis with the Credit Facilities, minus (y) unrestricted cash and Cash Equivalents of the Borrower and its Restricted Subsidiaries (or cash and Cash Equivalents restricted in favor of any Lender or any Agent for the benefit of the Lenders) in excess of the Unrestricted Cash Threshold, determined in accordance with GAAP, at such date to (ii) EBITDA of the Borrower and its Restricted Subsidiaries for the period of four consecutive fiscal quarters most recently ended on or prior to such date.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20"/>
          </w:cols>
          <w:pgMar w:left="440" w:top="274" w:right="439" w:bottom="1440" w:gutter="0" w:footer="0" w:header="0"/>
        </w:sectPr>
      </w:pPr>
    </w:p>
    <w:bookmarkStart w:id="137" w:name="page138"/>
    <w:bookmarkEnd w:id="13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Secured Obligation</w:t>
      </w:r>
      <w:r>
        <w:rPr>
          <w:rFonts w:ascii="Arial" w:cs="Arial" w:eastAsia="Arial" w:hAnsi="Arial"/>
          <w:sz w:val="18"/>
          <w:szCs w:val="18"/>
          <w:color w:val="auto"/>
        </w:rPr>
        <w:t xml:space="preserve">” </w:t>
      </w:r>
      <w:r>
        <w:rPr>
          <w:rFonts w:ascii="Arial" w:cs="Arial" w:eastAsia="Arial" w:hAnsi="Arial"/>
          <w:sz w:val="18"/>
          <w:szCs w:val="18"/>
          <w:color w:val="FF0000"/>
          <w:strike w:val="1"/>
        </w:rPr>
        <w:t>shall have the meaning assigned to such term</w:t>
      </w:r>
      <w:r>
        <w:rPr>
          <w:rFonts w:ascii="Arial" w:cs="Arial" w:eastAsia="Arial" w:hAnsi="Arial"/>
          <w:sz w:val="18"/>
          <w:szCs w:val="18"/>
          <w:u w:val="single" w:color="auto"/>
          <w:color w:val="0000E1"/>
        </w:rPr>
        <w:t>is defined</w:t>
      </w:r>
      <w:r>
        <w:rPr>
          <w:rFonts w:ascii="Arial" w:cs="Arial" w:eastAsia="Arial" w:hAnsi="Arial"/>
          <w:sz w:val="18"/>
          <w:szCs w:val="18"/>
          <w:color w:val="auto"/>
        </w:rPr>
        <w:t xml:space="preserve"> in the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3360420</wp:posOffset>
            </wp:positionH>
            <wp:positionV relativeFrom="paragraph">
              <wp:posOffset>23495</wp:posOffset>
            </wp:positionV>
            <wp:extent cx="44577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and the rules and regulations of the SEC promulgated thereunder.</w:t>
      </w:r>
    </w:p>
    <w:p>
      <w:pPr>
        <w:spacing w:after="0" w:line="22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w:t>
      </w:r>
      <w:r>
        <w:rPr>
          <w:rFonts w:ascii="Arial" w:cs="Arial" w:eastAsia="Arial" w:hAnsi="Arial"/>
          <w:sz w:val="18"/>
          <w:szCs w:val="18"/>
          <w:color w:val="auto"/>
        </w:rPr>
        <w:t>” means that certain Security Agreement dated as of the Original Closing Date among the Borrower, the Guarantors and the Collateral Agent.</w:t>
      </w:r>
    </w:p>
    <w:p>
      <w:pPr>
        <w:spacing w:after="0" w:line="170"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Debt</w:t>
      </w:r>
      <w:r>
        <w:rPr>
          <w:rFonts w:ascii="Arial" w:cs="Arial" w:eastAsia="Arial" w:hAnsi="Arial"/>
          <w:sz w:val="18"/>
          <w:szCs w:val="18"/>
          <w:color w:val="auto"/>
        </w:rPr>
        <w:t xml:space="preserve">” means indebtedness of the Borrower payable to the sellers of any company acquired in any Acquisition permitted hereunder;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such debt shall be unsecured.</w:t>
      </w:r>
    </w:p>
    <w:p>
      <w:pPr>
        <w:spacing w:after="0" w:line="170"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u w:val="single" w:color="auto"/>
          <w:color w:val="0000E1"/>
        </w:rPr>
        <w:t>“</w:t>
      </w:r>
      <w:r>
        <w:rPr>
          <w:rFonts w:ascii="Arial" w:cs="Arial" w:eastAsia="Arial" w:hAnsi="Arial"/>
          <w:sz w:val="18"/>
          <w:szCs w:val="18"/>
          <w:i w:val="1"/>
          <w:iCs w:val="1"/>
          <w:u w:val="single" w:color="auto"/>
          <w:color w:val="0000E1"/>
        </w:rPr>
        <w:t>SOFR</w:t>
      </w:r>
      <w:r>
        <w:rPr>
          <w:rFonts w:ascii="Arial" w:cs="Arial" w:eastAsia="Arial" w:hAnsi="Arial"/>
          <w:sz w:val="18"/>
          <w:szCs w:val="18"/>
          <w:u w:val="single" w:color="auto"/>
          <w:color w:val="0000E1"/>
        </w:rPr>
        <w:t xml:space="preserve"> ” means, with respect to any day, the secured overnight financing rate published for such day by the Federal Reserve Bank of New York, as the administrator of the benchmark (or a successor administrator) on the Federal Reserve Bank of New York’s website (or any successor source) and, in each case, that has been selected or recommended by the Relevant Governmental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-276860</wp:posOffset>
            </wp:positionV>
            <wp:extent cx="660082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943725"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41230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SOFR-Based Rate</w:t>
      </w:r>
      <w:r>
        <w:rPr>
          <w:rFonts w:ascii="Arial" w:cs="Arial" w:eastAsia="Arial" w:hAnsi="Arial"/>
          <w:sz w:val="18"/>
          <w:szCs w:val="18"/>
          <w:u w:val="single" w:color="auto"/>
          <w:color w:val="0000E1"/>
        </w:rPr>
        <w:t>” means SOFR or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233172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Solvent</w:t>
      </w:r>
      <w:r>
        <w:rPr>
          <w:rFonts w:ascii="Arial" w:cs="Arial" w:eastAsia="Arial" w:hAnsi="Arial"/>
          <w:sz w:val="16"/>
          <w:szCs w:val="16"/>
          <w:color w:val="auto"/>
        </w:rPr>
        <w:t>” means, with respect to Holdings, the Borrower and its Restricted Subsidiaries, taken as a whole, that as of the date of determination,</w:t>
      </w:r>
    </w:p>
    <w:p>
      <w:pPr>
        <w:spacing w:after="0" w:line="46" w:lineRule="exact"/>
        <w:rPr>
          <w:sz w:val="20"/>
          <w:szCs w:val="20"/>
          <w:color w:val="auto"/>
        </w:rPr>
      </w:pPr>
    </w:p>
    <w:p>
      <w:pPr>
        <w:ind w:left="4" w:hanging="4"/>
        <w:spacing w:after="0" w:line="286" w:lineRule="auto"/>
        <w:tabs>
          <w:tab w:leader="none" w:pos="249"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sum of the debt (including contingent liabilities) of Holdings, the Borrower and its Restricted Subsidiaries, taken as a whole, does not exceed the present fair value of the assets of Holdings, the Borrower and its Restricted Subsidiaries, taken as a whole</w:t>
      </w:r>
      <w:r>
        <w:rPr>
          <w:rFonts w:ascii="Arial" w:cs="Arial" w:eastAsia="Arial" w:hAnsi="Arial"/>
          <w:sz w:val="16"/>
          <w:szCs w:val="16"/>
          <w:color w:val="FF0000"/>
          <w:strike w:val="1"/>
        </w:rPr>
        <w:t>,</w:t>
      </w:r>
      <w:r>
        <w:rPr>
          <w:rFonts w:ascii="Arial" w:cs="Arial" w:eastAsia="Arial" w:hAnsi="Arial"/>
          <w:sz w:val="16"/>
          <w:szCs w:val="16"/>
          <w:u w:val="single" w:color="auto"/>
          <w:color w:val="0000E1"/>
        </w:rPr>
        <w:t>;</w:t>
      </w:r>
      <w:r>
        <w:rPr>
          <w:rFonts w:ascii="Arial" w:cs="Arial" w:eastAsia="Arial" w:hAnsi="Arial"/>
          <w:sz w:val="16"/>
          <w:szCs w:val="16"/>
          <w:color w:val="auto"/>
        </w:rPr>
        <w:t xml:space="preserve"> (b) the present fair saleable value of the assets of Holdings, the Borrower and its Restricted Subsidiaries, taken as a whole, is not less than the amount that will be required to pay the probable liabilities (including contingent liabilities) of Holdings, the Borrower and its Restricted Subsidiaries, taken as a whole, on their debts as they become absolute and matured; (</w:t>
      </w:r>
      <w:r>
        <w:rPr>
          <w:rFonts w:ascii="Arial" w:cs="Arial" w:eastAsia="Arial" w:hAnsi="Arial"/>
          <w:sz w:val="16"/>
          <w:szCs w:val="16"/>
          <w:color w:val="FF0000"/>
          <w:strike w:val="1"/>
        </w:rPr>
        <w:t>iii</w:t>
      </w:r>
      <w:r>
        <w:rPr>
          <w:rFonts w:ascii="Arial" w:cs="Arial" w:eastAsia="Arial" w:hAnsi="Arial"/>
          <w:sz w:val="16"/>
          <w:szCs w:val="16"/>
          <w:u w:val="single" w:color="auto"/>
          <w:color w:val="0000E1"/>
        </w:rPr>
        <w:t>c</w:t>
      </w:r>
      <w:r>
        <w:rPr>
          <w:rFonts w:ascii="Arial" w:cs="Arial" w:eastAsia="Arial" w:hAnsi="Arial"/>
          <w:sz w:val="16"/>
          <w:szCs w:val="16"/>
          <w:color w:val="auto"/>
        </w:rPr>
        <w:t xml:space="preserve"> ) the capital of Holdings, the Borrower and its Restricted Subsidiaries, taken as a whole, is not unreasonably small in relation to the business of Holdings, the Borrower and its Restricted Subsidiaries, taken as a whole, as contemplated as of such date of determination; and (</w:t>
      </w:r>
      <w:r>
        <w:rPr>
          <w:rFonts w:ascii="Arial" w:cs="Arial" w:eastAsia="Arial" w:hAnsi="Arial"/>
          <w:sz w:val="16"/>
          <w:szCs w:val="16"/>
          <w:color w:val="FF0000"/>
          <w:strike w:val="1"/>
        </w:rPr>
        <w:t>iv</w:t>
      </w:r>
      <w:r>
        <w:rPr>
          <w:rFonts w:ascii="Arial" w:cs="Arial" w:eastAsia="Arial" w:hAnsi="Arial"/>
          <w:sz w:val="16"/>
          <w:szCs w:val="16"/>
          <w:u w:val="single" w:color="auto"/>
          <w:color w:val="0000E1"/>
        </w:rPr>
        <w:t>d</w:t>
      </w:r>
      <w:r>
        <w:rPr>
          <w:rFonts w:ascii="Arial" w:cs="Arial" w:eastAsia="Arial" w:hAnsi="Arial"/>
          <w:sz w:val="16"/>
          <w:szCs w:val="16"/>
          <w:color w:val="auto"/>
        </w:rPr>
        <w:t>) Holdings, the Borrower and its Restricted Subsidiaries, taken as a whole, do not intend to incur, or believe that they will incur, debts (including current obligations and contingent liabilities) beyond their ability to pay such debt as they mature in the ordinary course of business.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69" w:lineRule="exact"/>
        <w:rPr>
          <w:rFonts w:ascii="Arial" w:cs="Arial" w:eastAsia="Arial" w:hAnsi="Arial"/>
          <w:sz w:val="16"/>
          <w:szCs w:val="16"/>
          <w:color w:val="auto"/>
        </w:rPr>
      </w:pPr>
    </w:p>
    <w:p>
      <w:pPr>
        <w:jc w:val="both"/>
        <w:ind w:left="4" w:right="420" w:firstLine="440"/>
        <w:spacing w:after="0" w:line="342" w:lineRule="auto"/>
        <w:rPr>
          <w:rFonts w:ascii="Arial" w:cs="Arial" w:eastAsia="Arial" w:hAnsi="Arial"/>
          <w:sz w:val="16"/>
          <w:szCs w:val="16"/>
          <w:color w:val="auto"/>
        </w:rPr>
      </w:pPr>
      <w:r>
        <w:rPr>
          <w:rFonts w:ascii="Arial" w:cs="Arial" w:eastAsia="Arial" w:hAnsi="Arial"/>
          <w:sz w:val="16"/>
          <w:szCs w:val="16"/>
          <w:u w:val="single" w:color="auto"/>
          <w:color w:val="0000E1"/>
        </w:rPr>
        <w:t xml:space="preserve">“ </w:t>
      </w:r>
      <w:r>
        <w:rPr>
          <w:rFonts w:ascii="Arial" w:cs="Arial" w:eastAsia="Arial" w:hAnsi="Arial"/>
          <w:sz w:val="16"/>
          <w:szCs w:val="16"/>
          <w:i w:val="1"/>
          <w:iCs w:val="1"/>
          <w:u w:val="single" w:color="auto"/>
          <w:color w:val="0000E1"/>
        </w:rPr>
        <w:t>Specified Sale/Leaseback Properties</w:t>
      </w:r>
      <w:r>
        <w:rPr>
          <w:rFonts w:ascii="Arial" w:cs="Arial" w:eastAsia="Arial" w:hAnsi="Arial"/>
          <w:sz w:val="16"/>
          <w:szCs w:val="16"/>
          <w:u w:val="single" w:color="auto"/>
          <w:color w:val="0000E1"/>
        </w:rPr>
        <w:t>” means the properties located at (i) 2644 N. Greenwich Court, Wichita, KS, (ii) 200 Premium Outlets Drive, Blackwood, NJ, (iii) 3023 SW 45</w:t>
      </w:r>
      <w:r>
        <w:rPr>
          <w:rFonts w:ascii="Arial" w:cs="Arial" w:eastAsia="Arial" w:hAnsi="Arial"/>
          <w:sz w:val="10"/>
          <w:szCs w:val="10"/>
          <w:u w:val="single" w:color="auto"/>
          <w:color w:val="0000E1"/>
        </w:rPr>
        <w:t>th</w:t>
      </w:r>
      <w:r>
        <w:rPr>
          <w:rFonts w:ascii="Arial" w:cs="Arial" w:eastAsia="Arial" w:hAnsi="Arial"/>
          <w:sz w:val="16"/>
          <w:szCs w:val="16"/>
          <w:u w:val="single" w:color="auto"/>
          <w:color w:val="0000E1"/>
        </w:rPr>
        <w:t xml:space="preserve"> Street, Gainesville, FL, and (iv) I-20 &amp; Riverwatch Parkway, The Village at Riverwatch, Augusta, 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-1549400</wp:posOffset>
            </wp:positionV>
            <wp:extent cx="2540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1174115</wp:posOffset>
            </wp:positionH>
            <wp:positionV relativeFrom="paragraph">
              <wp:posOffset>-1137920</wp:posOffset>
            </wp:positionV>
            <wp:extent cx="4318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6797675</wp:posOffset>
            </wp:positionH>
            <wp:positionV relativeFrom="paragraph">
              <wp:posOffset>-1000760</wp:posOffset>
            </wp:positionV>
            <wp:extent cx="596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-177800</wp:posOffset>
            </wp:positionV>
            <wp:extent cx="640334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-48895</wp:posOffset>
            </wp:positionV>
            <wp:extent cx="6677660" cy="171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677660" cy="17145"/>
                    </a:xfrm>
                    <a:prstGeom prst="rect">
                      <a:avLst/>
                    </a:prstGeom>
                    <a:noFill/>
                  </pic:spPr>
                </pic:pic>
              </a:graphicData>
            </a:graphic>
          </wp:anchor>
        </w:drawing>
      </w:r>
    </w:p>
    <w:p>
      <w:pPr>
        <w:spacing w:after="0" w:line="10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Statutory Reserves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1.4(b)</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Statutory Subsidiary</w:t>
      </w:r>
      <w:r>
        <w:rPr>
          <w:rFonts w:ascii="Arial" w:cs="Arial" w:eastAsia="Arial" w:hAnsi="Arial"/>
          <w:sz w:val="18"/>
          <w:szCs w:val="18"/>
          <w:color w:val="auto"/>
        </w:rPr>
        <w:t xml:space="preserve">” means any Subsidiary of the type described in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the proviso </w:t>
      </w:r>
      <w:r>
        <w:rPr>
          <w:rFonts w:ascii="Arial" w:cs="Arial" w:eastAsia="Arial" w:hAnsi="Arial"/>
          <w:sz w:val="18"/>
          <w:szCs w:val="18"/>
          <w:color w:val="FF0000"/>
          <w:strike w:val="1"/>
        </w:rPr>
        <w:t>in</w:t>
      </w:r>
      <w:r>
        <w:rPr>
          <w:rFonts w:ascii="Arial" w:cs="Arial" w:eastAsia="Arial" w:hAnsi="Arial"/>
          <w:sz w:val="18"/>
          <w:szCs w:val="18"/>
          <w:u w:val="single" w:color="auto"/>
          <w:color w:val="0000E1"/>
        </w:rPr>
        <w:t>to</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5177790</wp:posOffset>
            </wp:positionH>
            <wp:positionV relativeFrom="paragraph">
              <wp:posOffset>23495</wp:posOffset>
            </wp:positionV>
            <wp:extent cx="8572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4"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Subject Transaction</w:t>
      </w:r>
      <w:r>
        <w:rPr>
          <w:rFonts w:ascii="Arial" w:cs="Arial" w:eastAsia="Arial" w:hAnsi="Arial"/>
          <w:sz w:val="18"/>
          <w:szCs w:val="18"/>
          <w:color w:val="auto"/>
        </w:rPr>
        <w:t>” means, with respect to any period, (a) the Transactions, (b) any Permitted Acquisition or other acquisition of all or substantially all of the assets of, or of any business or division of a Person, (c) the acquisition of in excess of 50% of the Equity Interests of a Person (including, at the</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64"/>
          </w:cols>
          <w:pgMar w:left="436" w:top="274" w:right="499" w:bottom="1440" w:gutter="0" w:footer="0" w:header="0"/>
        </w:sectPr>
      </w:pPr>
    </w:p>
    <w:bookmarkStart w:id="138" w:name="page139"/>
    <w:bookmarkEnd w:id="138"/>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Borrower’s option, acquisitions of Equity Interests increasing the ownership of the Borrower or a Restricted Subsidiary in such Restricted Subsidiary) or otherwise causing any Person to become a Restricted Subsidiary, (d) the merger, consolidation or other combination with any Person (other than a Restricted Subsidiary), (e) any disposition of a Restricted Subsidiary or all or substantially all of the assets of a Restricted Subsidiary (or any business or division of the Borrower or any Restricted Subsidiary) not prohibited by this Agreement, (f) the designation of a Restricted Subsidiary as an Unrestricted Subsidiary or any Subsidiary Redesignation or (g) any other event that by the terms of the Loan Documents requires pro forma compliance with a test or covenant hereunder or requires such test or covenant to be calculated on a Pro Forma Basis.</w:t>
      </w:r>
    </w:p>
    <w:p>
      <w:pPr>
        <w:spacing w:after="0" w:line="164"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Debt</w:t>
      </w:r>
      <w:r>
        <w:rPr>
          <w:rFonts w:ascii="Arial" w:cs="Arial" w:eastAsia="Arial" w:hAnsi="Arial"/>
          <w:sz w:val="18"/>
          <w:szCs w:val="18"/>
          <w:color w:val="auto"/>
        </w:rPr>
        <w:t>” means Indebtedness for Borrowed Money which is subordinated in right of payment to the prior payment of the Obligations pursuant to subordination provisions approved in writing (which approval shall not be unreasonably delayed or withheld) by the Administrative Agent and is otherwise pursuant to documentation which contains interest rates, payment terms, maturities, amortization schedules, covenants, defaults, remedies and other material terms that are customary for similar subordinated debt of similarly situated companies</w:t>
      </w:r>
      <w:r>
        <w:rPr>
          <w:rFonts w:ascii="Arial" w:cs="Arial" w:eastAsia="Arial" w:hAnsi="Arial"/>
          <w:sz w:val="18"/>
          <w:szCs w:val="18"/>
          <w:u w:val="single" w:color="auto"/>
          <w:color w:val="0000E1"/>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E1"/>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0000E1"/>
        </w:rPr>
        <w:t>that during the Basket</w:t>
      </w:r>
      <w:r>
        <w:rPr>
          <w:rFonts w:ascii="Arial" w:cs="Arial" w:eastAsia="Arial" w:hAnsi="Arial"/>
          <w:sz w:val="18"/>
          <w:szCs w:val="18"/>
          <w:color w:val="auto"/>
        </w:rPr>
        <w:t xml:space="preserve"> </w:t>
      </w:r>
      <w:r>
        <w:rPr>
          <w:rFonts w:ascii="Arial" w:cs="Arial" w:eastAsia="Arial" w:hAnsi="Arial"/>
          <w:sz w:val="18"/>
          <w:szCs w:val="18"/>
          <w:u w:val="single" w:color="auto"/>
          <w:color w:val="0000E1"/>
        </w:rPr>
        <w:t>Suspension Period, “Subordinated Debt” shall also include any Indebtedness for Borrowed Money that is secured on a junior basis to the Secured Obligations or that is unsecured</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5234940</wp:posOffset>
            </wp:positionH>
            <wp:positionV relativeFrom="paragraph">
              <wp:posOffset>-271145</wp:posOffset>
            </wp:positionV>
            <wp:extent cx="149987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4998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65226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45732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72"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as to any particular parent corporation or organization, any other corporation or organization more than 50% of the outstanding Voting Stock of which is at the time directly or indirectly owned by such parent corporation or organization or by any one or more other entities which are themselves subsidiaries of such parent corporation or organization. Unless otherwise expressly noted herein, the term “</w:t>
      </w:r>
      <w:r>
        <w:rPr>
          <w:rFonts w:ascii="Arial" w:cs="Arial" w:eastAsia="Arial" w:hAnsi="Arial"/>
          <w:sz w:val="18"/>
          <w:szCs w:val="18"/>
          <w:i w:val="1"/>
          <w:iCs w:val="1"/>
          <w:color w:val="auto"/>
        </w:rPr>
        <w:t>Subsidiary</w:t>
      </w:r>
      <w:r>
        <w:rPr>
          <w:rFonts w:ascii="Arial" w:cs="Arial" w:eastAsia="Arial" w:hAnsi="Arial"/>
          <w:sz w:val="18"/>
          <w:szCs w:val="18"/>
          <w:color w:val="auto"/>
        </w:rPr>
        <w:t>” means a Subsidiary of the Borrower or of any of its direct or indirect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-214630</wp:posOffset>
            </wp:positionV>
            <wp:extent cx="2857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w:t>
      </w:r>
      <w:r>
        <w:rPr>
          <w:rFonts w:ascii="Arial" w:cs="Arial" w:eastAsia="Arial" w:hAnsi="Arial"/>
          <w:sz w:val="18"/>
          <w:szCs w:val="18"/>
          <w:color w:val="auto"/>
        </w:rPr>
        <w:t>” means any Guarantor other than Holdings.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Redesignation</w:t>
      </w:r>
      <w:r>
        <w:rPr>
          <w:rFonts w:ascii="Arial" w:cs="Arial" w:eastAsia="Arial" w:hAnsi="Arial"/>
          <w:sz w:val="18"/>
          <w:szCs w:val="18"/>
          <w:color w:val="auto"/>
        </w:rPr>
        <w:t>” is defined in the definition of the term “</w:t>
      </w:r>
      <w:r>
        <w:rPr>
          <w:rFonts w:ascii="Arial" w:cs="Arial" w:eastAsia="Arial" w:hAnsi="Arial"/>
          <w:sz w:val="18"/>
          <w:szCs w:val="18"/>
          <w:i w:val="1"/>
          <w:iCs w:val="1"/>
          <w:color w:val="auto"/>
        </w:rPr>
        <w:t>Unrestricted Subsidiary</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Holdings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8.23</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Supported</w:t>
      </w:r>
      <w:r>
        <w:rPr>
          <w:rFonts w:ascii="Arial" w:cs="Arial" w:eastAsia="Arial" w:hAnsi="Arial"/>
          <w:sz w:val="18"/>
          <w:szCs w:val="18"/>
          <w:u w:val="single" w:color="auto"/>
          <w:color w:val="0000E1"/>
        </w:rPr>
        <w:t xml:space="preserve"> QFC” is defined in Section  13.31.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218567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0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Facility</w:t>
      </w:r>
      <w:r>
        <w:rPr>
          <w:rFonts w:ascii="Arial" w:cs="Arial" w:eastAsia="Arial" w:hAnsi="Arial"/>
          <w:sz w:val="18"/>
          <w:szCs w:val="18"/>
          <w:color w:val="auto"/>
        </w:rPr>
        <w:t xml:space="preserve">” means the credit facility for making one or more Swing Loans described in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Swing Line Lender</w:t>
      </w:r>
      <w:r>
        <w:rPr>
          <w:rFonts w:ascii="Arial" w:cs="Arial" w:eastAsia="Arial" w:hAnsi="Arial"/>
          <w:sz w:val="16"/>
          <w:szCs w:val="16"/>
          <w:color w:val="auto"/>
        </w:rPr>
        <w:t>” means Bank of America, N.A., in its capacity as provider of Swing Loans, or any successor swing line lender hereunder.</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Sublimit</w:t>
      </w:r>
      <w:r>
        <w:rPr>
          <w:rFonts w:ascii="Arial" w:cs="Arial" w:eastAsia="Arial" w:hAnsi="Arial"/>
          <w:sz w:val="18"/>
          <w:szCs w:val="18"/>
          <w:color w:val="auto"/>
        </w:rPr>
        <w:t>” means $15,000,000, as reduced pursuant to the terms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Loan</w:t>
      </w:r>
      <w:r>
        <w:rPr>
          <w:rFonts w:ascii="Arial" w:cs="Arial" w:eastAsia="Arial" w:hAnsi="Arial"/>
          <w:sz w:val="18"/>
          <w:szCs w:val="18"/>
          <w:color w:val="auto"/>
        </w:rPr>
        <w:t>” and “</w:t>
      </w:r>
      <w:r>
        <w:rPr>
          <w:rFonts w:ascii="Arial" w:cs="Arial" w:eastAsia="Arial" w:hAnsi="Arial"/>
          <w:sz w:val="18"/>
          <w:szCs w:val="18"/>
          <w:i w:val="1"/>
          <w:iCs w:val="1"/>
          <w:color w:val="auto"/>
        </w:rPr>
        <w:t>Swing Loans</w:t>
      </w:r>
      <w:r>
        <w:rPr>
          <w:rFonts w:ascii="Arial" w:cs="Arial" w:eastAsia="Arial" w:hAnsi="Arial"/>
          <w:sz w:val="18"/>
          <w:szCs w:val="18"/>
          <w:color w:val="auto"/>
        </w:rPr>
        <w:t xml:space="preserve">” each is defined in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Swing Loan Notice</w:t>
      </w:r>
      <w:r>
        <w:rPr>
          <w:rFonts w:ascii="Arial" w:cs="Arial" w:eastAsia="Arial" w:hAnsi="Arial"/>
          <w:sz w:val="17"/>
          <w:szCs w:val="17"/>
          <w:color w:val="auto"/>
        </w:rPr>
        <w:t xml:space="preserve">” means a notice of a Swing Loan Borrowing pursuant to </w:t>
      </w:r>
      <w:r>
        <w:rPr>
          <w:rFonts w:ascii="Arial" w:cs="Arial" w:eastAsia="Arial" w:hAnsi="Arial"/>
          <w:sz w:val="17"/>
          <w:szCs w:val="17"/>
          <w:u w:val="single" w:color="auto"/>
          <w:color w:val="auto"/>
        </w:rPr>
        <w:t>Section 1.15(c)</w:t>
      </w:r>
      <w:r>
        <w:rPr>
          <w:rFonts w:ascii="Arial" w:cs="Arial" w:eastAsia="Arial" w:hAnsi="Arial"/>
          <w:sz w:val="17"/>
          <w:szCs w:val="17"/>
          <w:color w:val="auto"/>
        </w:rPr>
        <w:t xml:space="preserve">, which shall be substantially in the form of </w:t>
      </w:r>
      <w:r>
        <w:rPr>
          <w:rFonts w:ascii="Arial" w:cs="Arial" w:eastAsia="Arial" w:hAnsi="Arial"/>
          <w:sz w:val="17"/>
          <w:szCs w:val="17"/>
          <w:u w:val="single" w:color="auto"/>
          <w:color w:val="auto"/>
        </w:rPr>
        <w:t>Exhibit K</w:t>
      </w:r>
      <w:r>
        <w:rPr>
          <w:rFonts w:ascii="Arial" w:cs="Arial" w:eastAsia="Arial" w:hAnsi="Arial"/>
          <w:sz w:val="17"/>
          <w:szCs w:val="17"/>
          <w:color w:val="auto"/>
        </w:rPr>
        <w:t xml:space="preserve"> or such other form as approved by the Administrative Agent (including any form on an electronic platform or electronic transmission system as shall be approve by the Administrative Agent), appropriately completed and signed by an Authorized Representative of the Borrower.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74" w:right="459" w:bottom="1440" w:gutter="0" w:footer="0" w:header="0"/>
        </w:sectPr>
      </w:pPr>
    </w:p>
    <w:bookmarkStart w:id="139" w:name="page140"/>
    <w:bookmarkEnd w:id="13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Swing Note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u w:val="single" w:color="auto"/>
          <w:color w:val="0000E1"/>
        </w:rPr>
        <w:t>(d)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23495</wp:posOffset>
            </wp:positionV>
            <wp:extent cx="12890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Credit Facility</w:t>
      </w:r>
      <w:r>
        <w:rPr>
          <w:rFonts w:ascii="Arial" w:cs="Arial" w:eastAsia="Arial" w:hAnsi="Arial"/>
          <w:sz w:val="18"/>
          <w:szCs w:val="18"/>
          <w:color w:val="auto"/>
        </w:rPr>
        <w:t xml:space="preserve">” means the credit facility for Term Loans described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and each separate Class of Term Loans established in connection with the making or increase, as applicable, of New Term Loans pursuant to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Extended Term Loans pursuant to a Term Loan Extension Amendment as contemplated by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and Refinancing Term Loans pursuant to a Refinancing Term Loan Amendment as contemplated by </w:t>
      </w:r>
      <w:r>
        <w:rPr>
          <w:rFonts w:ascii="Arial" w:cs="Arial" w:eastAsia="Arial" w:hAnsi="Arial"/>
          <w:sz w:val="18"/>
          <w:szCs w:val="18"/>
          <w:u w:val="single" w:color="auto"/>
          <w:color w:val="auto"/>
        </w:rPr>
        <w:t>Section 1.20</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(other than any such New Term Loans which, in accordance with </w:t>
      </w:r>
      <w:r>
        <w:rPr>
          <w:rFonts w:ascii="Arial" w:cs="Arial" w:eastAsia="Arial" w:hAnsi="Arial"/>
          <w:sz w:val="18"/>
          <w:szCs w:val="18"/>
          <w:u w:val="single" w:color="auto"/>
          <w:color w:val="auto"/>
        </w:rPr>
        <w:t>Section 1.16</w:t>
      </w:r>
      <w:r>
        <w:rPr>
          <w:rFonts w:ascii="Arial" w:cs="Arial" w:eastAsia="Arial" w:hAnsi="Arial"/>
          <w:sz w:val="18"/>
          <w:szCs w:val="18"/>
          <w:color w:val="auto"/>
        </w:rPr>
        <w:t>, are added to an existing Term Credit Facility).</w:t>
      </w:r>
    </w:p>
    <w:p>
      <w:pPr>
        <w:spacing w:after="0" w:line="188"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Term Loan</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and includes the Term Loans advanced on the Closing Date, any New Term Loans advanced pursuant to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any Extended Term Loans established pursuant to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and any Refinancing Term Loans advanced pursuant to </w:t>
      </w:r>
      <w:r>
        <w:rPr>
          <w:rFonts w:ascii="Arial" w:cs="Arial" w:eastAsia="Arial" w:hAnsi="Arial"/>
          <w:sz w:val="16"/>
          <w:szCs w:val="16"/>
          <w:u w:val="single" w:color="auto"/>
          <w:color w:val="auto"/>
        </w:rPr>
        <w:t>Section 1.20</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and, as so defined, includes a Base Rate Loan or a Eurodollar Loan, each of which is a “</w:t>
      </w:r>
      <w:r>
        <w:rPr>
          <w:rFonts w:ascii="Arial" w:cs="Arial" w:eastAsia="Arial" w:hAnsi="Arial"/>
          <w:sz w:val="16"/>
          <w:szCs w:val="16"/>
          <w:i w:val="1"/>
          <w:iCs w:val="1"/>
          <w:color w:val="auto"/>
        </w:rPr>
        <w:t>type</w:t>
      </w:r>
      <w:r>
        <w:rPr>
          <w:rFonts w:ascii="Arial" w:cs="Arial" w:eastAsia="Arial" w:hAnsi="Arial"/>
          <w:sz w:val="16"/>
          <w:szCs w:val="16"/>
          <w:color w:val="auto"/>
        </w:rPr>
        <w:t>” of Term Loan hereunder.</w:t>
      </w:r>
    </w:p>
    <w:p>
      <w:pPr>
        <w:spacing w:after="0" w:line="14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Commitment</w:t>
      </w:r>
      <w:r>
        <w:rPr>
          <w:rFonts w:ascii="Arial" w:cs="Arial" w:eastAsia="Arial" w:hAnsi="Arial"/>
          <w:sz w:val="18"/>
          <w:szCs w:val="18"/>
          <w:color w:val="auto"/>
        </w:rPr>
        <w:t xml:space="preserve">” means, as to any Term Loan Lender, the obligation of such Term Loan Lender to make its Term Loan on the Closing Date in the principal amount not to exceed the amount set forth opposite such Term Loan Lender’s name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and made a part hereof, New Term Loans, if any, pursuant to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Extended Term Loans, if any, pursuant to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and Refinancing Term Loans, if any, pursuant to </w:t>
      </w:r>
      <w:r>
        <w:rPr>
          <w:rFonts w:ascii="Arial" w:cs="Arial" w:eastAsia="Arial" w:hAnsi="Arial"/>
          <w:sz w:val="18"/>
          <w:szCs w:val="18"/>
          <w:u w:val="single" w:color="auto"/>
          <w:color w:val="auto"/>
        </w:rPr>
        <w:t>Section 1.20</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and “</w:t>
      </w:r>
      <w:r>
        <w:rPr>
          <w:rFonts w:ascii="Arial" w:cs="Arial" w:eastAsia="Arial" w:hAnsi="Arial"/>
          <w:sz w:val="18"/>
          <w:szCs w:val="18"/>
          <w:i w:val="1"/>
          <w:iCs w:val="1"/>
          <w:color w:val="auto"/>
        </w:rPr>
        <w:t>Term Loan Commitments</w:t>
      </w:r>
      <w:r>
        <w:rPr>
          <w:rFonts w:ascii="Arial" w:cs="Arial" w:eastAsia="Arial" w:hAnsi="Arial"/>
          <w:sz w:val="18"/>
          <w:szCs w:val="18"/>
          <w:color w:val="auto"/>
        </w:rPr>
        <w:t>” means such commitments of all Term Loan Lenders in the aggregate. The Borrower and the Term Loan Lenders acknowledge and agree that the Term Loan Commitments of the Term Loan Lenders aggregate $300,000,000 on the Closing Date.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Extension Amendment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1.18(c)</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Extension Election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1.18(b)</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Extension Request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1.18(a)</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Lender</w:t>
      </w:r>
      <w:r>
        <w:rPr>
          <w:rFonts w:ascii="Arial" w:cs="Arial" w:eastAsia="Arial" w:hAnsi="Arial"/>
          <w:sz w:val="18"/>
          <w:szCs w:val="18"/>
          <w:color w:val="auto"/>
        </w:rPr>
        <w:t>” means any Lender with a Term Loan Commitment or an outstanding Term Loan.</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Loan Percentage</w:t>
      </w:r>
      <w:r>
        <w:rPr>
          <w:rFonts w:ascii="Arial" w:cs="Arial" w:eastAsia="Arial" w:hAnsi="Arial"/>
          <w:sz w:val="18"/>
          <w:szCs w:val="18"/>
          <w:color w:val="auto"/>
        </w:rPr>
        <w:t>” means, for each Lender, the percentage of the Term Loan Commitments of any Class represented by such Lender’s Term Loan Commitment of such Class or, if such Term Loan Commitments have been terminated or have expired, the percentage held by such Lender of the aggregate principal amount of all Term Loans of such Class then outstanding.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Note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u w:val="single" w:color="auto"/>
          <w:color w:val="0000E1"/>
        </w:rPr>
        <w:t>(d)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23495</wp:posOffset>
            </wp:positionV>
            <wp:extent cx="128905"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5" w:lineRule="exact"/>
        <w:rPr>
          <w:sz w:val="20"/>
          <w:szCs w:val="20"/>
          <w:color w:val="auto"/>
        </w:rPr>
      </w:pPr>
    </w:p>
    <w:p>
      <w:pPr>
        <w:jc w:val="both"/>
        <w:ind w:right="180" w:firstLine="440"/>
        <w:spacing w:after="0" w:line="259" w:lineRule="auto"/>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Term SOFR</w:t>
      </w:r>
      <w:r>
        <w:rPr>
          <w:rFonts w:ascii="Arial" w:cs="Arial" w:eastAsia="Arial" w:hAnsi="Arial"/>
          <w:sz w:val="18"/>
          <w:szCs w:val="18"/>
          <w:u w:val="single" w:color="auto"/>
          <w:color w:val="0000E1"/>
        </w:rPr>
        <w:t>” means the forward-looking term rate for any period that is approximately (</w:t>
      </w:r>
      <w:r>
        <w:rPr>
          <w:rFonts w:ascii="Arial" w:cs="Arial" w:eastAsia="Arial" w:hAnsi="Arial"/>
          <w:sz w:val="18"/>
          <w:szCs w:val="18"/>
          <w:u w:val="single" w:color="auto"/>
          <w:color w:val="008000"/>
        </w:rPr>
        <w:t>as determined by the Administrative Agent</w:t>
      </w:r>
      <w:r>
        <w:rPr>
          <w:rFonts w:ascii="Arial" w:cs="Arial" w:eastAsia="Arial" w:hAnsi="Arial"/>
          <w:sz w:val="18"/>
          <w:szCs w:val="18"/>
          <w:u w:val="single" w:color="auto"/>
          <w:color w:val="0000E1"/>
        </w:rPr>
        <w: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410591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410591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-412115</wp:posOffset>
            </wp:positionV>
            <wp:extent cx="51435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86625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87514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113157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Threshold Amount</w:t>
      </w:r>
      <w:r>
        <w:rPr>
          <w:rFonts w:ascii="Arial" w:cs="Arial" w:eastAsia="Arial" w:hAnsi="Arial"/>
          <w:sz w:val="18"/>
          <w:szCs w:val="18"/>
          <w:color w:val="auto"/>
        </w:rPr>
        <w:t>” means $15,000,000.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140" w:name="page141"/>
    <w:bookmarkEnd w:id="140"/>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i w:val="1"/>
          <w:iCs w:val="1"/>
          <w:color w:val="auto"/>
        </w:rPr>
        <w:t>Total Consideration</w:t>
      </w:r>
      <w:r>
        <w:rPr>
          <w:rFonts w:ascii="Arial" w:cs="Arial" w:eastAsia="Arial" w:hAnsi="Arial"/>
          <w:sz w:val="17"/>
          <w:szCs w:val="17"/>
          <w:color w:val="auto"/>
        </w:rPr>
        <w:t xml:space="preserve">” means, with respect to an Acquisition, the sum (without duplication) of (a) cash paid as consideration by the Borrower and its Restricted Subsidiaries to the seller in connection with such Acquisition, (b) indebtedness payable by the Borrower and its Restricted Subsidiaries to the seller in connection with such Acquisition not constituting Earnout Payments, (c) the present value of future payments which are required to be made by the Borrower and its Restricted Subsidiaries over a period of time and are not contingent upon the Borrower or any of its Restricted Subsidiaries meeting financial performance objectives (exclusive of salaries paid in the ordinary course of business) (discounted at the Alternate Base Rate), but only to the extent not included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(d) the amount of indebtedness assumed by the Borrower and its Restricted Subsidiaries in connection with such Acquisition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(e) the aggregate proceeds of sales or issuances of Equity Interests and/or the amount of equity contributions made to the Borrower the proceeds of which are used substantially contemporaneously with such contribution to fund all or a portion of the cash purchase price (including deferred payments) of such Acquisition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(f) any cash and Cash Equivalents on the balance sheet immediately prior to closing of the Acquired Business acquired as part of the applicable Acquisition (except to the extent that such cash and Cash Equivalents were directly or indirectly funded or financed by the Borrower, any Guarantor, any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Total Consideration shall not include any consideration or payment paid by the Borrower or its Restricted Subsidiaries directly in the form of Equity Interests of the Borrower or any direct or indirect parent company.</w:t>
      </w:r>
    </w:p>
    <w:p>
      <w:pPr>
        <w:spacing w:after="0" w:line="186"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Funded Debt</w:t>
      </w:r>
      <w:r>
        <w:rPr>
          <w:rFonts w:ascii="Arial" w:cs="Arial" w:eastAsia="Arial" w:hAnsi="Arial"/>
          <w:sz w:val="18"/>
          <w:szCs w:val="18"/>
          <w:color w:val="auto"/>
        </w:rPr>
        <w:t xml:space="preserve">” means, at any time the same is to be determined, the sum (but without duplication) of all Indebtedness for Borrowed Money of the Borrower and the Restricted Subsidiaries at such time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thereof. For the avoidance of doubt, Total Funded Debt shall not include any Qualifying Restaurant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-216535</wp:posOffset>
            </wp:positionV>
            <wp:extent cx="2857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4"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Leverage Ratio</w:t>
      </w:r>
      <w:r>
        <w:rPr>
          <w:rFonts w:ascii="Arial" w:cs="Arial" w:eastAsia="Arial" w:hAnsi="Arial"/>
          <w:sz w:val="18"/>
          <w:szCs w:val="18"/>
          <w:color w:val="auto"/>
        </w:rPr>
        <w:t xml:space="preserve">” means, as of any date of determination, the ratio of (i)(x) Total Funded Debt of the Borrower and its Restricted Subsidiaries as of such date, </w:t>
      </w:r>
      <w:r>
        <w:rPr>
          <w:rFonts w:ascii="Arial" w:cs="Arial" w:eastAsia="Arial" w:hAnsi="Arial"/>
          <w:sz w:val="18"/>
          <w:szCs w:val="18"/>
          <w:i w:val="1"/>
          <w:iCs w:val="1"/>
          <w:color w:val="auto"/>
        </w:rPr>
        <w:t>minus</w:t>
      </w:r>
      <w:r>
        <w:rPr>
          <w:rFonts w:ascii="Arial" w:cs="Arial" w:eastAsia="Arial" w:hAnsi="Arial"/>
          <w:sz w:val="18"/>
          <w:szCs w:val="18"/>
          <w:color w:val="auto"/>
        </w:rPr>
        <w:t xml:space="preserve"> (y) unrestricted cash and Cash Equivalents of the Borrower and its Restricted Subsidiaries (or cash and Cash Equivalents restricted in favor of any Lender or any Agent for the benefit of the Lenders) in excess of the Unrestricted Cash Threshold, determined in accordance with GAAP, at such date to (ii) EBITDA of the Borrower and its Restricted Subsidiaries for the period of four consecutive fiscal quarters most recently ended on or prior to such date.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Costs</w:t>
      </w:r>
      <w:r>
        <w:rPr>
          <w:rFonts w:ascii="Arial" w:cs="Arial" w:eastAsia="Arial" w:hAnsi="Arial"/>
          <w:sz w:val="18"/>
          <w:szCs w:val="18"/>
          <w:color w:val="auto"/>
        </w:rPr>
        <w:t>” is defined in the definition of the term “</w:t>
      </w:r>
      <w:r>
        <w:rPr>
          <w:rFonts w:ascii="Arial" w:cs="Arial" w:eastAsia="Arial" w:hAnsi="Arial"/>
          <w:sz w:val="18"/>
          <w:szCs w:val="18"/>
          <w:i w:val="1"/>
          <w:iCs w:val="1"/>
          <w:color w:val="auto"/>
        </w:rPr>
        <w:t>Transactions</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xml:space="preserve">” </w:t>
      </w:r>
      <w:r>
        <w:rPr>
          <w:rFonts w:ascii="Arial" w:cs="Arial" w:eastAsia="Arial" w:hAnsi="Arial"/>
          <w:sz w:val="18"/>
          <w:szCs w:val="18"/>
          <w:color w:val="FF0000"/>
          <w:strike w:val="1"/>
        </w:rPr>
        <w:t>shall</w:t>
      </w:r>
      <w:r>
        <w:rPr>
          <w:rFonts w:ascii="Arial" w:cs="Arial" w:eastAsia="Arial" w:hAnsi="Arial"/>
          <w:sz w:val="18"/>
          <w:szCs w:val="18"/>
          <w:color w:val="auto"/>
        </w:rPr>
        <w:t xml:space="preserve"> mean</w:t>
      </w:r>
      <w:r>
        <w:rPr>
          <w:rFonts w:ascii="Arial" w:cs="Arial" w:eastAsia="Arial" w:hAnsi="Arial"/>
          <w:sz w:val="18"/>
          <w:szCs w:val="18"/>
          <w:u w:val="single" w:color="auto"/>
          <w:color w:val="0000E1"/>
        </w:rPr>
        <w:t>s</w:t>
      </w:r>
      <w:r>
        <w:rPr>
          <w:rFonts w:ascii="Arial" w:cs="Arial" w:eastAsia="Arial" w:hAnsi="Arial"/>
          <w:sz w:val="18"/>
          <w:szCs w:val="18"/>
          <w:color w:val="auto"/>
        </w:rPr>
        <w:t>, collectively, (a) the execution, delivery and performance by the Loan Parties of the Loan Documents to which they are a party and the making of the Borrowings hereunder, (b) the conversion of Existing 2015 Loans to Loans under this Agreement, and the amendment and restatement of the Existing Credit Agreement (the “</w:t>
      </w:r>
      <w:r>
        <w:rPr>
          <w:rFonts w:ascii="Arial" w:cs="Arial" w:eastAsia="Arial" w:hAnsi="Arial"/>
          <w:sz w:val="18"/>
          <w:szCs w:val="18"/>
          <w:i w:val="1"/>
          <w:iCs w:val="1"/>
          <w:color w:val="auto"/>
        </w:rPr>
        <w:t>Refinancing</w:t>
      </w:r>
      <w:r>
        <w:rPr>
          <w:rFonts w:ascii="Arial" w:cs="Arial" w:eastAsia="Arial" w:hAnsi="Arial"/>
          <w:sz w:val="18"/>
          <w:szCs w:val="18"/>
          <w:color w:val="auto"/>
        </w:rPr>
        <w:t>”) and (c) the payment of all fees, premiums, expenses and other transaction costs incurred in connection with the foregoing transactions (including to fund any upfront fees or original issue discount or premiums) (the “</w:t>
      </w:r>
      <w:r>
        <w:rPr>
          <w:rFonts w:ascii="Arial" w:cs="Arial" w:eastAsia="Arial" w:hAnsi="Arial"/>
          <w:sz w:val="18"/>
          <w:szCs w:val="18"/>
          <w:i w:val="1"/>
          <w:iCs w:val="1"/>
          <w:color w:val="auto"/>
        </w:rPr>
        <w:t>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Costs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-548005</wp:posOffset>
            </wp:positionV>
            <wp:extent cx="5143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Type</w:t>
      </w:r>
      <w:r>
        <w:rPr>
          <w:rFonts w:ascii="Arial" w:cs="Arial" w:eastAsia="Arial" w:hAnsi="Arial"/>
          <w:sz w:val="18"/>
          <w:szCs w:val="18"/>
          <w:color w:val="auto"/>
        </w:rPr>
        <w:t xml:space="preserve">” </w:t>
      </w:r>
      <w:r>
        <w:rPr>
          <w:rFonts w:ascii="Arial" w:cs="Arial" w:eastAsia="Arial" w:hAnsi="Arial"/>
          <w:sz w:val="18"/>
          <w:szCs w:val="18"/>
          <w:color w:val="FF0000"/>
          <w:strike w:val="1"/>
        </w:rPr>
        <w:t>shall</w:t>
      </w:r>
      <w:r>
        <w:rPr>
          <w:rFonts w:ascii="Arial" w:cs="Arial" w:eastAsia="Arial" w:hAnsi="Arial"/>
          <w:sz w:val="18"/>
          <w:szCs w:val="18"/>
          <w:color w:val="auto"/>
        </w:rPr>
        <w:t xml:space="preserve"> mean</w:t>
      </w:r>
      <w:r>
        <w:rPr>
          <w:rFonts w:ascii="Arial" w:cs="Arial" w:eastAsia="Arial" w:hAnsi="Arial"/>
          <w:sz w:val="18"/>
          <w:szCs w:val="18"/>
          <w:u w:val="single" w:color="auto"/>
          <w:color w:val="0000E1"/>
        </w:rPr>
        <w:t>s</w:t>
      </w:r>
      <w:r>
        <w:rPr>
          <w:rFonts w:ascii="Arial" w:cs="Arial" w:eastAsia="Arial" w:hAnsi="Arial"/>
          <w:sz w:val="18"/>
          <w:szCs w:val="18"/>
          <w:color w:val="auto"/>
        </w:rPr>
        <w:t>, with respect to a Loan, its character as a Base Rate Loan or a Eurodollar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23495</wp:posOffset>
            </wp:positionV>
            <wp:extent cx="5143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UCC</w:t>
      </w:r>
      <w:r>
        <w:rPr>
          <w:rFonts w:ascii="Arial" w:cs="Arial" w:eastAsia="Arial" w:hAnsi="Arial"/>
          <w:sz w:val="18"/>
          <w:szCs w:val="18"/>
          <w:color w:val="auto"/>
        </w:rPr>
        <w:t xml:space="preserve">” </w:t>
      </w:r>
      <w:r>
        <w:rPr>
          <w:rFonts w:ascii="Arial" w:cs="Arial" w:eastAsia="Arial" w:hAnsi="Arial"/>
          <w:sz w:val="18"/>
          <w:szCs w:val="18"/>
          <w:color w:val="FF0000"/>
          <w:strike w:val="1"/>
        </w:rPr>
        <w:t>shall</w:t>
      </w:r>
      <w:r>
        <w:rPr>
          <w:rFonts w:ascii="Arial" w:cs="Arial" w:eastAsia="Arial" w:hAnsi="Arial"/>
          <w:sz w:val="18"/>
          <w:szCs w:val="18"/>
          <w:color w:val="auto"/>
        </w:rPr>
        <w:t xml:space="preserve"> mean</w:t>
      </w:r>
      <w:r>
        <w:rPr>
          <w:rFonts w:ascii="Arial" w:cs="Arial" w:eastAsia="Arial" w:hAnsi="Arial"/>
          <w:sz w:val="18"/>
          <w:szCs w:val="18"/>
          <w:u w:val="single" w:color="auto"/>
          <w:color w:val="0000E1"/>
        </w:rPr>
        <w:t>s</w:t>
      </w:r>
      <w:r>
        <w:rPr>
          <w:rFonts w:ascii="Arial" w:cs="Arial" w:eastAsia="Arial" w:hAnsi="Arial"/>
          <w:sz w:val="18"/>
          <w:szCs w:val="18"/>
          <w:color w:val="auto"/>
        </w:rPr>
        <w:t xml:space="preserve"> the Uniform Commercial Code as in effect from time to time (except as otherwise specified) in any applicable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-147955</wp:posOffset>
            </wp:positionV>
            <wp:extent cx="4318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0" w:lineRule="exact"/>
        <w:rPr>
          <w:sz w:val="20"/>
          <w:szCs w:val="20"/>
          <w:color w:val="auto"/>
        </w:rPr>
      </w:pPr>
    </w:p>
    <w:p>
      <w:pPr>
        <w:ind w:right="6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UCP</w:t>
      </w:r>
      <w:r>
        <w:rPr>
          <w:rFonts w:ascii="Arial" w:cs="Arial" w:eastAsia="Arial" w:hAnsi="Arial"/>
          <w:sz w:val="17"/>
          <w:szCs w:val="17"/>
          <w:color w:val="auto"/>
        </w:rPr>
        <w:t>” means</w:t>
      </w:r>
      <w:r>
        <w:rPr>
          <w:rFonts w:ascii="Arial" w:cs="Arial" w:eastAsia="Arial" w:hAnsi="Arial"/>
          <w:sz w:val="17"/>
          <w:szCs w:val="17"/>
          <w:color w:val="FF0000"/>
          <w:strike w:val="1"/>
        </w:rPr>
        <w:t>, with respect to any Letter of Credit,</w:t>
      </w:r>
      <w:r>
        <w:rPr>
          <w:rFonts w:ascii="Arial" w:cs="Arial" w:eastAsia="Arial" w:hAnsi="Arial"/>
          <w:sz w:val="17"/>
          <w:szCs w:val="17"/>
          <w:color w:val="auto"/>
        </w:rPr>
        <w:t xml:space="preserve"> the Uniform Customs and Practice for Documentary Credits, International Chamber of Commerce </w:t>
      </w:r>
      <w:r>
        <w:rPr>
          <w:rFonts w:ascii="Arial" w:cs="Arial" w:eastAsia="Arial" w:hAnsi="Arial"/>
          <w:sz w:val="17"/>
          <w:szCs w:val="17"/>
          <w:color w:val="FF0000"/>
          <w:strike w:val="1"/>
        </w:rPr>
        <w:t>(“</w:t>
      </w:r>
      <w:r>
        <w:rPr>
          <w:rFonts w:ascii="Arial" w:cs="Arial" w:eastAsia="Arial" w:hAnsi="Arial"/>
          <w:sz w:val="17"/>
          <w:szCs w:val="17"/>
          <w:i w:val="1"/>
          <w:iCs w:val="1"/>
          <w:color w:val="FF0000"/>
          <w:strike w:val="1"/>
        </w:rPr>
        <w:t>ICC</w:t>
      </w:r>
      <w:r>
        <w:rPr>
          <w:rFonts w:ascii="Arial" w:cs="Arial" w:eastAsia="Arial" w:hAnsi="Arial"/>
          <w:sz w:val="17"/>
          <w:szCs w:val="17"/>
          <w:color w:val="FF0000"/>
          <w:strike w:val="1"/>
        </w:rPr>
        <w:t>”)</w:t>
      </w:r>
      <w:r>
        <w:rPr>
          <w:rFonts w:ascii="Arial" w:cs="Arial" w:eastAsia="Arial" w:hAnsi="Arial"/>
          <w:sz w:val="17"/>
          <w:szCs w:val="17"/>
          <w:color w:val="auto"/>
        </w:rPr>
        <w:t xml:space="preserve"> Publication No. 600 (or such later version thereof as may be in effect at the </w:t>
      </w:r>
      <w:r>
        <w:rPr>
          <w:rFonts w:ascii="Arial" w:cs="Arial" w:eastAsia="Arial" w:hAnsi="Arial"/>
          <w:sz w:val="17"/>
          <w:szCs w:val="17"/>
          <w:u w:val="single" w:color="auto"/>
          <w:color w:val="0000E1"/>
        </w:rPr>
        <w:t>applicable</w:t>
      </w:r>
      <w:r>
        <w:rPr>
          <w:rFonts w:ascii="Arial" w:cs="Arial" w:eastAsia="Arial" w:hAnsi="Arial"/>
          <w:sz w:val="17"/>
          <w:szCs w:val="17"/>
          <w:color w:val="auto"/>
        </w:rPr>
        <w:t xml:space="preserve"> time </w:t>
      </w:r>
      <w:r>
        <w:rPr>
          <w:rFonts w:ascii="Arial" w:cs="Arial" w:eastAsia="Arial" w:hAnsi="Arial"/>
          <w:sz w:val="17"/>
          <w:szCs w:val="17"/>
          <w:color w:val="FF0000"/>
        </w:rPr>
        <w:t>of issuance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4411980</wp:posOffset>
            </wp:positionH>
            <wp:positionV relativeFrom="paragraph">
              <wp:posOffset>-26035</wp:posOffset>
            </wp:positionV>
            <wp:extent cx="47180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5115560</wp:posOffset>
            </wp:positionH>
            <wp:positionV relativeFrom="paragraph">
              <wp:posOffset>-102870</wp:posOffset>
            </wp:positionV>
            <wp:extent cx="53911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539115" cy="8890"/>
                    </a:xfrm>
                    <a:prstGeom prst="rect">
                      <a:avLst/>
                    </a:prstGeom>
                    <a:noFill/>
                  </pic:spPr>
                </pic:pic>
              </a:graphicData>
            </a:graphic>
          </wp:anchor>
        </w:drawing>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141" w:name="page142"/>
    <w:bookmarkEnd w:id="141"/>
    <w:p>
      <w:pPr>
        <w:jc w:val="both"/>
        <w:ind w:left="4" w:right="260" w:firstLine="440"/>
        <w:spacing w:after="0" w:line="259" w:lineRule="auto"/>
        <w:rPr>
          <w:sz w:val="20"/>
          <w:szCs w:val="20"/>
          <w:color w:val="auto"/>
        </w:rPr>
      </w:pPr>
      <w:r>
        <w:rPr>
          <w:rFonts w:ascii="Arial" w:cs="Arial" w:eastAsia="Arial" w:hAnsi="Arial"/>
          <w:sz w:val="18"/>
          <w:szCs w:val="18"/>
          <w:u w:val="single" w:color="auto"/>
          <w:color w:val="0000E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 </w:t>
      </w:r>
      <w:r>
        <w:rPr>
          <w:rFonts w:ascii="Arial" w:cs="Arial" w:eastAsia="Arial" w:hAnsi="Arial"/>
          <w:sz w:val="18"/>
          <w:szCs w:val="18"/>
          <w:i w:val="1"/>
          <w:iCs w:val="1"/>
          <w:u w:val="single" w:color="auto"/>
          <w:color w:val="0000E1"/>
        </w:rPr>
        <w:t>UK Financial Institution</w:t>
      </w:r>
      <w:r>
        <w:rPr>
          <w:rFonts w:ascii="Arial" w:cs="Arial" w:eastAsia="Arial" w:hAnsi="Arial"/>
          <w:sz w:val="18"/>
          <w:szCs w:val="18"/>
          <w:u w:val="single" w:color="auto"/>
          <w:color w:val="0000E1"/>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6"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UK Resolution Authority</w:t>
      </w:r>
      <w:r>
        <w:rPr>
          <w:rFonts w:ascii="Arial" w:cs="Arial" w:eastAsia="Arial" w:hAnsi="Arial"/>
          <w:sz w:val="18"/>
          <w:szCs w:val="18"/>
          <w:u w:val="single" w:color="auto"/>
          <w:color w:val="0000E1"/>
        </w:rPr>
        <w:t>” means the Bank of England or any other public administrative authority having responsibility for the resolution of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-833755</wp:posOffset>
            </wp:positionV>
            <wp:extent cx="647192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-696595</wp:posOffset>
            </wp:positionV>
            <wp:extent cx="675513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-559435</wp:posOffset>
            </wp:positionV>
            <wp:extent cx="682371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-422275</wp:posOffset>
            </wp:positionV>
            <wp:extent cx="30689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06895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-147955</wp:posOffset>
            </wp:positionV>
            <wp:extent cx="6694805"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114871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50"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Undisclosed Administration</w:t>
      </w:r>
      <w:r>
        <w:rPr>
          <w:rFonts w:ascii="Arial" w:cs="Arial" w:eastAsia="Arial" w:hAnsi="Arial"/>
          <w:sz w:val="18"/>
          <w:szCs w:val="18"/>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87"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Unfunded Vested Liabilities</w:t>
      </w:r>
      <w:r>
        <w:rPr>
          <w:rFonts w:ascii="Arial" w:cs="Arial" w:eastAsia="Arial" w:hAnsi="Arial"/>
          <w:sz w:val="18"/>
          <w:szCs w:val="18"/>
          <w:color w:val="auto"/>
        </w:rPr>
        <w:t>” means, for any Plan at any time, the amount (if any) by which the present value of all vested nonforfeitable accrued benefits under such Plan exceeds the fair market value of all Plan assets allocable to such benefits, all determined as of the then most recent valuation date for such Plan, but only to the extent that such excess represents a potential liability of a member of the Controlled Group to the PBGC or the Plan under Title IV of ERISA.</w:t>
      </w:r>
    </w:p>
    <w:p>
      <w:pPr>
        <w:spacing w:after="0" w:line="187"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w:t>
      </w:r>
      <w:r>
        <w:rPr>
          <w:rFonts w:ascii="Arial" w:cs="Arial" w:eastAsia="Arial" w:hAnsi="Arial"/>
          <w:sz w:val="18"/>
          <w:szCs w:val="18"/>
          <w:color w:val="auto"/>
        </w:rPr>
        <w:t>” means a particular restaurant and/or entertainment center at a particular location that is owned or operated by the Borrower or one of its Restricted Subsidiaries or that is operated by a franchisee of the Borrower or one of its Restricted Subsidiaries.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Cash Threshold</w:t>
      </w:r>
      <w:r>
        <w:rPr>
          <w:rFonts w:ascii="Arial" w:cs="Arial" w:eastAsia="Arial" w:hAnsi="Arial"/>
          <w:sz w:val="18"/>
          <w:szCs w:val="18"/>
          <w:color w:val="auto"/>
        </w:rPr>
        <w:t>” means $20,000,000.</w:t>
      </w:r>
    </w:p>
    <w:p>
      <w:pPr>
        <w:spacing w:after="0" w:line="225" w:lineRule="exact"/>
        <w:rPr>
          <w:sz w:val="20"/>
          <w:szCs w:val="20"/>
          <w:color w:val="auto"/>
        </w:rPr>
      </w:pPr>
    </w:p>
    <w:p>
      <w:pPr>
        <w:ind w:left="4" w:right="14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xml:space="preserve">” means at any date and for (or for a pertinent portion of) any period is (i) any Subsidiary of the Borrower identified on </w:t>
      </w:r>
      <w:r>
        <w:rPr>
          <w:rFonts w:ascii="Arial" w:cs="Arial" w:eastAsia="Arial" w:hAnsi="Arial"/>
          <w:sz w:val="16"/>
          <w:szCs w:val="16"/>
          <w:u w:val="single" w:color="auto"/>
          <w:color w:val="auto"/>
        </w:rPr>
        <w:t>Schedule 5.1(c)</w:t>
      </w:r>
      <w:r>
        <w:rPr>
          <w:rFonts w:ascii="Arial" w:cs="Arial" w:eastAsia="Arial" w:hAnsi="Arial"/>
          <w:sz w:val="16"/>
          <w:szCs w:val="16"/>
          <w:color w:val="auto"/>
        </w:rPr>
        <w:t xml:space="preserve">, (ii) any Subsidiary of the Borrower that is designated by the Borrower as an Unrestricted Subsidiary by written notice to the Administrative Agent and (iii) any Subsidiary of any Person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FF0000"/>
          <w:strike w:val="1"/>
        </w:rPr>
        <w:t>,</w:t>
      </w:r>
      <w:r>
        <w:rPr>
          <w:rFonts w:ascii="Arial" w:cs="Arial" w:eastAsia="Arial" w:hAnsi="Arial"/>
          <w:sz w:val="16"/>
          <w:szCs w:val="16"/>
          <w:color w:val="auto"/>
        </w:rPr>
        <w:t xml:space="preserve"> that the Borrower shall </w:t>
      </w:r>
      <w:r>
        <w:rPr>
          <w:rFonts w:ascii="Arial" w:cs="Arial" w:eastAsia="Arial" w:hAnsi="Arial"/>
          <w:sz w:val="16"/>
          <w:szCs w:val="16"/>
          <w:u w:val="single" w:color="auto"/>
          <w:color w:val="0000E1"/>
        </w:rPr>
        <w:t>not be permitted to</w:t>
      </w:r>
      <w:r>
        <w:rPr>
          <w:rFonts w:ascii="Arial" w:cs="Arial" w:eastAsia="Arial" w:hAnsi="Arial"/>
          <w:sz w:val="16"/>
          <w:szCs w:val="16"/>
          <w:color w:val="auto"/>
        </w:rPr>
        <w:t xml:space="preserve"> </w:t>
      </w:r>
      <w:r>
        <w:rPr>
          <w:rFonts w:ascii="Arial" w:cs="Arial" w:eastAsia="Arial" w:hAnsi="Arial"/>
          <w:sz w:val="16"/>
          <w:szCs w:val="16"/>
          <w:u w:val="single" w:color="auto"/>
          <w:color w:val="0000E1"/>
        </w:rPr>
        <w:t>designate a new Unrestricted Subsidiary during the Basket Suspension Period and shall otherwise</w:t>
      </w:r>
      <w:r>
        <w:rPr>
          <w:rFonts w:ascii="Arial" w:cs="Arial" w:eastAsia="Arial" w:hAnsi="Arial"/>
          <w:sz w:val="16"/>
          <w:szCs w:val="16"/>
          <w:color w:val="0000E1"/>
        </w:rPr>
        <w:t xml:space="preserve"> </w:t>
      </w:r>
      <w:r>
        <w:rPr>
          <w:rFonts w:ascii="Arial" w:cs="Arial" w:eastAsia="Arial" w:hAnsi="Arial"/>
          <w:sz w:val="16"/>
          <w:szCs w:val="16"/>
          <w:color w:val="000000"/>
        </w:rPr>
        <w:t>only be permitted to so designate a new Unrestricted</w:t>
      </w:r>
      <w:r>
        <w:rPr>
          <w:rFonts w:ascii="Arial" w:cs="Arial" w:eastAsia="Arial" w:hAnsi="Arial"/>
          <w:sz w:val="16"/>
          <w:szCs w:val="16"/>
          <w:color w:val="0000E1"/>
        </w:rPr>
        <w:t xml:space="preserve"> </w:t>
      </w:r>
      <w:r>
        <w:rPr>
          <w:rFonts w:ascii="Arial" w:cs="Arial" w:eastAsia="Arial" w:hAnsi="Arial"/>
          <w:sz w:val="16"/>
          <w:szCs w:val="16"/>
          <w:color w:val="000000"/>
        </w:rPr>
        <w:t xml:space="preserve">Subsidiary after the Closing Date </w:t>
      </w:r>
      <w:r>
        <w:rPr>
          <w:rFonts w:ascii="Arial" w:cs="Arial" w:eastAsia="Arial" w:hAnsi="Arial"/>
          <w:sz w:val="16"/>
          <w:szCs w:val="16"/>
          <w:color w:val="FF0000"/>
          <w:strike w:val="1"/>
        </w:rPr>
        <w:t>so long as</w:t>
      </w:r>
      <w:r>
        <w:rPr>
          <w:rFonts w:ascii="Arial" w:cs="Arial" w:eastAsia="Arial" w:hAnsi="Arial"/>
          <w:sz w:val="16"/>
          <w:szCs w:val="16"/>
          <w:u w:val="single" w:color="auto"/>
          <w:color w:val="0000E1"/>
        </w:rPr>
        <w:t>if</w:t>
      </w:r>
      <w:r>
        <w:rPr>
          <w:rFonts w:ascii="Arial" w:cs="Arial" w:eastAsia="Arial" w:hAnsi="Arial"/>
          <w:sz w:val="16"/>
          <w:szCs w:val="16"/>
          <w:color w:val="000000"/>
        </w:rPr>
        <w:t xml:space="preserve"> (a) no Default or Event of Default has occurred and is continuing or would result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5795010</wp:posOffset>
            </wp:positionH>
            <wp:positionV relativeFrom="paragraph">
              <wp:posOffset>-264160</wp:posOffset>
            </wp:positionV>
            <wp:extent cx="86614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661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wp:posOffset>
            </wp:positionV>
            <wp:extent cx="445770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jc w:val="both"/>
        <w:ind w:left="4" w:right="400" w:hanging="4"/>
        <w:spacing w:after="0" w:line="281" w:lineRule="auto"/>
        <w:tabs>
          <w:tab w:leader="none" w:pos="25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immediately after giving effect to such designation (as well as all other such designations previously consummated after the first day of such Reference Period ended on or before the date of such designation), the Borrower shall be in compliance with the financial covenants set forth in </w:t>
      </w:r>
      <w:r>
        <w:rPr>
          <w:rFonts w:ascii="Arial" w:cs="Arial" w:eastAsia="Arial" w:hAnsi="Arial"/>
          <w:sz w:val="16"/>
          <w:szCs w:val="16"/>
          <w:u w:val="single" w:color="auto"/>
          <w:color w:val="auto"/>
        </w:rPr>
        <w:t>Section 8.22</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calculated on a Pro Forma Basis, giving effect to such designation, (c) such Unrestricted Subsidiary shall be capitalized (to the extent capitalized by the Borrower or any Restricted Subsidiary) solely through investments permitted by, and in compliance with, </w:t>
      </w:r>
      <w:r>
        <w:rPr>
          <w:rFonts w:ascii="Arial" w:cs="Arial" w:eastAsia="Arial" w:hAnsi="Arial"/>
          <w:sz w:val="16"/>
          <w:szCs w:val="16"/>
          <w:u w:val="single" w:color="auto"/>
          <w:color w:val="auto"/>
        </w:rPr>
        <w:t>Section 8.9</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left="4" w:hanging="4"/>
        <w:spacing w:after="0" w:line="251" w:lineRule="auto"/>
        <w:tabs>
          <w:tab w:leader="none" w:pos="25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without duplication of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any assets owned by such Unrestricted Subsidiary at the time of the initial designation thereof shall be treated as investments pursuant to </w:t>
      </w:r>
      <w:r>
        <w:rPr>
          <w:rFonts w:ascii="Arial" w:cs="Arial" w:eastAsia="Arial" w:hAnsi="Arial"/>
          <w:sz w:val="18"/>
          <w:szCs w:val="18"/>
          <w:u w:val="single" w:color="auto"/>
          <w:color w:val="auto"/>
        </w:rPr>
        <w:t>Section 8.9</w:t>
      </w:r>
      <w:r>
        <w:rPr>
          <w:rFonts w:ascii="Arial" w:cs="Arial" w:eastAsia="Arial" w:hAnsi="Arial"/>
          <w:sz w:val="18"/>
          <w:szCs w:val="18"/>
          <w:color w:val="auto"/>
        </w:rPr>
        <w:t>. The Borrower may designate any Unrestricted Subsidiary to be a Restricted Subsidiary for purposes of this Agreement (each, a “</w:t>
      </w:r>
      <w:r>
        <w:rPr>
          <w:rFonts w:ascii="Arial" w:cs="Arial" w:eastAsia="Arial" w:hAnsi="Arial"/>
          <w:sz w:val="18"/>
          <w:szCs w:val="18"/>
          <w:i w:val="1"/>
          <w:iCs w:val="1"/>
          <w:color w:val="auto"/>
        </w:rPr>
        <w:t>Subsidiary Redesignation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Default or Event of Default has occurred and is continuing or would result therefrom, (ii) immediately after giving effect to such Subsidiary Redesignation (as well as all other Subsidiary Redesignations previously consummated after the first day of such Reference Period), the Borrower shall be in compliance with the financial covenants set forth in </w:t>
      </w:r>
      <w:r>
        <w:rPr>
          <w:rFonts w:ascii="Arial" w:cs="Arial" w:eastAsia="Arial" w:hAnsi="Arial"/>
          <w:sz w:val="18"/>
          <w:szCs w:val="18"/>
          <w:u w:val="single" w:color="auto"/>
          <w:color w:val="auto"/>
        </w:rPr>
        <w:t>Section 8.22</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calculated on a Pro Forma Basis, giving effect to such Subsidiary Redesignation, and (iii) the Borrower shall have delivered to the Administrative Agent an officer’s certificate executed by an Authorized Representative of the Borrower, certifying to such officer’s knowledge, compliance with the requirements of preceding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inclusive, and containing the calculations and information required by the preceding </w:t>
      </w:r>
      <w:r>
        <w:rPr>
          <w:rFonts w:ascii="Arial" w:cs="Arial" w:eastAsia="Arial" w:hAnsi="Arial"/>
          <w:sz w:val="18"/>
          <w:szCs w:val="18"/>
          <w:u w:val="single" w:color="auto"/>
          <w:color w:val="auto"/>
        </w:rPr>
        <w:t>clause (ii)</w:t>
      </w:r>
      <w:r>
        <w:rPr>
          <w:rFonts w:ascii="Arial" w:cs="Arial" w:eastAsia="Arial" w:hAnsi="Arial"/>
          <w:sz w:val="18"/>
          <w:szCs w:val="18"/>
          <w:color w:val="auto"/>
        </w:rPr>
        <w:t>. To the extent prohibited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-1776730</wp:posOffset>
            </wp:positionV>
            <wp:extent cx="6858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1656080</wp:posOffset>
            </wp:positionH>
            <wp:positionV relativeFrom="paragraph">
              <wp:posOffset>-1030605</wp:posOffset>
            </wp:positionV>
            <wp:extent cx="2857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-207645</wp:posOffset>
            </wp:positionV>
            <wp:extent cx="2857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4"/>
          </w:cols>
          <w:pgMar w:left="436" w:top="274" w:right="459" w:bottom="1440" w:gutter="0" w:footer="0" w:header="0"/>
        </w:sectPr>
      </w:pPr>
    </w:p>
    <w:bookmarkStart w:id="142" w:name="page143"/>
    <w:bookmarkEnd w:id="142"/>
    <w:p>
      <w:pPr>
        <w:ind w:left="4" w:right="3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by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 no Unrestricted Subsidiary shall have any Indebtedness for Borrowed Money that is recourse, directly or indirectly, to the Borrower or any Restricted Subsidiary; (y) none of Holdings, the Borrower nor any Restricted Subsidiary shall have any direct or indirect obligation</w:t>
      </w:r>
    </w:p>
    <w:p>
      <w:pPr>
        <w:ind w:left="4" w:hanging="4"/>
        <w:spacing w:after="0" w:line="251" w:lineRule="auto"/>
        <w:tabs>
          <w:tab w:leader="none" w:pos="22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to subscribe for additional Equity Interests of such Unrestricted Subsidiary or its Subsidiaries or (II) to maintain or preserve such Unrestricted Subsidiary’s financial condition or to cause such Unrestricted Subsidiary to achieve any specified levels of operating results; and (z) such Unrestricted Subsidiary shall not guarantee or otherwise provide credit support after the time of such designation for any Indebtedness for Borrowed Money of Holdings, the Borrower or any of its Restricted Subsidiaries. No Unrestricted Subsidiary may be re-designated a Restricted Subsidiary within any period of four consecutive fiscal quarters immediately following the designation of such Restricted Subsidiary as an Unrestricted Subsidiary, and, once re-designated a Restricted Subsidiary, may not again be designated as an Unrestricted Subsidiary and </w:t>
      </w:r>
      <w:r>
        <w:rPr>
          <w:rFonts w:ascii="Arial" w:cs="Arial" w:eastAsia="Arial" w:hAnsi="Arial"/>
          <w:sz w:val="18"/>
          <w:szCs w:val="18"/>
          <w:color w:val="FF0000"/>
          <w:strike w:val="1"/>
        </w:rPr>
        <w:t>(ii)</w:t>
      </w:r>
      <w:r>
        <w:rPr>
          <w:rFonts w:ascii="Arial" w:cs="Arial" w:eastAsia="Arial" w:hAnsi="Arial"/>
          <w:sz w:val="18"/>
          <w:szCs w:val="18"/>
          <w:color w:val="auto"/>
        </w:rPr>
        <w:t xml:space="preserve"> if at any time any Unrestricted Subsidiary would fail to meet the foregoing requirements as an Unrestricted Subsidiary, it shall thereafter cease to be an Unrestricted Subsidiary for all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-619125</wp:posOffset>
            </wp:positionV>
            <wp:extent cx="2857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8"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Unused Revolving Credit Commitments</w:t>
      </w:r>
      <w:r>
        <w:rPr>
          <w:rFonts w:ascii="Arial" w:cs="Arial" w:eastAsia="Arial" w:hAnsi="Arial"/>
          <w:sz w:val="18"/>
          <w:szCs w:val="18"/>
          <w:color w:val="auto"/>
        </w:rPr>
        <w:t>” means, at any time, the difference between the Revolving Credit Commitments then in effect and the aggregate outstanding principal amount of Revolving Loans and U.S. Dollar Equivalent of all L/C Obligations.</w:t>
      </w:r>
    </w:p>
    <w:p>
      <w:pPr>
        <w:spacing w:after="0" w:line="170" w:lineRule="exact"/>
        <w:rPr>
          <w:sz w:val="20"/>
          <w:szCs w:val="20"/>
          <w:color w:val="auto"/>
        </w:rPr>
      </w:pPr>
    </w:p>
    <w:p>
      <w:pPr>
        <w:ind w:left="4" w:right="10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Dollar Equivalent</w:t>
      </w:r>
      <w:r>
        <w:rPr>
          <w:rFonts w:ascii="Arial" w:cs="Arial" w:eastAsia="Arial" w:hAnsi="Arial"/>
          <w:sz w:val="17"/>
          <w:szCs w:val="17"/>
          <w:color w:val="auto"/>
        </w:rPr>
        <w:t xml:space="preserve">” means (a) the amount of any Letter of Credit denominated in U.S. Dollars, and (b) in relation to any Letter of Credit denominated in Canadian Dollars, the amount of U.S. Dollars which would be realized by converting Canadian Dollars into U.S. Dollars at the exchange rate quoted to the Administrative Agent, at approximately 11:00 a.m. (London time) three </w:t>
      </w:r>
      <w:r>
        <w:rPr>
          <w:rFonts w:ascii="Arial" w:cs="Arial" w:eastAsia="Arial" w:hAnsi="Arial"/>
          <w:sz w:val="17"/>
          <w:szCs w:val="17"/>
          <w:u w:val="single" w:color="auto"/>
          <w:color w:val="0000E1"/>
        </w:rPr>
        <w:t>(3)</w:t>
      </w:r>
      <w:r>
        <w:rPr>
          <w:rFonts w:ascii="Arial" w:cs="Arial" w:eastAsia="Arial" w:hAnsi="Arial"/>
          <w:sz w:val="17"/>
          <w:szCs w:val="17"/>
          <w:color w:val="auto"/>
        </w:rPr>
        <w:t xml:space="preserve"> Business Days prior (i) to the date on which a computation thereof is required to be made and (ii) to any Revaluation Date, in each case, by major banks in the interbank foreign exchange market for the purchase of U.S. Dollars for Canadian Dollars and (c) in relation to any Letter of Credit denominated in any currency other than U.S. Dollars or Canadian Dollars, the amount of U.S. Dollars that would be realized by converting such other currency into U.S. Dollars at the exchange rate quoted to the Administrative Agent, at approximately 11:00 a.m. (local time) three </w:t>
      </w:r>
      <w:r>
        <w:rPr>
          <w:rFonts w:ascii="Arial" w:cs="Arial" w:eastAsia="Arial" w:hAnsi="Arial"/>
          <w:sz w:val="17"/>
          <w:szCs w:val="17"/>
          <w:u w:val="single" w:color="auto"/>
          <w:color w:val="0000E1"/>
        </w:rPr>
        <w:t>(3)</w:t>
      </w:r>
      <w:r>
        <w:rPr>
          <w:rFonts w:ascii="Arial" w:cs="Arial" w:eastAsia="Arial" w:hAnsi="Arial"/>
          <w:sz w:val="17"/>
          <w:szCs w:val="17"/>
          <w:color w:val="auto"/>
        </w:rPr>
        <w:t xml:space="preserve"> Business Days prior (i) to the date on which a computation thereof is required to be made and (ii) to any Revaluation Date, in each case, by major banks in the interbank foreign exchange market for the purchase of U.S. Dollars for such other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-826770</wp:posOffset>
            </wp:positionV>
            <wp:extent cx="12890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3343275</wp:posOffset>
            </wp:positionH>
            <wp:positionV relativeFrom="paragraph">
              <wp:posOffset>-278130</wp:posOffset>
            </wp:positionV>
            <wp:extent cx="13716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each means the lawful currency of the United States of America.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0000E1"/>
        </w:rPr>
        <w:t xml:space="preserve">“ </w:t>
      </w:r>
      <w:r>
        <w:rPr>
          <w:rFonts w:ascii="Arial" w:cs="Arial" w:eastAsia="Arial" w:hAnsi="Arial"/>
          <w:sz w:val="18"/>
          <w:szCs w:val="18"/>
          <w:i w:val="1"/>
          <w:iCs w:val="1"/>
          <w:u w:val="single" w:color="auto"/>
          <w:color w:val="0000E1"/>
        </w:rPr>
        <w:t>U.S. Special Resolution Regimes</w:t>
      </w:r>
      <w:r>
        <w:rPr>
          <w:rFonts w:ascii="Arial" w:cs="Arial" w:eastAsia="Arial" w:hAnsi="Arial"/>
          <w:sz w:val="18"/>
          <w:szCs w:val="18"/>
          <w:u w:val="single" w:color="auto"/>
          <w:color w:val="0000E1"/>
        </w:rPr>
        <w:t>” is defined in Section  13.31.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23495</wp:posOffset>
            </wp:positionV>
            <wp:extent cx="295719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205"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means Equity Interests of any class or classes (however designated) having ordinary power for the election of directors or other similar governing body of such Person.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Waivable Mandatory Prepayment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1.9(e)</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for Borrowed Money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for Borrowed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-488315</wp:posOffset>
            </wp:positionV>
            <wp:extent cx="28575"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Welfare Plan</w:t>
      </w:r>
      <w:r>
        <w:rPr>
          <w:rFonts w:ascii="Arial" w:cs="Arial" w:eastAsia="Arial" w:hAnsi="Arial"/>
          <w:sz w:val="18"/>
          <w:szCs w:val="18"/>
          <w:color w:val="auto"/>
        </w:rPr>
        <w:t>” means a “welfare plan” as defined in Section 3(1) of ERISA.</w:t>
      </w:r>
    </w:p>
    <w:p>
      <w:pPr>
        <w:spacing w:after="0" w:line="225"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means a Restricted Subsidiary of which all of the issued and outstanding shares of capital stock (other than directors’ qualifying shares as required by law) or other Equity Interests are owned by the Borrower and/or one or more Wholly-owned Subsidiaries within the meaning of this definition.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84"/>
          </w:cols>
          <w:pgMar w:left="436" w:top="274" w:right="479" w:bottom="1440" w:gutter="0" w:footer="0" w:header="0"/>
        </w:sectPr>
      </w:pPr>
    </w:p>
    <w:bookmarkStart w:id="143" w:name="page144"/>
    <w:bookmarkEnd w:id="143"/>
    <w:p>
      <w:pPr>
        <w:ind w:right="16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i w:val="1"/>
          <w:iCs w:val="1"/>
          <w:color w:val="auto"/>
        </w:rPr>
        <w:t>Write-Down and Conversion Powers</w:t>
      </w:r>
      <w:r>
        <w:rPr>
          <w:rFonts w:ascii="Arial" w:cs="Arial" w:eastAsia="Arial" w:hAnsi="Arial"/>
          <w:sz w:val="16"/>
          <w:szCs w:val="16"/>
          <w:color w:val="auto"/>
        </w:rPr>
        <w:t xml:space="preserve">” means, </w:t>
      </w:r>
      <w:r>
        <w:rPr>
          <w:rFonts w:ascii="Arial" w:cs="Arial" w:eastAsia="Arial" w:hAnsi="Arial"/>
          <w:sz w:val="16"/>
          <w:szCs w:val="16"/>
          <w:u w:val="single" w:color="auto"/>
          <w:color w:val="0000E1"/>
        </w:rPr>
        <w:t>(a)</w:t>
      </w:r>
      <w:r>
        <w:rPr>
          <w:rFonts w:ascii="Arial" w:cs="Arial" w:eastAsia="Arial" w:hAnsi="Arial"/>
          <w:sz w:val="16"/>
          <w:szCs w:val="16"/>
          <w:color w:val="auto"/>
        </w:rPr>
        <w:t xml:space="preserve"> with respect to any EEA Resolution Authority, the write-down and conversion powers of such EEA Resolution Authority from time to time under the Bail-In Legislation for the applicable EEA Member Country, which write-</w:t>
      </w:r>
      <w:r>
        <w:rPr>
          <w:rFonts w:ascii="Arial" w:cs="Arial" w:eastAsia="Arial" w:hAnsi="Arial"/>
          <w:sz w:val="16"/>
          <w:szCs w:val="16"/>
          <w:color w:val="FF0000"/>
          <w:strike w:val="1"/>
        </w:rPr>
        <w:t>down</w:t>
      </w:r>
      <w:r>
        <w:rPr>
          <w:rFonts w:ascii="Arial" w:cs="Arial" w:eastAsia="Arial" w:hAnsi="Arial"/>
          <w:sz w:val="16"/>
          <w:szCs w:val="16"/>
          <w:color w:val="auto"/>
        </w:rPr>
        <w:t xml:space="preserve"> </w:t>
      </w:r>
      <w:r>
        <w:rPr>
          <w:rFonts w:ascii="Arial" w:cs="Arial" w:eastAsia="Arial" w:hAnsi="Arial"/>
          <w:sz w:val="16"/>
          <w:szCs w:val="16"/>
          <w:u w:val="single" w:color="auto"/>
          <w:color w:val="0000E1"/>
        </w:rPr>
        <w:t>down</w:t>
      </w:r>
      <w:r>
        <w:rPr>
          <w:rFonts w:ascii="Arial" w:cs="Arial" w:eastAsia="Arial" w:hAnsi="Arial"/>
          <w:sz w:val="16"/>
          <w:szCs w:val="16"/>
          <w:color w:val="auto"/>
        </w:rPr>
        <w:t xml:space="preserve"> and conversion powers are described in the EU Bail-In Legislation Schedule</w:t>
      </w:r>
      <w:r>
        <w:rPr>
          <w:rFonts w:ascii="Arial" w:cs="Arial" w:eastAsia="Arial" w:hAnsi="Arial"/>
          <w:sz w:val="16"/>
          <w:szCs w:val="16"/>
          <w:color w:val="FF0000"/>
          <w:strike w:val="1"/>
        </w:rPr>
        <w:t>.</w:t>
      </w:r>
      <w:r>
        <w:rPr>
          <w:rFonts w:ascii="Arial" w:cs="Arial" w:eastAsia="Arial" w:hAnsi="Arial"/>
          <w:sz w:val="16"/>
          <w:szCs w:val="16"/>
          <w:u w:val="single" w:color="auto"/>
          <w:color w:val="0000E1"/>
        </w:rPr>
        <w:t>, and (b) with respect to the United Kingdom, any powers of the applicable</w:t>
      </w:r>
      <w:r>
        <w:rPr>
          <w:rFonts w:ascii="Arial" w:cs="Arial" w:eastAsia="Arial" w:hAnsi="Arial"/>
          <w:sz w:val="16"/>
          <w:szCs w:val="16"/>
          <w:color w:val="auto"/>
        </w:rPr>
        <w:t xml:space="preserve"> </w:t>
      </w:r>
      <w:r>
        <w:rPr>
          <w:rFonts w:ascii="Arial" w:cs="Arial" w:eastAsia="Arial" w:hAnsi="Arial"/>
          <w:sz w:val="16"/>
          <w:szCs w:val="16"/>
          <w:u w:val="single" w:color="auto"/>
          <w:color w:val="0000E1"/>
        </w:rPr>
        <w:t>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-836295</wp:posOffset>
            </wp:positionV>
            <wp:extent cx="12890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-699135</wp:posOffset>
            </wp:positionV>
            <wp:extent cx="248285"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-561975</wp:posOffset>
            </wp:positionV>
            <wp:extent cx="342011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-424815</wp:posOffset>
            </wp:positionV>
            <wp:extent cx="676338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-287655</wp:posOffset>
            </wp:positionV>
            <wp:extent cx="681482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678053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5846445"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54"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7"/>
          <w:szCs w:val="17"/>
          <w:i w:val="1"/>
          <w:iCs w:val="1"/>
          <w:color w:val="auto"/>
        </w:rPr>
        <w:t>Interpretation</w:t>
      </w:r>
      <w:r>
        <w:rPr>
          <w:rFonts w:ascii="Arial" w:cs="Arial" w:eastAsia="Arial" w:hAnsi="Arial"/>
          <w:sz w:val="17"/>
          <w:szCs w:val="17"/>
          <w:color w:val="FF0000"/>
          <w:strike w:val="1"/>
        </w:rPr>
        <w:t>(a)</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FF0000"/>
          <w:strike w:val="1"/>
        </w:rPr>
        <w:t>(a)</w:t>
      </w:r>
    </w:p>
    <w:p>
      <w:pPr>
        <w:spacing w:after="0" w:line="117" w:lineRule="exact"/>
        <w:rPr>
          <w:sz w:val="20"/>
          <w:szCs w:val="20"/>
          <w:color w:val="auto"/>
        </w:rPr>
      </w:pPr>
    </w:p>
    <w:p>
      <w:pPr>
        <w:ind w:firstLine="987"/>
        <w:spacing w:after="0" w:line="285" w:lineRule="auto"/>
        <w:tabs>
          <w:tab w:leader="none" w:pos="1368" w:val="left"/>
        </w:tabs>
        <w:numPr>
          <w:ilvl w:val="0"/>
          <w:numId w:val="162"/>
        </w:numPr>
        <w:rPr>
          <w:rFonts w:ascii="Arial" w:cs="Arial" w:eastAsia="Arial" w:hAnsi="Arial"/>
          <w:sz w:val="16"/>
          <w:szCs w:val="16"/>
          <w:u w:val="single" w:color="auto"/>
          <w:color w:val="0000E1"/>
        </w:rPr>
      </w:pPr>
      <w:r>
        <w:rPr>
          <w:rFonts w:ascii="Arial" w:cs="Arial" w:eastAsia="Arial" w:hAnsi="Arial"/>
          <w:sz w:val="16"/>
          <w:szCs w:val="16"/>
          <w:color w:val="auto"/>
        </w:rPr>
        <w:t>The foregoing definitions are equally applicable to both the singular and plural forms of the terms defined. Whenever the context may require, any pronoun shall include the corresponding masculine, feminine and neuter forms. The words “</w:t>
      </w:r>
      <w:r>
        <w:rPr>
          <w:rFonts w:ascii="Arial" w:cs="Arial" w:eastAsia="Arial" w:hAnsi="Arial"/>
          <w:sz w:val="16"/>
          <w:szCs w:val="16"/>
          <w:i w:val="1"/>
          <w:iCs w:val="1"/>
          <w:color w:val="auto"/>
        </w:rPr>
        <w:t>include</w:t>
      </w:r>
      <w:r>
        <w:rPr>
          <w:rFonts w:ascii="Arial" w:cs="Arial" w:eastAsia="Arial" w:hAnsi="Arial"/>
          <w:sz w:val="16"/>
          <w:szCs w:val="16"/>
          <w:color w:val="auto"/>
        </w:rPr>
        <w:t>,” “</w:t>
      </w:r>
      <w:r>
        <w:rPr>
          <w:rFonts w:ascii="Arial" w:cs="Arial" w:eastAsia="Arial" w:hAnsi="Arial"/>
          <w:sz w:val="16"/>
          <w:szCs w:val="16"/>
          <w:i w:val="1"/>
          <w:iCs w:val="1"/>
          <w:color w:val="auto"/>
        </w:rPr>
        <w:t>includes</w:t>
      </w:r>
      <w:r>
        <w:rPr>
          <w:rFonts w:ascii="Arial" w:cs="Arial" w:eastAsia="Arial" w:hAnsi="Arial"/>
          <w:sz w:val="16"/>
          <w:szCs w:val="16"/>
          <w:color w:val="auto"/>
        </w:rPr>
        <w:t>” and “</w:t>
      </w:r>
      <w:r>
        <w:rPr>
          <w:rFonts w:ascii="Arial" w:cs="Arial" w:eastAsia="Arial" w:hAnsi="Arial"/>
          <w:sz w:val="16"/>
          <w:szCs w:val="16"/>
          <w:i w:val="1"/>
          <w:iCs w:val="1"/>
          <w:color w:val="auto"/>
        </w:rPr>
        <w:t>including</w:t>
      </w:r>
      <w:r>
        <w:rPr>
          <w:rFonts w:ascii="Arial" w:cs="Arial" w:eastAsia="Arial" w:hAnsi="Arial"/>
          <w:sz w:val="16"/>
          <w:szCs w:val="16"/>
          <w:color w:val="auto"/>
        </w:rPr>
        <w:t>” shall be deemed to be followed by the phrase “</w:t>
      </w:r>
      <w:r>
        <w:rPr>
          <w:rFonts w:ascii="Arial" w:cs="Arial" w:eastAsia="Arial" w:hAnsi="Arial"/>
          <w:sz w:val="16"/>
          <w:szCs w:val="16"/>
          <w:i w:val="1"/>
          <w:iCs w:val="1"/>
          <w:color w:val="auto"/>
        </w:rPr>
        <w:t>without limitation</w:t>
      </w:r>
      <w:r>
        <w:rPr>
          <w:rFonts w:ascii="Arial" w:cs="Arial" w:eastAsia="Arial" w:hAnsi="Arial"/>
          <w:sz w:val="16"/>
          <w:szCs w:val="16"/>
          <w:color w:val="auto"/>
        </w:rPr>
        <w:t>.” The word “</w:t>
      </w:r>
      <w:r>
        <w:rPr>
          <w:rFonts w:ascii="Arial" w:cs="Arial" w:eastAsia="Arial" w:hAnsi="Arial"/>
          <w:sz w:val="16"/>
          <w:szCs w:val="16"/>
          <w:i w:val="1"/>
          <w:iCs w:val="1"/>
          <w:color w:val="auto"/>
        </w:rPr>
        <w:t>will</w:t>
      </w:r>
      <w:r>
        <w:rPr>
          <w:rFonts w:ascii="Arial" w:cs="Arial" w:eastAsia="Arial" w:hAnsi="Arial"/>
          <w:sz w:val="16"/>
          <w:szCs w:val="16"/>
          <w:color w:val="auto"/>
        </w:rPr>
        <w:t>” shall be construed to have the same meaning and effect as the word “</w:t>
      </w:r>
      <w:r>
        <w:rPr>
          <w:rFonts w:ascii="Arial" w:cs="Arial" w:eastAsia="Arial" w:hAnsi="Arial"/>
          <w:sz w:val="16"/>
          <w:szCs w:val="16"/>
          <w:i w:val="1"/>
          <w:iCs w:val="1"/>
          <w:color w:val="auto"/>
        </w:rPr>
        <w:t>shall</w:t>
      </w:r>
      <w:r>
        <w:rPr>
          <w:rFonts w:ascii="Arial" w:cs="Arial" w:eastAsia="Arial" w:hAnsi="Arial"/>
          <w:sz w:val="16"/>
          <w:szCs w:val="16"/>
          <w:color w:val="auto"/>
        </w:rPr>
        <w:t>.” Unless the context requires otherwise, (i) any definition of or reference to any agreement, instrument or other document (including any Loan Document) shall be construed as referring to such agreement, instrument or other document as from time to time amended, restated, amended and restated, supplemented or otherwise modified or extended or renewed (subject to any restrictions on such amendments, restatements, amendments and restatements, supplements or modifications set forth herein, if any), (ii) any reference herein to any Person shall be construed to include such Person’s successors and permitted assigns, (iii) the words “</w:t>
      </w:r>
      <w:r>
        <w:rPr>
          <w:rFonts w:ascii="Arial" w:cs="Arial" w:eastAsia="Arial" w:hAnsi="Arial"/>
          <w:sz w:val="16"/>
          <w:szCs w:val="16"/>
          <w:i w:val="1"/>
          <w:iCs w:val="1"/>
          <w:color w:val="auto"/>
        </w:rPr>
        <w:t>hereto</w:t>
      </w:r>
      <w:r>
        <w:rPr>
          <w:rFonts w:ascii="Arial" w:cs="Arial" w:eastAsia="Arial" w:hAnsi="Arial"/>
          <w:sz w:val="16"/>
          <w:szCs w:val="16"/>
          <w:color w:val="auto"/>
        </w:rPr>
        <w:t>,” “</w:t>
      </w:r>
      <w:r>
        <w:rPr>
          <w:rFonts w:ascii="Arial" w:cs="Arial" w:eastAsia="Arial" w:hAnsi="Arial"/>
          <w:sz w:val="16"/>
          <w:szCs w:val="16"/>
          <w:i w:val="1"/>
          <w:iCs w:val="1"/>
          <w:color w:val="auto"/>
        </w:rPr>
        <w:t>herein</w:t>
      </w:r>
      <w:r>
        <w:rPr>
          <w:rFonts w:ascii="Arial" w:cs="Arial" w:eastAsia="Arial" w:hAnsi="Arial"/>
          <w:sz w:val="16"/>
          <w:szCs w:val="16"/>
          <w:color w:val="auto"/>
        </w:rPr>
        <w:t>,” “</w:t>
      </w:r>
      <w:r>
        <w:rPr>
          <w:rFonts w:ascii="Arial" w:cs="Arial" w:eastAsia="Arial" w:hAnsi="Arial"/>
          <w:sz w:val="16"/>
          <w:szCs w:val="16"/>
          <w:i w:val="1"/>
          <w:iCs w:val="1"/>
          <w:color w:val="auto"/>
        </w:rPr>
        <w:t>hereof</w:t>
      </w:r>
      <w:r>
        <w:rPr>
          <w:rFonts w:ascii="Arial" w:cs="Arial" w:eastAsia="Arial" w:hAnsi="Arial"/>
          <w:sz w:val="16"/>
          <w:szCs w:val="16"/>
          <w:color w:val="auto"/>
        </w:rPr>
        <w:t>” and “</w:t>
      </w:r>
      <w:r>
        <w:rPr>
          <w:rFonts w:ascii="Arial" w:cs="Arial" w:eastAsia="Arial" w:hAnsi="Arial"/>
          <w:sz w:val="16"/>
          <w:szCs w:val="16"/>
          <w:i w:val="1"/>
          <w:iCs w:val="1"/>
          <w:color w:val="auto"/>
        </w:rPr>
        <w:t>hereunder</w:t>
      </w:r>
      <w:r>
        <w:rPr>
          <w:rFonts w:ascii="Arial" w:cs="Arial" w:eastAsia="Arial" w:hAnsi="Arial"/>
          <w:sz w:val="16"/>
          <w:szCs w:val="16"/>
          <w:color w:val="auto"/>
        </w:rPr>
        <w:t>,” and words of similar import when used in any Loan Document, shall be construed to refer to such Loan Document in its entirety and not to any particular provision thereof, (iv) all references in a Loan Document to Articles, Sections, subsections, paragraphs, clauses, Exhibits and Schedules shall be construed to refer to Articles, Sections, subsections, paragraphs and clauses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6"/>
          <w:szCs w:val="16"/>
          <w:i w:val="1"/>
          <w:iCs w:val="1"/>
          <w:color w:val="auto"/>
        </w:rPr>
        <w:t>asset</w:t>
      </w:r>
      <w:r>
        <w:rPr>
          <w:rFonts w:ascii="Arial" w:cs="Arial" w:eastAsia="Arial" w:hAnsi="Arial"/>
          <w:sz w:val="16"/>
          <w:szCs w:val="16"/>
          <w:color w:val="auto"/>
        </w:rPr>
        <w:t>” and “</w:t>
      </w:r>
      <w:r>
        <w:rPr>
          <w:rFonts w:ascii="Arial" w:cs="Arial" w:eastAsia="Arial" w:hAnsi="Arial"/>
          <w:sz w:val="16"/>
          <w:szCs w:val="16"/>
          <w:i w:val="1"/>
          <w:iCs w:val="1"/>
          <w:color w:val="auto"/>
        </w:rPr>
        <w:t>property</w:t>
      </w:r>
      <w:r>
        <w:rPr>
          <w:rFonts w:ascii="Arial" w:cs="Arial" w:eastAsia="Arial" w:hAnsi="Arial"/>
          <w:sz w:val="16"/>
          <w:szCs w:val="16"/>
          <w:color w:val="auto"/>
        </w:rPr>
        <w:t>” shall be construed to have the same meaning and effect and to refer to any and all tangible and intangible assets and properties, including cash, securities, accounts and contract rights. In the computation of periods of time from a specified date to a later specified date, the word “</w:t>
      </w:r>
      <w:r>
        <w:rPr>
          <w:rFonts w:ascii="Arial" w:cs="Arial" w:eastAsia="Arial" w:hAnsi="Arial"/>
          <w:sz w:val="16"/>
          <w:szCs w:val="16"/>
          <w:i w:val="1"/>
          <w:iCs w:val="1"/>
          <w:color w:val="auto"/>
        </w:rPr>
        <w:t>from</w:t>
      </w:r>
      <w:r>
        <w:rPr>
          <w:rFonts w:ascii="Arial" w:cs="Arial" w:eastAsia="Arial" w:hAnsi="Arial"/>
          <w:sz w:val="16"/>
          <w:szCs w:val="16"/>
          <w:color w:val="auto"/>
        </w:rPr>
        <w:t>” means “</w:t>
      </w:r>
      <w:r>
        <w:rPr>
          <w:rFonts w:ascii="Arial" w:cs="Arial" w:eastAsia="Arial" w:hAnsi="Arial"/>
          <w:sz w:val="16"/>
          <w:szCs w:val="16"/>
          <w:i w:val="1"/>
          <w:iCs w:val="1"/>
          <w:color w:val="auto"/>
        </w:rPr>
        <w:t>from and including</w:t>
      </w:r>
      <w:r>
        <w:rPr>
          <w:rFonts w:ascii="Arial" w:cs="Arial" w:eastAsia="Arial" w:hAnsi="Arial"/>
          <w:sz w:val="16"/>
          <w:szCs w:val="16"/>
          <w:color w:val="auto"/>
        </w:rPr>
        <w:t>;” the words “</w:t>
      </w:r>
      <w:r>
        <w:rPr>
          <w:rFonts w:ascii="Arial" w:cs="Arial" w:eastAsia="Arial" w:hAnsi="Arial"/>
          <w:sz w:val="16"/>
          <w:szCs w:val="16"/>
          <w:i w:val="1"/>
          <w:iCs w:val="1"/>
          <w:color w:val="auto"/>
        </w:rPr>
        <w:t>to</w:t>
      </w:r>
      <w:r>
        <w:rPr>
          <w:rFonts w:ascii="Arial" w:cs="Arial" w:eastAsia="Arial" w:hAnsi="Arial"/>
          <w:sz w:val="16"/>
          <w:szCs w:val="16"/>
          <w:color w:val="auto"/>
        </w:rPr>
        <w:t>” and “</w:t>
      </w:r>
      <w:r>
        <w:rPr>
          <w:rFonts w:ascii="Arial" w:cs="Arial" w:eastAsia="Arial" w:hAnsi="Arial"/>
          <w:sz w:val="16"/>
          <w:szCs w:val="16"/>
          <w:i w:val="1"/>
          <w:iCs w:val="1"/>
          <w:color w:val="auto"/>
        </w:rPr>
        <w:t>until</w:t>
      </w:r>
      <w:r>
        <w:rPr>
          <w:rFonts w:ascii="Arial" w:cs="Arial" w:eastAsia="Arial" w:hAnsi="Arial"/>
          <w:sz w:val="16"/>
          <w:szCs w:val="16"/>
          <w:color w:val="auto"/>
        </w:rPr>
        <w:t>” each mean “</w:t>
      </w:r>
      <w:r>
        <w:rPr>
          <w:rFonts w:ascii="Arial" w:cs="Arial" w:eastAsia="Arial" w:hAnsi="Arial"/>
          <w:sz w:val="16"/>
          <w:szCs w:val="16"/>
          <w:i w:val="1"/>
          <w:iCs w:val="1"/>
          <w:color w:val="auto"/>
        </w:rPr>
        <w:t>to but excluding</w:t>
      </w:r>
      <w:r>
        <w:rPr>
          <w:rFonts w:ascii="Arial" w:cs="Arial" w:eastAsia="Arial" w:hAnsi="Arial"/>
          <w:sz w:val="16"/>
          <w:szCs w:val="16"/>
          <w:color w:val="auto"/>
        </w:rPr>
        <w:t>;” and the word “</w:t>
      </w:r>
      <w:r>
        <w:rPr>
          <w:rFonts w:ascii="Arial" w:cs="Arial" w:eastAsia="Arial" w:hAnsi="Arial"/>
          <w:sz w:val="16"/>
          <w:szCs w:val="16"/>
          <w:i w:val="1"/>
          <w:iCs w:val="1"/>
          <w:color w:val="auto"/>
        </w:rPr>
        <w:t>through</w:t>
      </w:r>
      <w:r>
        <w:rPr>
          <w:rFonts w:ascii="Arial" w:cs="Arial" w:eastAsia="Arial" w:hAnsi="Arial"/>
          <w:sz w:val="16"/>
          <w:szCs w:val="16"/>
          <w:color w:val="auto"/>
        </w:rPr>
        <w:t>” means “</w:t>
      </w:r>
      <w:r>
        <w:rPr>
          <w:rFonts w:ascii="Arial" w:cs="Arial" w:eastAsia="Arial" w:hAnsi="Arial"/>
          <w:sz w:val="16"/>
          <w:szCs w:val="16"/>
          <w:i w:val="1"/>
          <w:iCs w:val="1"/>
          <w:color w:val="auto"/>
        </w:rPr>
        <w:t>to and including</w:t>
      </w:r>
      <w:r>
        <w:rPr>
          <w:rFonts w:ascii="Arial" w:cs="Arial" w:eastAsia="Arial" w:hAnsi="Arial"/>
          <w:sz w:val="16"/>
          <w:szCs w:val="16"/>
          <w:color w:val="auto"/>
        </w:rPr>
        <w:t>.” All references to time of day herein are references to New York, New York time unless otherwise specifically provided.</w:t>
      </w:r>
    </w:p>
    <w:p>
      <w:pPr>
        <w:spacing w:after="0" w:line="173" w:lineRule="exact"/>
        <w:rPr>
          <w:rFonts w:ascii="Arial" w:cs="Arial" w:eastAsia="Arial" w:hAnsi="Arial"/>
          <w:sz w:val="16"/>
          <w:szCs w:val="16"/>
          <w:u w:val="single" w:color="auto"/>
          <w:color w:val="0000E1"/>
        </w:rPr>
      </w:pPr>
    </w:p>
    <w:p>
      <w:pPr>
        <w:ind w:right="360" w:firstLine="987"/>
        <w:spacing w:after="0" w:line="263" w:lineRule="auto"/>
        <w:tabs>
          <w:tab w:leader="none" w:pos="137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Where the character or amount of any asset or liability or item of income or expense is required to be determined or any consolidation or other accounting computation is required to be made for the purposes of this Agreement, it shall be done in accordance with GAAP except where such principles are inconsistent with the specific provisions of this Agreement.</w:t>
      </w:r>
    </w:p>
    <w:p>
      <w:pPr>
        <w:spacing w:after="0" w:line="183" w:lineRule="exact"/>
        <w:rPr>
          <w:rFonts w:ascii="Arial" w:cs="Arial" w:eastAsia="Arial" w:hAnsi="Arial"/>
          <w:sz w:val="18"/>
          <w:szCs w:val="18"/>
          <w:color w:val="auto"/>
        </w:rPr>
      </w:pPr>
    </w:p>
    <w:p>
      <w:pPr>
        <w:ind w:right="100" w:firstLine="987"/>
        <w:spacing w:after="0" w:line="259" w:lineRule="auto"/>
        <w:tabs>
          <w:tab w:leader="none" w:pos="137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Notwithstanding anything to the contrary herein, financial ratios and tests (including the Secured Leverage Ratio, the Total Leverage Ratio, the Fixed Charge Coverage Ratio and the amount of Consolidated Total Assets) contained in this Agreement that are calculated with respect to any Reference Period during which any Subject Transaction occurs shall be calculated with respect to such Reference Period and such Subject Transaction on a Pro Forma Basis. Further, if since the beginning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-3429635</wp:posOffset>
            </wp:positionV>
            <wp:extent cx="12890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-3506470</wp:posOffset>
            </wp:positionV>
            <wp:extent cx="2857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-3369310</wp:posOffset>
            </wp:positionV>
            <wp:extent cx="28575"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-3232150</wp:posOffset>
            </wp:positionV>
            <wp:extent cx="2857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-3094990</wp:posOffset>
            </wp:positionV>
            <wp:extent cx="2857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-1586230</wp:posOffset>
            </wp:positionV>
            <wp:extent cx="2857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5981065</wp:posOffset>
            </wp:positionH>
            <wp:positionV relativeFrom="paragraph">
              <wp:posOffset>-1449070</wp:posOffset>
            </wp:positionV>
            <wp:extent cx="2857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-77470</wp:posOffset>
            </wp:positionV>
            <wp:extent cx="2857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20"/>
          </w:cols>
          <w:pgMar w:left="440" w:top="274" w:right="439" w:bottom="1440" w:gutter="0" w:footer="0" w:header="0"/>
        </w:sectPr>
      </w:pPr>
    </w:p>
    <w:bookmarkStart w:id="144" w:name="page145"/>
    <w:bookmarkEnd w:id="144"/>
    <w:p>
      <w:pPr>
        <w:ind w:left="4"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such Reference Period and on or prior to the date of any required calculation of a financial ratio or test (including the Secured Leverage Ratio, the Total Leverage Ratio, the Fixed Charge Coverage Ratio and the amount of Consolidated Total Assets) (x) a Subject Transaction shall have occurred or</w:t>
      </w:r>
    </w:p>
    <w:p>
      <w:pPr>
        <w:ind w:left="4" w:hanging="4"/>
        <w:spacing w:after="0" w:line="252" w:lineRule="auto"/>
        <w:tabs>
          <w:tab w:leader="none" w:pos="25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any Person that subsequently became a Restricted Subsidiary or was merged, amalgamated or consolidated with or into the Borrower or any of its Restricted Subsidiaries since the beginning of such Reference Period shall have made any Subject Transaction, then, in each case, any applicable financial ratio or test (including the Secured Leverage Ratio, the Total Leverage Ratio, the Fixed Charge Coverage Ratio and the amount of Consolidated Total Assets) shall be calculated on a Pro Forma Basis for such Reference Period as if such Subject Transaction occurred at the beginning of the applicable Reference Period (it being understood, for the avoidance of doubt, that solely for purposes of calculating quarterly compliance with the financial covenants set forth in </w:t>
      </w:r>
      <w:r>
        <w:rPr>
          <w:rFonts w:ascii="Arial" w:cs="Arial" w:eastAsia="Arial" w:hAnsi="Arial"/>
          <w:sz w:val="18"/>
          <w:szCs w:val="18"/>
          <w:u w:val="single" w:color="auto"/>
          <w:color w:val="auto"/>
        </w:rPr>
        <w:t>Section 8.22</w:t>
      </w:r>
      <w:r>
        <w:rPr>
          <w:rFonts w:ascii="Arial" w:cs="Arial" w:eastAsia="Arial" w:hAnsi="Arial"/>
          <w:sz w:val="18"/>
          <w:szCs w:val="18"/>
          <w:color w:val="auto"/>
        </w:rPr>
        <w:t>, the date of the required calculation shall be the last day of the Reference Period and Subject Transactions occurring thereafter shall not be taken into account).</w:t>
      </w:r>
    </w:p>
    <w:p>
      <w:pPr>
        <w:spacing w:after="0" w:line="192" w:lineRule="exact"/>
        <w:rPr>
          <w:rFonts w:ascii="Arial" w:cs="Arial" w:eastAsia="Arial" w:hAnsi="Arial"/>
          <w:sz w:val="18"/>
          <w:szCs w:val="18"/>
          <w:color w:val="auto"/>
        </w:rPr>
      </w:pPr>
    </w:p>
    <w:p>
      <w:pPr>
        <w:ind w:left="4" w:right="20" w:firstLine="987"/>
        <w:spacing w:after="0" w:line="254" w:lineRule="auto"/>
        <w:tabs>
          <w:tab w:leader="none" w:pos="1385" w:val="left"/>
        </w:tabs>
        <w:numPr>
          <w:ilvl w:val="1"/>
          <w:numId w:val="163"/>
        </w:numPr>
        <w:rPr>
          <w:rFonts w:ascii="Arial" w:cs="Arial" w:eastAsia="Arial" w:hAnsi="Arial"/>
          <w:sz w:val="18"/>
          <w:szCs w:val="18"/>
          <w:color w:val="auto"/>
        </w:rPr>
      </w:pPr>
      <w:r>
        <w:rPr>
          <w:rFonts w:ascii="Arial" w:cs="Arial" w:eastAsia="Arial" w:hAnsi="Arial"/>
          <w:sz w:val="18"/>
          <w:szCs w:val="18"/>
          <w:color w:val="auto"/>
        </w:rPr>
        <w:t>For purposes of determining the permissibility of any action, change, transaction or event that by the terms of the Loan Documents requires a calculation of any financial ratio or test (including the Secured Leverage Ratio, the Total Leverage Ratio, the Fixed Charge Coverage Ratio, the amount of EBITDA or the amount of Consolidated Total Assets), such financial ratio or test shall be calculated at the time such action is taken, such change is made, such transaction is consummated or such event occurs, as the case may be, and no Default or Event of Default shall be deemed to have occurred as a result of such action, change, transaction or event solely as a result of a change in the component elements used in calculating such financial ratio or test that occurs after the time such action is taken, such change is made, such transaction is consummated or such event occurs, as the case may be.</w:t>
      </w:r>
    </w:p>
    <w:p>
      <w:pPr>
        <w:spacing w:after="0" w:line="194" w:lineRule="exact"/>
        <w:rPr>
          <w:rFonts w:ascii="Arial" w:cs="Arial" w:eastAsia="Arial" w:hAnsi="Arial"/>
          <w:sz w:val="18"/>
          <w:szCs w:val="18"/>
          <w:color w:val="auto"/>
        </w:rPr>
      </w:pPr>
    </w:p>
    <w:p>
      <w:pPr>
        <w:ind w:left="4" w:firstLine="987"/>
        <w:spacing w:after="0" w:line="291" w:lineRule="auto"/>
        <w:tabs>
          <w:tab w:leader="none" w:pos="1375" w:val="left"/>
        </w:tabs>
        <w:numPr>
          <w:ilvl w:val="1"/>
          <w:numId w:val="16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with respect to any amounts incurred or transactions entered into (or consummated) in reliance on a provision of this Agreement that does not require compliance with a financial ratio or test (including, without limitation, </w:t>
      </w:r>
      <w:r>
        <w:rPr>
          <w:rFonts w:ascii="Arial" w:cs="Arial" w:eastAsia="Arial" w:hAnsi="Arial"/>
          <w:sz w:val="16"/>
          <w:szCs w:val="16"/>
          <w:u w:val="single" w:color="auto"/>
          <w:color w:val="auto"/>
        </w:rPr>
        <w:t>Section 8.22</w:t>
      </w:r>
      <w:r>
        <w:rPr>
          <w:rFonts w:ascii="Arial" w:cs="Arial" w:eastAsia="Arial" w:hAnsi="Arial"/>
          <w:sz w:val="16"/>
          <w:szCs w:val="16"/>
          <w:color w:val="auto"/>
        </w:rPr>
        <w:t>, any Secured Leverage Ratio test, any Total Leverage Ratio test and/or any Fixed Charge Coverage Ratio test) (any such amounts, the “</w:t>
      </w:r>
      <w:r>
        <w:rPr>
          <w:rFonts w:ascii="Arial" w:cs="Arial" w:eastAsia="Arial" w:hAnsi="Arial"/>
          <w:sz w:val="16"/>
          <w:szCs w:val="16"/>
          <w:u w:val="single" w:color="auto"/>
          <w:color w:val="auto"/>
        </w:rPr>
        <w:t>Fixed Amounts</w:t>
      </w:r>
      <w:r>
        <w:rPr>
          <w:rFonts w:ascii="Arial" w:cs="Arial" w:eastAsia="Arial" w:hAnsi="Arial"/>
          <w:sz w:val="16"/>
          <w:szCs w:val="16"/>
          <w:color w:val="auto"/>
        </w:rPr>
        <w:t xml:space="preserve">”) substantially concurrently with any amounts incurred or transactions entered into (or consummated) in reliance on a provision of this Agreement that requires compliance with a financial ratio or test (including, without limitation, </w:t>
      </w:r>
      <w:r>
        <w:rPr>
          <w:rFonts w:ascii="Arial" w:cs="Arial" w:eastAsia="Arial" w:hAnsi="Arial"/>
          <w:sz w:val="16"/>
          <w:szCs w:val="16"/>
          <w:u w:val="single" w:color="auto"/>
          <w:color w:val="auto"/>
        </w:rPr>
        <w:t>Section 8.22</w:t>
      </w:r>
      <w:r>
        <w:rPr>
          <w:rFonts w:ascii="Arial" w:cs="Arial" w:eastAsia="Arial" w:hAnsi="Arial"/>
          <w:sz w:val="16"/>
          <w:szCs w:val="16"/>
          <w:color w:val="auto"/>
        </w:rPr>
        <w:t>, any Secured Leverage Ratio test, any Total Leverage Ratio test and/or any Fixed Charge Coverage Ratio test) (any such amounts, the “</w:t>
      </w:r>
      <w:r>
        <w:rPr>
          <w:rFonts w:ascii="Arial" w:cs="Arial" w:eastAsia="Arial" w:hAnsi="Arial"/>
          <w:sz w:val="16"/>
          <w:szCs w:val="16"/>
          <w:u w:val="single" w:color="auto"/>
          <w:color w:val="auto"/>
        </w:rPr>
        <w:t>Incurrence-Based Amounts</w:t>
      </w:r>
      <w:r>
        <w:rPr>
          <w:rFonts w:ascii="Arial" w:cs="Arial" w:eastAsia="Arial" w:hAnsi="Arial"/>
          <w:sz w:val="16"/>
          <w:szCs w:val="16"/>
          <w:color w:val="auto"/>
        </w:rPr>
        <w:t>”), it is understood and agreed that the Fixed Amounts shall be disregarded in the substantially concurrent calculation of the financial ratio or test applicable to the Incurrence-Based Amounts.</w:t>
      </w:r>
    </w:p>
    <w:p>
      <w:pPr>
        <w:spacing w:after="0" w:line="166" w:lineRule="exact"/>
        <w:rPr>
          <w:rFonts w:ascii="Arial" w:cs="Arial" w:eastAsia="Arial" w:hAnsi="Arial"/>
          <w:sz w:val="16"/>
          <w:szCs w:val="16"/>
          <w:color w:val="auto"/>
        </w:rPr>
      </w:pPr>
    </w:p>
    <w:p>
      <w:pPr>
        <w:ind w:left="4" w:right="60" w:firstLine="987"/>
        <w:spacing w:after="0" w:line="255" w:lineRule="auto"/>
        <w:tabs>
          <w:tab w:leader="none" w:pos="1400" w:val="left"/>
        </w:tabs>
        <w:numPr>
          <w:ilvl w:val="1"/>
          <w:numId w:val="163"/>
        </w:numPr>
        <w:rPr>
          <w:rFonts w:ascii="Arial" w:cs="Arial" w:eastAsia="Arial" w:hAnsi="Arial"/>
          <w:sz w:val="18"/>
          <w:szCs w:val="18"/>
          <w:u w:val="single" w:color="auto"/>
          <w:color w:val="0000E1"/>
        </w:rPr>
      </w:pPr>
      <w:r>
        <w:rPr>
          <w:rFonts w:ascii="Arial" w:cs="Arial" w:eastAsia="Arial" w:hAnsi="Arial"/>
          <w:sz w:val="18"/>
          <w:szCs w:val="18"/>
          <w:u w:val="single" w:color="auto"/>
          <w:color w:val="0000E1"/>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-682625</wp:posOffset>
            </wp:positionV>
            <wp:extent cx="6231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-545465</wp:posOffset>
            </wp:positionV>
            <wp:extent cx="660082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-408305</wp:posOffset>
            </wp:positionV>
            <wp:extent cx="681482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-271145</wp:posOffset>
            </wp:positionV>
            <wp:extent cx="692658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-133985</wp:posOffset>
            </wp:positionV>
            <wp:extent cx="65747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157734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72"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i w:val="1"/>
          <w:iCs w:val="1"/>
          <w:color w:val="auto"/>
        </w:rPr>
        <w:t>Accounting Principles</w:t>
      </w:r>
      <w:r>
        <w:rPr>
          <w:rFonts w:ascii="Arial" w:cs="Arial" w:eastAsia="Arial" w:hAnsi="Arial"/>
          <w:sz w:val="17"/>
          <w:szCs w:val="17"/>
          <w:color w:val="auto"/>
        </w:rPr>
        <w:t xml:space="preserve">. Unless otherwise specified herein and except with respect to the financial statements required to be delivered pursuant to </w:t>
      </w:r>
      <w:r>
        <w:rPr>
          <w:rFonts w:ascii="Arial" w:cs="Arial" w:eastAsia="Arial" w:hAnsi="Arial"/>
          <w:sz w:val="17"/>
          <w:szCs w:val="17"/>
          <w:u w:val="single" w:color="auto"/>
          <w:color w:val="auto"/>
        </w:rPr>
        <w:t>Section 8.5</w:t>
      </w:r>
      <w:r>
        <w:rPr>
          <w:rFonts w:ascii="Arial" w:cs="Arial" w:eastAsia="Arial" w:hAnsi="Arial"/>
          <w:sz w:val="17"/>
          <w:szCs w:val="17"/>
          <w:color w:val="auto"/>
        </w:rPr>
        <w:t>, all accounting terms used herein shall be interpreted and all accounting determinations hereunder (including financial ratios and other financial calculations, including the amount and utilization of any “basket” and whether any lease should be treated as a Capital Lease and the amount of any Capitalized Lease Obligations for purposes of this Agreement) shall be made, in accordance with GAAP and the application thereof as in effect on January 29, 2017 (including disregarding any cumulative effect of any change in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1955165</wp:posOffset>
            </wp:positionH>
            <wp:positionV relativeFrom="paragraph">
              <wp:posOffset>-633095</wp:posOffset>
            </wp:positionV>
            <wp:extent cx="2857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8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4"/>
          </w:cols>
          <w:pgMar w:left="436" w:top="274" w:right="499" w:bottom="1440" w:gutter="0" w:footer="0" w:header="0"/>
        </w:sectPr>
      </w:pPr>
    </w:p>
    <w:bookmarkStart w:id="145" w:name="page146"/>
    <w:bookmarkEnd w:id="145"/>
    <w:p>
      <w:pPr>
        <w:ind w:right="20"/>
        <w:spacing w:after="0" w:line="25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provided </w:t>
      </w:r>
      <w:r>
        <w:rPr>
          <w:rFonts w:ascii="Arial" w:cs="Arial" w:eastAsia="Arial" w:hAnsi="Arial"/>
          <w:sz w:val="18"/>
          <w:szCs w:val="18"/>
          <w:color w:val="auto"/>
        </w:rPr>
        <w:t>that, if at any time any change in GAAP or the application thereof would affect the operation thereof on any provision of any Loan Document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the Borrower shall so request, the Administrative Agent and the Borrower shall negotiate in good faith to amend such provision to preserve the original intent thereof in light of such change in GAAP or the application thereof (subject to the approval of the Required Lenders, not to be unreasonably withheld or delayed);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(i) until so amended, such provision shall continue to be interpreted in accordance with GAAP and the application thereof prior to such change therein regardless of whether any such request is given before or after such change in GAAP or in the application thereof and (ii) it is agreed that such amendment to effectuate such changes shall not require the payment of any amendment or similar fees to the Administrative Agent or the Lenders. For purposes of this Agreement, computations and determinations in respect of Indebtedness for Borrowed Money and Interest Expense shall disregard the effect of Accounting Standards Codification No. 480 as it relates to qualified capital stock other than Disqualified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-345440</wp:posOffset>
            </wp:positionV>
            <wp:extent cx="2857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6"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i w:val="1"/>
          <w:iCs w:val="1"/>
          <w:color w:val="auto"/>
        </w:rPr>
        <w:t>Determination of Compliance with Certain Covenants; Amounts</w:t>
      </w:r>
      <w:r>
        <w:rPr>
          <w:rFonts w:ascii="Arial" w:cs="Arial" w:eastAsia="Arial" w:hAnsi="Arial"/>
          <w:sz w:val="16"/>
          <w:szCs w:val="16"/>
          <w:color w:val="FF0000"/>
          <w:strike w:val="1"/>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FF0000"/>
          <w:strike w:val="1"/>
        </w:rPr>
        <w:t>[Reserved]</w:t>
      </w:r>
    </w:p>
    <w:p>
      <w:pPr>
        <w:spacing w:after="0" w:line="225"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color w:val="auto"/>
        </w:rPr>
        <w:t xml:space="preserve">For purposes of determining compliance with any dollar-denominated restrictions (including indebtedness, Lien, Restricted Payment, payment of obligations under Subordinated Debt, investment or sale, lease, transfer or other disposition of assets), the dollar-equivalent amount of such transaction denominated in a foreign currency shall be calculated based on the relevant currency exchange rate in effect on the date such transaction was entered into (or, in the case of term debt, incurred; or in the case of revolving credit debt, first committed);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(or revolving commitments) does not exceed the amount necessary to refinance the principal amount of such indebtedness (or revolving commitments) being refinanced on the date thereof, plus unpaid accrued interest and premium thereon plus other reasonable amounts paid and fees and expenses reasonably incurred.</w:t>
      </w:r>
    </w:p>
    <w:p>
      <w:pPr>
        <w:spacing w:after="0" w:line="166"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i w:val="1"/>
          <w:iCs w:val="1"/>
          <w:color w:val="auto"/>
        </w:rPr>
        <w:t>Letter of Credit Amounts</w:t>
      </w:r>
      <w:r>
        <w:rPr>
          <w:rFonts w:ascii="Arial" w:cs="Arial" w:eastAsia="Arial" w:hAnsi="Arial"/>
          <w:sz w:val="16"/>
          <w:szCs w:val="16"/>
          <w:color w:val="auto"/>
        </w:rPr>
        <w:t xml:space="preserve">. Unless otherwise specified herein (and for the avoidance of doubt, not for purposes of determining any fees or interest payable hereunder), the amount of a Letter of Credit at any time shall be deemed to be the stated amount of such Letter of Credit in effect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-641985</wp:posOffset>
            </wp:positionV>
            <wp:extent cx="28575"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u w:val="single" w:color="auto"/>
          <w:color w:val="0000E1"/>
        </w:rPr>
        <w:t xml:space="preserve">Section 5.6 </w:t>
      </w:r>
      <w:r>
        <w:rPr>
          <w:rFonts w:ascii="Arial" w:cs="Arial" w:eastAsia="Arial" w:hAnsi="Arial"/>
          <w:sz w:val="18"/>
          <w:szCs w:val="18"/>
          <w:i w:val="1"/>
          <w:iCs w:val="1"/>
          <w:u w:val="single" w:color="auto"/>
          <w:color w:val="0000E1"/>
        </w:rPr>
        <w:t>Interest Rates</w:t>
      </w:r>
      <w:r>
        <w:rPr>
          <w:rFonts w:ascii="Arial" w:cs="Arial" w:eastAsia="Arial" w:hAnsi="Arial"/>
          <w:sz w:val="18"/>
          <w:szCs w:val="18"/>
          <w:u w:val="single" w:color="auto"/>
          <w:color w:val="0000E1"/>
        </w:rPr>
        <w:t>. The Administrative Agent does not warrant, nor accept responsibility, nor shall the Administrative Agent have any liability with respect to the administration, submission or any other matter related to the rates in the definition of “Eurodollar Rate” or with respect to any rate that is an alternative or replacement for or successor to any of such rate (including, without limitation, any LIBOR Successor Rate) or the effect of any of the foregoing, or of any LIBOR Successor Rate Conforming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5493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81482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96087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365188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146" w:name="page147"/>
    <w:bookmarkEnd w:id="146"/>
    <w:p>
      <w:pPr>
        <w:spacing w:after="0"/>
        <w:tabs>
          <w:tab w:leader="none" w:pos="1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w:t>
        <w:tab/>
        <w:t>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w:t>
      </w:r>
      <w:r>
        <w:rPr>
          <w:rFonts w:ascii="Arial" w:cs="Arial" w:eastAsia="Arial" w:hAnsi="Arial"/>
          <w:sz w:val="18"/>
          <w:szCs w:val="18"/>
          <w:color w:val="auto"/>
        </w:rPr>
        <w:t>.</w:t>
      </w:r>
    </w:p>
    <w:p>
      <w:pPr>
        <w:spacing w:after="0" w:line="11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The Borrower represents and warrants to the Administrative Agent, the L/C Issuer and the Lenders (in the case of Holdings, solely to the extent set forth in </w:t>
      </w:r>
      <w:r>
        <w:rPr>
          <w:rFonts w:ascii="Arial" w:cs="Arial" w:eastAsia="Arial" w:hAnsi="Arial"/>
          <w:sz w:val="18"/>
          <w:szCs w:val="18"/>
          <w:u w:val="single" w:color="auto"/>
          <w:color w:val="auto"/>
        </w:rPr>
        <w:t>Sections 6.2</w:t>
      </w:r>
      <w:r>
        <w:rPr>
          <w:rFonts w:ascii="Arial" w:cs="Arial" w:eastAsia="Arial" w:hAnsi="Arial"/>
          <w:sz w:val="18"/>
          <w:szCs w:val="18"/>
          <w:color w:val="auto"/>
        </w:rPr>
        <w:t xml:space="preserve">,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w:t>
      </w:r>
      <w:r>
        <w:rPr>
          <w:rFonts w:ascii="Arial" w:cs="Arial" w:eastAsia="Arial" w:hAnsi="Arial"/>
          <w:sz w:val="18"/>
          <w:szCs w:val="18"/>
          <w:u w:val="single" w:color="auto"/>
          <w:color w:val="auto"/>
        </w:rPr>
        <w:t>6.19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6.21</w:t>
      </w:r>
      <w:r>
        <w:rPr>
          <w:rFonts w:ascii="Arial" w:cs="Arial" w:eastAsia="Arial" w:hAnsi="Arial"/>
          <w:sz w:val="18"/>
          <w:szCs w:val="18"/>
          <w:color w:val="auto"/>
        </w:rPr>
        <w:t>) at the time of each Credit Event, as follows:</w:t>
      </w:r>
    </w:p>
    <w:p>
      <w:pPr>
        <w:spacing w:after="0" w:line="170"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Organization and Qualification</w:t>
      </w:r>
      <w:r>
        <w:rPr>
          <w:rFonts w:ascii="Arial" w:cs="Arial" w:eastAsia="Arial" w:hAnsi="Arial"/>
          <w:sz w:val="18"/>
          <w:szCs w:val="18"/>
          <w:color w:val="auto"/>
        </w:rPr>
        <w:t xml:space="preserve"> . The Borrower is (a)(i) duly organized, validly existing and (ii) in good standing under the laws of the State of its formation or organization, (b) has full and adequate power to own its Property and conduct its business as now conducted, and (c) is duly licensed or qualified and in good standing in each jurisdiction in which the nature of the business conducted by it or the nature of the Property owned or leased by it requires such licensing or qualifying, except in the case of </w:t>
      </w:r>
      <w:r>
        <w:rPr>
          <w:rFonts w:ascii="Arial" w:cs="Arial" w:eastAsia="Arial" w:hAnsi="Arial"/>
          <w:sz w:val="18"/>
          <w:szCs w:val="18"/>
          <w:u w:val="single" w:color="auto"/>
          <w:color w:val="auto"/>
        </w:rPr>
        <w:t>clauses (a)(ii)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where the failure to do so would not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-625475</wp:posOffset>
            </wp:positionV>
            <wp:extent cx="2857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i w:val="1"/>
          <w:iCs w:val="1"/>
          <w:color w:val="auto"/>
        </w:rPr>
        <w:t>Subsidiaries</w:t>
      </w:r>
      <w:r>
        <w:rPr>
          <w:rFonts w:ascii="Arial" w:cs="Arial" w:eastAsia="Arial" w:hAnsi="Arial"/>
          <w:sz w:val="16"/>
          <w:szCs w:val="16"/>
          <w:color w:val="auto"/>
        </w:rPr>
        <w:t xml:space="preserve">. Holdings and each Restricted Subsidiary is (a)(i) duly organized and validly existing, and (ii) in good standing under the laws of the jurisdiction in which it is formed or organized, (b) has full and adequate corporate, limited liability company or other organizational power to own its Property and conduct its business as now conducted, and (c) is duly licensed or qualified and in good standing in each jurisdiction in which the nature of the business conducted by it or the nature of the Property owned or leased by it requires such licensing or qualifying, except in the case of </w:t>
      </w:r>
      <w:r>
        <w:rPr>
          <w:rFonts w:ascii="Arial" w:cs="Arial" w:eastAsia="Arial" w:hAnsi="Arial"/>
          <w:sz w:val="16"/>
          <w:szCs w:val="16"/>
          <w:u w:val="single" w:color="auto"/>
          <w:color w:val="auto"/>
        </w:rPr>
        <w:t>clauses (a)(ii)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where the failure to do so would not have a Material Adverse Effect. </w:t>
      </w:r>
      <w:r>
        <w:rPr>
          <w:rFonts w:ascii="Arial" w:cs="Arial" w:eastAsia="Arial" w:hAnsi="Arial"/>
          <w:sz w:val="16"/>
          <w:szCs w:val="16"/>
          <w:u w:val="single" w:color="auto"/>
          <w:color w:val="auto"/>
        </w:rPr>
        <w:t>Schedule 6.2</w:t>
      </w:r>
      <w:r>
        <w:rPr>
          <w:rFonts w:ascii="Arial" w:cs="Arial" w:eastAsia="Arial" w:hAnsi="Arial"/>
          <w:sz w:val="16"/>
          <w:szCs w:val="16"/>
          <w:color w:val="auto"/>
        </w:rPr>
        <w:t xml:space="preserve"> hereto (updated from time to time pursuant to </w:t>
      </w:r>
      <w:r>
        <w:rPr>
          <w:rFonts w:ascii="Arial" w:cs="Arial" w:eastAsia="Arial" w:hAnsi="Arial"/>
          <w:sz w:val="16"/>
          <w:szCs w:val="16"/>
          <w:u w:val="single" w:color="auto"/>
          <w:color w:val="auto"/>
        </w:rPr>
        <w:t>Section 8.17</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identifies as of the Closing Date and after the date of the most recent update of </w:t>
      </w:r>
      <w:r>
        <w:rPr>
          <w:rFonts w:ascii="Arial" w:cs="Arial" w:eastAsia="Arial" w:hAnsi="Arial"/>
          <w:sz w:val="16"/>
          <w:szCs w:val="16"/>
          <w:u w:val="single" w:color="auto"/>
          <w:color w:val="auto"/>
        </w:rPr>
        <w:t>Schedule 6.2</w:t>
      </w:r>
      <w:r>
        <w:rPr>
          <w:rFonts w:ascii="Arial" w:cs="Arial" w:eastAsia="Arial" w:hAnsi="Arial"/>
          <w:sz w:val="16"/>
          <w:szCs w:val="16"/>
          <w:color w:val="auto"/>
        </w:rPr>
        <w:t xml:space="preserve">, as of the date of such update, each Restricted Subsidiary, the jurisdiction of its organization, the percentage of issued and outstanding shares of each class of its Equity Interests owned by Holdings, the Borrower and the Restricted Subsidiaries and, if such percentage is not 100% (excluding directors’ qualifying shares as required by law), a description of each class of its authorized Equity Interests and the number of shares of each class issued and outstanding. All of the outstanding shares of Equity Interests of the Borrower and each Restricted Subsidiary are validly issued and outstanding and, to the extent applicable, fully paid and nonassessable and all such shares and other Equity Interests indicated on </w:t>
      </w:r>
      <w:r>
        <w:rPr>
          <w:rFonts w:ascii="Arial" w:cs="Arial" w:eastAsia="Arial" w:hAnsi="Arial"/>
          <w:sz w:val="16"/>
          <w:szCs w:val="16"/>
          <w:u w:val="single" w:color="auto"/>
          <w:color w:val="auto"/>
        </w:rPr>
        <w:t>Schedule 6.2</w:t>
      </w:r>
      <w:r>
        <w:rPr>
          <w:rFonts w:ascii="Arial" w:cs="Arial" w:eastAsia="Arial" w:hAnsi="Arial"/>
          <w:sz w:val="16"/>
          <w:szCs w:val="16"/>
          <w:color w:val="auto"/>
        </w:rPr>
        <w:t xml:space="preserve"> as of the Closing Date and after the Closing Date, as of the date of the most recent financial statements delivered by the Borrower pursuant to </w:t>
      </w:r>
      <w:r>
        <w:rPr>
          <w:rFonts w:ascii="Arial" w:cs="Arial" w:eastAsia="Arial" w:hAnsi="Arial"/>
          <w:sz w:val="16"/>
          <w:szCs w:val="16"/>
          <w:u w:val="single" w:color="auto"/>
          <w:color w:val="auto"/>
        </w:rPr>
        <w:t>Section 8.5</w:t>
      </w:r>
      <w:r>
        <w:rPr>
          <w:rFonts w:ascii="Arial" w:cs="Arial" w:eastAsia="Arial" w:hAnsi="Arial"/>
          <w:sz w:val="16"/>
          <w:szCs w:val="16"/>
          <w:color w:val="FF0000"/>
          <w:strike w:val="1"/>
        </w:rPr>
        <w:t>(A)(</w:t>
      </w:r>
      <w:r>
        <w:rPr>
          <w:rFonts w:ascii="Arial" w:cs="Arial" w:eastAsia="Arial" w:hAnsi="Arial"/>
          <w:sz w:val="16"/>
          <w:szCs w:val="16"/>
          <w:u w:val="single" w:color="auto"/>
          <w:color w:val="auto"/>
        </w:rPr>
        <w:t>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8.5</w:t>
      </w:r>
      <w:r>
        <w:rPr>
          <w:rFonts w:ascii="Arial" w:cs="Arial" w:eastAsia="Arial" w:hAnsi="Arial"/>
          <w:sz w:val="16"/>
          <w:szCs w:val="16"/>
          <w:color w:val="FF0000"/>
          <w:strike w:val="1"/>
        </w:rPr>
        <w:t>(A)(</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owned by Holdings, the Borrower or any Restricted Subsidiary are owned, beneficially and of record, by Holdings, the Borrower or such Restricted Subsidiary free and clear of all Liens other than the Liens granted in favor of the Administrative Agent pursuant to the Collateral Documents, non-consensual Permitted Liens, and in the case of Equity Interests of a Restricted Subsidiary that is not a Loan Party, all Permitted Liens. As of the Closing Date, there are no outstanding commitments or other obligations of the Borrower or any Restricted Subsidiary to issue, and no options, warrants or other rights of any Person to acquire, any shares of any class of capital stock or other Equity Interests of any Restricted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1527175</wp:posOffset>
            </wp:positionH>
            <wp:positionV relativeFrom="paragraph">
              <wp:posOffset>-2280285</wp:posOffset>
            </wp:positionV>
            <wp:extent cx="2857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-1731645</wp:posOffset>
            </wp:positionV>
            <wp:extent cx="2857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-1183005</wp:posOffset>
            </wp:positionV>
            <wp:extent cx="2857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-360045</wp:posOffset>
            </wp:positionV>
            <wp:extent cx="2857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i w:val="1"/>
          <w:iCs w:val="1"/>
          <w:color w:val="auto"/>
        </w:rPr>
        <w:t>Authority and Validity of Obligations</w:t>
      </w:r>
      <w:r>
        <w:rPr>
          <w:rFonts w:ascii="Arial" w:cs="Arial" w:eastAsia="Arial" w:hAnsi="Arial"/>
          <w:sz w:val="17"/>
          <w:szCs w:val="17"/>
          <w:color w:val="auto"/>
        </w:rPr>
        <w:t>. The Borrower has full right and authority to enter into this Agreement and the other Loan Documents executed by it, to make the Borrowings herein provided for, to issue its Notes as evidence thereof, to grant to the Administrative Agent the Liens described in the Collateral Documents executed by the Borrower, and to perform all of its obligations hereunder and under the other Loan Documents executed by it. Each Guarantor has full right and authority to enter into the Loan Documents executed by it, to guarantee the Obligations, Hedging Liability, and Funds Transfer, Deposit Account Liability and Foreign LCs, to grant to the Administrative Agent the Liens described in the Collateral Documents executed by such Person, and to perform all of its obligations under the Loan Documents executed by it. The Loan Documents delivered by the Borrower and the Guarantors have been duly authorized, executed, and delivered by such Persons and constitute valid and binding obligations of the Borrower and the Guarantors enforceable against them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This Agreement and the other Loan Documents do not, nor does the performance or observance by the Borrower or any Guarantor of any of the matters contemplated hereby or thereby, (a) contravene or constitute a default under (i) any provision of law or any judgment, injunction, order or decree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-1591310</wp:posOffset>
            </wp:positionV>
            <wp:extent cx="2857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1216025</wp:posOffset>
            </wp:positionH>
            <wp:positionV relativeFrom="paragraph">
              <wp:posOffset>-1179830</wp:posOffset>
            </wp:positionV>
            <wp:extent cx="2857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-905510</wp:posOffset>
            </wp:positionV>
            <wp:extent cx="28575"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147" w:name="page148"/>
    <w:bookmarkEnd w:id="147"/>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Borrower or any Guarantor which would reasonably be expected to have a Material Adverse Effect or (ii) any provision of the organizational documents (</w:t>
      </w:r>
      <w:r>
        <w:rPr>
          <w:rFonts w:ascii="Arial" w:cs="Arial" w:eastAsia="Arial" w:hAnsi="Arial"/>
          <w:sz w:val="17"/>
          <w:szCs w:val="17"/>
          <w:i w:val="1"/>
          <w:iCs w:val="1"/>
          <w:color w:val="auto"/>
        </w:rPr>
        <w:t>e.g.,</w:t>
      </w:r>
      <w:r>
        <w:rPr>
          <w:rFonts w:ascii="Arial" w:cs="Arial" w:eastAsia="Arial" w:hAnsi="Arial"/>
          <w:sz w:val="17"/>
          <w:szCs w:val="17"/>
          <w:color w:val="auto"/>
        </w:rPr>
        <w:t xml:space="preserve"> charter, certificate or articles of incorporation and by-laws, certificate or articles of association and operating agreement, partnership agreement, or other similar organizational documents) of the Borrower or any Guarantor, (b) contravene or constitute a default under any covenant, indenture or agreement of or affecting the Borrower or any Guarantor or any of their Property, in each case where such contravention or default, individually or in the aggregate, would reasonably be expected to have a Material Adverse Effect, or (c) result in the creation or imposition of any Lien on any Property of the Borrower or any Guarantor other than the Liens granted in favor of the Administrative Agent or the Collateral Agent pursuant to the Collateral Documents and Permitted Liens.</w:t>
      </w:r>
    </w:p>
    <w:p>
      <w:pPr>
        <w:spacing w:after="0" w:line="17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Margin Stock; Federal Reserve Regulations; Use of Proceeds</w:t>
      </w:r>
      <w:r>
        <w:rPr>
          <w:rFonts w:ascii="Arial" w:cs="Arial" w:eastAsia="Arial" w:hAnsi="Arial"/>
          <w:sz w:val="18"/>
          <w:szCs w:val="18"/>
          <w:color w:val="auto"/>
        </w:rPr>
        <w:t>. Neither the Borrower nor any of its Restricted Subsidiaries is engaged in the business of extending credit for the purpose of purchasing or carrying margin stock (within the meaning of Regulation U of the Board of Governors of the Federal Reserve System), and no part of the proceeds of any Loan or any other extension of credit made hereunder will be used to purchase or carry any such margin stock or to extend credit to others for the purpose of purchasing or carrying any such margin stock or otherwise in violation of the provisions of Regulation T, U or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3752215</wp:posOffset>
            </wp:positionH>
            <wp:positionV relativeFrom="paragraph">
              <wp:posOffset>-625475</wp:posOffset>
            </wp:positionV>
            <wp:extent cx="2857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6"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6"/>
          <w:szCs w:val="16"/>
          <w:i w:val="1"/>
          <w:iCs w:val="1"/>
          <w:color w:val="auto"/>
        </w:rPr>
        <w:t>Financial Reports</w:t>
      </w:r>
      <w:r>
        <w:rPr>
          <w:rFonts w:ascii="Arial" w:cs="Arial" w:eastAsia="Arial" w:hAnsi="Arial"/>
          <w:sz w:val="16"/>
          <w:szCs w:val="16"/>
          <w:color w:val="auto"/>
        </w:rPr>
        <w:t>.</w:t>
      </w:r>
    </w:p>
    <w:p>
      <w:pPr>
        <w:spacing w:after="0" w:line="225" w:lineRule="exact"/>
        <w:rPr>
          <w:sz w:val="20"/>
          <w:szCs w:val="20"/>
          <w:color w:val="auto"/>
        </w:rPr>
      </w:pPr>
    </w:p>
    <w:p>
      <w:pPr>
        <w:ind w:right="80" w:firstLine="987"/>
        <w:spacing w:after="0" w:line="279" w:lineRule="auto"/>
        <w:tabs>
          <w:tab w:leader="none" w:pos="136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The consolidated audited financial statements furnished to the Administrative Agent and the Lenders referred to in </w:t>
      </w:r>
      <w:r>
        <w:rPr>
          <w:rFonts w:ascii="Arial" w:cs="Arial" w:eastAsia="Arial" w:hAnsi="Arial"/>
          <w:sz w:val="17"/>
          <w:szCs w:val="17"/>
          <w:u w:val="single" w:color="auto"/>
          <w:color w:val="auto"/>
        </w:rPr>
        <w:t>Section 7.2(o)</w:t>
      </w:r>
      <w:r>
        <w:rPr>
          <w:rFonts w:ascii="Arial" w:cs="Arial" w:eastAsia="Arial" w:hAnsi="Arial"/>
          <w:sz w:val="17"/>
          <w:szCs w:val="17"/>
          <w:color w:val="auto"/>
        </w:rPr>
        <w:t xml:space="preserve"> fairly present in all material respects the consolidated financial condition of the Consolidated Group as at said dates and the consolidated results of their operations and cash flows for the periods then ended in conformity with GAAP (except for the absence of footnotes and year-end adjustments in the case of unaudited financial statements) applied on a consistent basis throughout the period covered thereby.</w:t>
      </w:r>
    </w:p>
    <w:p>
      <w:pPr>
        <w:spacing w:after="0" w:line="171" w:lineRule="exact"/>
        <w:rPr>
          <w:rFonts w:ascii="Arial" w:cs="Arial" w:eastAsia="Arial" w:hAnsi="Arial"/>
          <w:sz w:val="17"/>
          <w:szCs w:val="17"/>
          <w:color w:val="auto"/>
        </w:rPr>
      </w:pPr>
    </w:p>
    <w:p>
      <w:pPr>
        <w:ind w:right="120" w:firstLine="987"/>
        <w:spacing w:after="0" w:line="257" w:lineRule="auto"/>
        <w:tabs>
          <w:tab w:leader="none" w:pos="138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From and after the date the Borrower first delivers its consolidated audited financial statements pursuant to </w:t>
      </w:r>
      <w:r>
        <w:rPr>
          <w:rFonts w:ascii="Arial" w:cs="Arial" w:eastAsia="Arial" w:hAnsi="Arial"/>
          <w:sz w:val="18"/>
          <w:szCs w:val="18"/>
          <w:u w:val="single" w:color="auto"/>
          <w:color w:val="auto"/>
        </w:rPr>
        <w:t>Section 8.5</w:t>
      </w:r>
      <w:r>
        <w:rPr>
          <w:rFonts w:ascii="Arial" w:cs="Arial" w:eastAsia="Arial" w:hAnsi="Arial"/>
          <w:sz w:val="18"/>
          <w:szCs w:val="18"/>
          <w:color w:val="auto"/>
        </w:rPr>
        <w:t>, such financial statements furnished to the Administrative Agent and the Lenders fairly present in all material respects the consolidated financial condition of the Consolidated Group as at said dates and the consolidated results of their operations and cash flows for the periods then ended in conformity with GAAP (except for the absence of footnotes and year-end adjustments in the case of unaudited financial statements) applied on a consistent basis throughout the period covered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4321810</wp:posOffset>
            </wp:positionH>
            <wp:positionV relativeFrom="paragraph">
              <wp:posOffset>-1036955</wp:posOffset>
            </wp:positionV>
            <wp:extent cx="28575"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8"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i w:val="1"/>
          <w:iCs w:val="1"/>
          <w:color w:val="auto"/>
        </w:rPr>
        <w:t xml:space="preserve">No Material Adverse Effect. </w:t>
      </w:r>
      <w:r>
        <w:rPr>
          <w:rFonts w:ascii="Arial" w:cs="Arial" w:eastAsia="Arial" w:hAnsi="Arial"/>
          <w:sz w:val="16"/>
          <w:szCs w:val="16"/>
          <w:color w:val="auto"/>
        </w:rPr>
        <w:t>Since January 29, 2017, there has been no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2185035</wp:posOffset>
            </wp:positionH>
            <wp:positionV relativeFrom="paragraph">
              <wp:posOffset>-53340</wp:posOffset>
            </wp:positionV>
            <wp:extent cx="2857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i w:val="1"/>
          <w:iCs w:val="1"/>
          <w:color w:val="auto"/>
        </w:rPr>
        <w:t>Full Disclosure</w:t>
      </w:r>
      <w:r>
        <w:rPr>
          <w:rFonts w:ascii="Arial" w:cs="Arial" w:eastAsia="Arial" w:hAnsi="Arial"/>
          <w:sz w:val="17"/>
          <w:szCs w:val="17"/>
          <w:color w:val="auto"/>
        </w:rPr>
        <w:t>. All written information (other than any projections, other forward looking statements and information of a general economic or industry specific nature) furnished and prepared by or on behalf of Holdings, the Borrower and the Restricted Subsidiaries furnished to the Administrative Agent and the Lenders for use in connection with the negotiation</w:t>
      </w:r>
      <w:r>
        <w:rPr>
          <w:rFonts w:ascii="Arial" w:cs="Arial" w:eastAsia="Arial" w:hAnsi="Arial"/>
          <w:sz w:val="17"/>
          <w:szCs w:val="17"/>
          <w:color w:val="FF0000"/>
          <w:strike w:val="1"/>
        </w:rPr>
        <w:t>s</w:t>
      </w:r>
      <w:r>
        <w:rPr>
          <w:rFonts w:ascii="Arial" w:cs="Arial" w:eastAsia="Arial" w:hAnsi="Arial"/>
          <w:sz w:val="17"/>
          <w:szCs w:val="17"/>
          <w:color w:val="auto"/>
        </w:rPr>
        <w:t xml:space="preserve"> of this Agreement and the other Loan Documents and the commitments by the Lenders to provide all or part of the financing contemplated hereby do not, taken as a whole, when furnished, contain any untrue statements of a material fact or omit to state a material fact necessary in order to make the statements contained therein not materially misleading in light of the circumstances under which such statements are made (after giving effect to all supplements and updates thereto from time to time) and as to any projections concerning the Borrower furnished to the Administrative Agent and the Lenders by the Borrower or its respective representatives, the Borrower represents that the same were prepared in good faith based on assumptions believed by the Borrower to be reasonable at the time made. Notwithstanding anything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-1178560</wp:posOffset>
            </wp:positionV>
            <wp:extent cx="2857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-81280</wp:posOffset>
            </wp:positionV>
            <wp:extent cx="2857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148" w:name="page149"/>
    <w:bookmarkEnd w:id="148"/>
    <w:p>
      <w:pPr>
        <w:ind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contrary, it is hereby acknowledged and agreed by the Administrative Agent and each Lender, that (a) any financial or business projections furnished to the Administrative Agent or any Lender by the Borrower or any of the Restricted Subsidiaries or their respective representatives should not be viewed as facts and are subject to significant uncertainties and contingencies, which may be beyond the Borrower or any Restricted Subsidiary’s control, (b) no assurance is given by any of the Borrower or any Restricted Subsidiary that the results forecast in any such projections will be realized and (c) the actual results may differ from the forecasted results set forth in such projections and such differences may be material.</w:t>
      </w:r>
    </w:p>
    <w:p>
      <w:pPr>
        <w:spacing w:after="0" w:line="16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i w:val="1"/>
          <w:iCs w:val="1"/>
          <w:color w:val="auto"/>
        </w:rPr>
        <w:t>Intellectual Property</w:t>
      </w:r>
      <w:r>
        <w:rPr>
          <w:rFonts w:ascii="Arial" w:cs="Arial" w:eastAsia="Arial" w:hAnsi="Arial"/>
          <w:sz w:val="16"/>
          <w:szCs w:val="16"/>
          <w:color w:val="auto"/>
        </w:rPr>
        <w:t xml:space="preserve">. Except to the extent the same would not reasonably be expected to have a Material Adverse Effect or except as set forth in </w:t>
      </w:r>
      <w:r>
        <w:rPr>
          <w:rFonts w:ascii="Arial" w:cs="Arial" w:eastAsia="Arial" w:hAnsi="Arial"/>
          <w:sz w:val="16"/>
          <w:szCs w:val="16"/>
          <w:u w:val="single" w:color="auto"/>
          <w:color w:val="auto"/>
        </w:rPr>
        <w:t>Schedule 6.8</w:t>
      </w:r>
      <w:r>
        <w:rPr>
          <w:rFonts w:ascii="Arial" w:cs="Arial" w:eastAsia="Arial" w:hAnsi="Arial"/>
          <w:sz w:val="16"/>
          <w:szCs w:val="16"/>
          <w:color w:val="auto"/>
        </w:rPr>
        <w:t xml:space="preserve">, (a) subject to the following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covering infringement or other violation of third party rights, which are the only representations and warranties in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with respect to infringement or other violation of third party Intellectual Property rights, the Borrower and the Restricted Subsidiaries own, possess, or have the right to use all Intellectual Property necessary to conduct their businesses as now conducted, (b) the operation of the respective businesses of the Borrower and the Restricted Subsidiaries as currently conducted does not infringe, misappropriate, dilute, or otherwise violate the Intellectual Property of any other Person, (c) as of the Closing Date no claim against the Borrower or any Restricted Subsidiary is pending or, to the knowledge of the Borrower, threatened in writing asserting any infringement, misappropriation, dilution, or other violation of the Intellectual Property of any other Person and (d) to the knowledge of the Borrower, no other Person is infringing, misappropriating, diluting or otherwise violating the Intellectual Property of the Borrower or any Restricted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1884680</wp:posOffset>
            </wp:positionH>
            <wp:positionV relativeFrom="paragraph">
              <wp:posOffset>-1188085</wp:posOffset>
            </wp:positionV>
            <wp:extent cx="2857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6"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i w:val="1"/>
          <w:iCs w:val="1"/>
          <w:color w:val="auto"/>
        </w:rPr>
        <w:t>Governmental Authority and Licensing</w:t>
      </w:r>
      <w:r>
        <w:rPr>
          <w:rFonts w:ascii="Arial" w:cs="Arial" w:eastAsia="Arial" w:hAnsi="Arial"/>
          <w:sz w:val="17"/>
          <w:szCs w:val="17"/>
          <w:color w:val="auto"/>
        </w:rPr>
        <w:t>. The Borrower and the Restricted Subsidiaries have received all licenses, permits, and approvals of all federal, state, and local governmental authorities, if any, necessary to conduct their businesses, in each case where the failure to obtain or maintain the same would reasonably be expected to have a Material Adverse Effect. No investigation or proceeding which would reasonably be expected to result in a Material Adverse Effect is pending or, to the knowledge of the Borrower, threatened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-499110</wp:posOffset>
            </wp:positionV>
            <wp:extent cx="2857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Good Title; Ownership of Property</w:t>
      </w:r>
      <w:r>
        <w:rPr>
          <w:rFonts w:ascii="Arial" w:cs="Arial" w:eastAsia="Arial" w:hAnsi="Arial"/>
          <w:sz w:val="18"/>
          <w:szCs w:val="18"/>
          <w:color w:val="auto"/>
        </w:rPr>
        <w:t xml:space="preserve">. The Borrower and each of its Restricted Subsidiaries have good and marketable fee simple title to or rights to purchase, or valid leasehold interests in, or easements or other limited property interests in, all of their respective </w:t>
      </w:r>
      <w:r>
        <w:rPr>
          <w:rFonts w:ascii="Arial" w:cs="Arial" w:eastAsia="Arial" w:hAnsi="Arial"/>
          <w:sz w:val="18"/>
          <w:szCs w:val="18"/>
          <w:color w:val="FF0000"/>
          <w:strike w:val="1"/>
        </w:rPr>
        <w:t>R</w:t>
      </w:r>
      <w:r>
        <w:rPr>
          <w:rFonts w:ascii="Arial" w:cs="Arial" w:eastAsia="Arial" w:hAnsi="Arial"/>
          <w:sz w:val="18"/>
          <w:szCs w:val="18"/>
          <w:u w:val="single" w:color="auto"/>
          <w:color w:val="0000E1"/>
        </w:rPr>
        <w:t>r</w:t>
      </w:r>
      <w:r>
        <w:rPr>
          <w:rFonts w:ascii="Arial" w:cs="Arial" w:eastAsia="Arial" w:hAnsi="Arial"/>
          <w:sz w:val="18"/>
          <w:szCs w:val="18"/>
          <w:color w:val="auto"/>
        </w:rPr>
        <w:t xml:space="preserve">eal </w:t>
      </w:r>
      <w:r>
        <w:rPr>
          <w:rFonts w:ascii="Arial" w:cs="Arial" w:eastAsia="Arial" w:hAnsi="Arial"/>
          <w:sz w:val="18"/>
          <w:szCs w:val="18"/>
          <w:color w:val="FF0000"/>
          <w:strike w:val="1"/>
        </w:rPr>
        <w:t>E</w:t>
      </w:r>
      <w:r>
        <w:rPr>
          <w:rFonts w:ascii="Arial" w:cs="Arial" w:eastAsia="Arial" w:hAnsi="Arial"/>
          <w:sz w:val="18"/>
          <w:szCs w:val="18"/>
          <w:u w:val="single" w:color="auto"/>
          <w:color w:val="0000E1"/>
        </w:rPr>
        <w:t>e</w:t>
      </w:r>
      <w:r>
        <w:rPr>
          <w:rFonts w:ascii="Arial" w:cs="Arial" w:eastAsia="Arial" w:hAnsi="Arial"/>
          <w:sz w:val="18"/>
          <w:szCs w:val="18"/>
          <w:color w:val="auto"/>
        </w:rPr>
        <w:t xml:space="preserve">state </w:t>
      </w:r>
      <w:r>
        <w:rPr>
          <w:rFonts w:ascii="Arial" w:cs="Arial" w:eastAsia="Arial" w:hAnsi="Arial"/>
          <w:sz w:val="18"/>
          <w:szCs w:val="18"/>
          <w:color w:val="FF0000"/>
          <w:strike w:val="1"/>
        </w:rPr>
        <w:t>A</w:t>
      </w:r>
      <w:r>
        <w:rPr>
          <w:rFonts w:ascii="Arial" w:cs="Arial" w:eastAsia="Arial" w:hAnsi="Arial"/>
          <w:sz w:val="18"/>
          <w:szCs w:val="18"/>
          <w:u w:val="single" w:color="auto"/>
          <w:color w:val="0000E1"/>
        </w:rPr>
        <w:t>a</w:t>
      </w:r>
      <w:r>
        <w:rPr>
          <w:rFonts w:ascii="Arial" w:cs="Arial" w:eastAsia="Arial" w:hAnsi="Arial"/>
          <w:sz w:val="18"/>
          <w:szCs w:val="18"/>
          <w:color w:val="auto"/>
        </w:rPr>
        <w:t>ssets and have good title to their personal property and assets, in each case, except (i) for defects in title that do not materially interfere with their ability to conduct their business as currently conducted or to utilize such properties and assets for their intended purposes or (ii) where the failure to have such title would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-625475</wp:posOffset>
            </wp:positionV>
            <wp:extent cx="28575"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5912485</wp:posOffset>
            </wp:positionH>
            <wp:positionV relativeFrom="paragraph">
              <wp:posOffset>-410845</wp:posOffset>
            </wp:positionV>
            <wp:extent cx="3429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-410845</wp:posOffset>
            </wp:positionV>
            <wp:extent cx="51435"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-410845</wp:posOffset>
            </wp:positionV>
            <wp:extent cx="51435"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Litigation and Other Controversies.</w:t>
      </w:r>
      <w:r>
        <w:rPr>
          <w:rFonts w:ascii="Arial" w:cs="Arial" w:eastAsia="Arial" w:hAnsi="Arial"/>
          <w:sz w:val="18"/>
          <w:szCs w:val="18"/>
          <w:color w:val="auto"/>
        </w:rPr>
        <w:t xml:space="preserve"> There is no litigation or governmental or arbitration proceeding or labor controversy pending, nor to the knowledge of Holdings or the Borrower threatened in writing, against Holdings, the Borrower or any Restricted Subsidiary or any of their Property which would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-353695</wp:posOffset>
            </wp:positionV>
            <wp:extent cx="2857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4" w:lineRule="exact"/>
        <w:rPr>
          <w:sz w:val="20"/>
          <w:szCs w:val="20"/>
          <w:color w:val="auto"/>
        </w:rPr>
      </w:pPr>
    </w:p>
    <w:p>
      <w:pPr>
        <w:ind w:right="260" w:firstLine="440"/>
        <w:spacing w:after="0" w:line="255"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Taxes</w:t>
      </w:r>
      <w:r>
        <w:rPr>
          <w:rFonts w:ascii="Arial" w:cs="Arial" w:eastAsia="Arial" w:hAnsi="Arial"/>
          <w:sz w:val="18"/>
          <w:szCs w:val="18"/>
          <w:color w:val="auto"/>
        </w:rPr>
        <w:t>. All tax returns required to be filed by Holdings, the Borrower or its Restricted Subsidiaries in any jurisdiction have been timely filed (or requests for extensions have been timely filed), and all taxes, assessments, fees, and other governmental charges upon Holdings, the Borrower or the Restricted Subsidiaries or upon any of its Property, income or franchises have been timely paid, except such taxes, assessments, fees and governmental charges, if any, as (i) are being contested in good faith and by appropriate proceedings as to which adequate reserves established in accordance with GAAP have been provided or (ii) would not, individually or in the aggregate, reasonably be expected to have a Material Adverse Effect.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4" w:right="459" w:bottom="1440" w:gutter="0" w:footer="0" w:header="0"/>
        </w:sectPr>
      </w:pPr>
    </w:p>
    <w:bookmarkStart w:id="149" w:name="page150"/>
    <w:bookmarkEnd w:id="149"/>
    <w:p>
      <w:pPr>
        <w:ind w:left="4" w:right="4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6.13 </w:t>
      </w:r>
      <w:r>
        <w:rPr>
          <w:rFonts w:ascii="Arial" w:cs="Arial" w:eastAsia="Arial" w:hAnsi="Arial"/>
          <w:sz w:val="16"/>
          <w:szCs w:val="16"/>
          <w:i w:val="1"/>
          <w:iCs w:val="1"/>
          <w:color w:val="auto"/>
        </w:rPr>
        <w:t>Approvals</w:t>
      </w:r>
      <w:r>
        <w:rPr>
          <w:rFonts w:ascii="Arial" w:cs="Arial" w:eastAsia="Arial" w:hAnsi="Arial"/>
          <w:sz w:val="16"/>
          <w:szCs w:val="16"/>
          <w:color w:val="auto"/>
        </w:rPr>
        <w:t>. No authorization, consent, license or exemption from, or filing or registration with, any court or governmental department, agency or instrumentality, nor any approval or consent of any other Person, is or will be necessary for the valid execution, delivery or performance by Holdings, the Borrower or any Restricted Subsidiary of any Loan Document, except for such (a) approvals which have been obtained prior to the date of this Agreement and remain in full force and effect, (b) filings necessary to perfect Liens created pursuant to the Loan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-478790</wp:posOffset>
            </wp:positionV>
            <wp:extent cx="2857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4" w:right="320" w:hanging="4"/>
        <w:spacing w:after="0" w:line="260" w:lineRule="auto"/>
        <w:tabs>
          <w:tab w:leader="none" w:pos="24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those consents, approvals, registrations, filings or actions the failure of which to obtain or make could not, either individually or in the aggregate, reasonably be expected to have a Material Adverse Effect.</w:t>
      </w:r>
    </w:p>
    <w:p>
      <w:pPr>
        <w:spacing w:after="0" w:line="293"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i w:val="1"/>
          <w:iCs w:val="1"/>
          <w:color w:val="auto"/>
        </w:rPr>
        <w:t>Collateral Documents; Creation, Perfection and Validity of Liens</w:t>
      </w:r>
      <w:r>
        <w:rPr>
          <w:rFonts w:ascii="Arial" w:cs="Arial" w:eastAsia="Arial" w:hAnsi="Arial"/>
          <w:sz w:val="16"/>
          <w:szCs w:val="16"/>
          <w:color w:val="FF0000"/>
          <w:strike w:val="1"/>
        </w:rPr>
        <w:t>(a)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FF0000"/>
          <w:strike w:val="1"/>
        </w:rPr>
        <w:t>(a)</w:t>
      </w:r>
    </w:p>
    <w:p>
      <w:pPr>
        <w:spacing w:after="0" w:line="117" w:lineRule="exact"/>
        <w:rPr>
          <w:sz w:val="20"/>
          <w:szCs w:val="20"/>
          <w:color w:val="auto"/>
        </w:rPr>
      </w:pPr>
    </w:p>
    <w:p>
      <w:pPr>
        <w:ind w:left="4" w:firstLine="987"/>
        <w:spacing w:after="0" w:line="270" w:lineRule="auto"/>
        <w:tabs>
          <w:tab w:leader="none" w:pos="1417" w:val="left"/>
        </w:tabs>
        <w:numPr>
          <w:ilvl w:val="0"/>
          <w:numId w:val="166"/>
        </w:numPr>
        <w:rPr>
          <w:rFonts w:ascii="Arial" w:cs="Arial" w:eastAsia="Arial" w:hAnsi="Arial"/>
          <w:sz w:val="17"/>
          <w:szCs w:val="17"/>
          <w:u w:val="single" w:color="auto"/>
          <w:color w:val="0000E1"/>
        </w:rPr>
      </w:pPr>
      <w:r>
        <w:rPr>
          <w:rFonts w:ascii="Arial" w:cs="Arial" w:eastAsia="Arial" w:hAnsi="Arial"/>
          <w:sz w:val="17"/>
          <w:szCs w:val="17"/>
          <w:color w:val="auto"/>
        </w:rPr>
        <w:t xml:space="preserve">The Security Agreement creates in favor of the Collateral Agent, for the ratable benefit of the Secured Creditors, a legal, valid and enforceable security interest in the Collateral (as defined in the Security Agreement), subject as to enforceability, to applicable bankruptcy, insolvency, fraudulent conveyance, reorganization, moratorium and similar laws relating to or affecting the rights or remedies of creditors, and </w:t>
      </w:r>
      <w:r>
        <w:rPr>
          <w:rFonts w:ascii="Arial" w:cs="Arial" w:eastAsia="Arial" w:hAnsi="Arial"/>
          <w:sz w:val="17"/>
          <w:szCs w:val="17"/>
          <w:u w:val="single" w:color="auto"/>
          <w:color w:val="0000E1"/>
        </w:rPr>
        <w:t>upon</w:t>
      </w:r>
      <w:r>
        <w:rPr>
          <w:rFonts w:ascii="Arial" w:cs="Arial" w:eastAsia="Arial" w:hAnsi="Arial"/>
          <w:sz w:val="17"/>
          <w:szCs w:val="17"/>
          <w:color w:val="auto"/>
        </w:rPr>
        <w:t xml:space="preserve"> (i) the Collateral (as defined in the Security Agreement) delivered to the Collateral Agent (to the extent required by the Security Agreement) and (ii) UCC financing statements in appropriate form that have been filed in the offices specified on </w:t>
      </w:r>
      <w:r>
        <w:rPr>
          <w:rFonts w:ascii="Arial" w:cs="Arial" w:eastAsia="Arial" w:hAnsi="Arial"/>
          <w:sz w:val="17"/>
          <w:szCs w:val="17"/>
          <w:u w:val="single" w:color="auto"/>
          <w:color w:val="auto"/>
        </w:rPr>
        <w:t>Schedule 6.14(a)</w:t>
      </w:r>
      <w:r>
        <w:rPr>
          <w:rFonts w:ascii="Arial" w:cs="Arial" w:eastAsia="Arial" w:hAnsi="Arial"/>
          <w:sz w:val="17"/>
          <w:szCs w:val="17"/>
          <w:color w:val="auto"/>
        </w:rPr>
        <w:t xml:space="preserve"> (updated from time to time pursuant to </w:t>
      </w:r>
      <w:r>
        <w:rPr>
          <w:rFonts w:ascii="Arial" w:cs="Arial" w:eastAsia="Arial" w:hAnsi="Arial"/>
          <w:sz w:val="17"/>
          <w:szCs w:val="17"/>
          <w:u w:val="single" w:color="auto"/>
          <w:color w:val="auto"/>
        </w:rPr>
        <w:t>Section 8.17</w:t>
      </w:r>
      <w:r>
        <w:rPr>
          <w:rFonts w:ascii="Arial" w:cs="Arial" w:eastAsia="Arial" w:hAnsi="Arial"/>
          <w:sz w:val="17"/>
          <w:szCs w:val="17"/>
          <w:color w:val="auto"/>
        </w:rPr>
        <w:t xml:space="preserve">), the Lien created under the Security Agreement constitutes a fully perfected Lien on, and security interest in, all right, title and interest of the Loan Parties in such Collateral (other than Intellectual Property, as defined in the Security Agreement), in each case prior and superior in right to any other Person, in each case to the extent a security interest in such Collateral can be perfected through the filing of UCC financing statements, other than with respect to Permitted Liens and subject to </w:t>
      </w:r>
      <w:r>
        <w:rPr>
          <w:rFonts w:ascii="Arial" w:cs="Arial" w:eastAsia="Arial" w:hAnsi="Arial"/>
          <w:sz w:val="17"/>
          <w:szCs w:val="17"/>
          <w:u w:val="single" w:color="auto"/>
          <w:color w:val="auto"/>
        </w:rPr>
        <w:t>Section 2(e)</w:t>
      </w:r>
      <w:r>
        <w:rPr>
          <w:rFonts w:ascii="Arial" w:cs="Arial" w:eastAsia="Arial" w:hAnsi="Arial"/>
          <w:sz w:val="17"/>
          <w:szCs w:val="17"/>
          <w:color w:val="auto"/>
        </w:rPr>
        <w:t xml:space="preserve"> of the Security Agreement.</w:t>
      </w:r>
    </w:p>
    <w:p>
      <w:pPr>
        <w:spacing w:after="0" w:line="180" w:lineRule="exact"/>
        <w:rPr>
          <w:rFonts w:ascii="Arial" w:cs="Arial" w:eastAsia="Arial" w:hAnsi="Arial"/>
          <w:sz w:val="17"/>
          <w:szCs w:val="17"/>
          <w:u w:val="single" w:color="auto"/>
          <w:color w:val="0000E1"/>
        </w:rPr>
      </w:pPr>
    </w:p>
    <w:p>
      <w:pPr>
        <w:ind w:left="4" w:firstLine="987"/>
        <w:spacing w:after="0" w:line="253" w:lineRule="auto"/>
        <w:tabs>
          <w:tab w:leader="none" w:pos="138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Upon the recordation of the Security Agreement (or a short-form security agreement in form and substance reasonably satisfactory to the Borrower and the Collateral Agent) with the United States Patent and Trademark Office and the United States Copyright Office, together with the financing statements in appropriate form filed in the offices specified on </w:t>
      </w:r>
      <w:r>
        <w:rPr>
          <w:rFonts w:ascii="Arial" w:cs="Arial" w:eastAsia="Arial" w:hAnsi="Arial"/>
          <w:sz w:val="18"/>
          <w:szCs w:val="18"/>
          <w:u w:val="single" w:color="auto"/>
          <w:color w:val="auto"/>
        </w:rPr>
        <w:t>Schedule 6.14(a)</w:t>
      </w:r>
      <w:r>
        <w:rPr>
          <w:rFonts w:ascii="Arial" w:cs="Arial" w:eastAsia="Arial" w:hAnsi="Arial"/>
          <w:sz w:val="18"/>
          <w:szCs w:val="18"/>
          <w:color w:val="auto"/>
        </w:rPr>
        <w:t xml:space="preserve"> (updated from time to time pursuant to </w:t>
      </w:r>
      <w:r>
        <w:rPr>
          <w:rFonts w:ascii="Arial" w:cs="Arial" w:eastAsia="Arial" w:hAnsi="Arial"/>
          <w:sz w:val="18"/>
          <w:szCs w:val="18"/>
          <w:u w:val="single" w:color="auto"/>
          <w:color w:val="auto"/>
        </w:rPr>
        <w:t>Section 8.17</w:t>
      </w:r>
      <w:r>
        <w:rPr>
          <w:rFonts w:ascii="Arial" w:cs="Arial" w:eastAsia="Arial" w:hAnsi="Arial"/>
          <w:sz w:val="18"/>
          <w:szCs w:val="18"/>
          <w:color w:val="auto"/>
        </w:rPr>
        <w:t xml:space="preserve">), the Lien created under the Security Agreement shall constitute a fully perfected Lien on, and security interest in, all right, title and interest of the Loan Parties in the </w:t>
      </w:r>
      <w:r>
        <w:rPr>
          <w:rFonts w:ascii="Arial" w:cs="Arial" w:eastAsia="Arial" w:hAnsi="Arial"/>
          <w:sz w:val="18"/>
          <w:szCs w:val="18"/>
          <w:color w:val="FF0000"/>
          <w:strike w:val="1"/>
        </w:rPr>
        <w:t>Active</w:t>
      </w:r>
      <w:r>
        <w:rPr>
          <w:rFonts w:ascii="Arial" w:cs="Arial" w:eastAsia="Arial" w:hAnsi="Arial"/>
          <w:sz w:val="18"/>
          <w:szCs w:val="18"/>
          <w:color w:val="auto"/>
        </w:rPr>
        <w:t xml:space="preserve"> Intellectual Property </w:t>
      </w:r>
      <w:r>
        <w:rPr>
          <w:rFonts w:ascii="Arial" w:cs="Arial" w:eastAsia="Arial" w:hAnsi="Arial"/>
          <w:sz w:val="18"/>
          <w:szCs w:val="18"/>
          <w:color w:val="FF0000"/>
          <w:strike w:val="1"/>
        </w:rPr>
        <w:t>(as defined in the Security Agreement)</w:t>
      </w:r>
      <w:r>
        <w:rPr>
          <w:rFonts w:ascii="Arial" w:cs="Arial" w:eastAsia="Arial" w:hAnsi="Arial"/>
          <w:sz w:val="18"/>
          <w:szCs w:val="18"/>
          <w:color w:val="auto"/>
        </w:rPr>
        <w:t xml:space="preserve"> in which a security interest may be perfected by filing in the United States and its territories and possessions, in each case prior and superior in right to any other Person (it being understood that subsequent recordings in the United States Patent and Trademark Office and the United States Copyright Office may be necessary to perfect a Lien on registered trademarks and patents, trademark and patent applications and registered copyrights acquired by the Loan Parties after the Closing Date), in each case subject to Permitted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-2463165</wp:posOffset>
            </wp:positionV>
            <wp:extent cx="12890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-2540000</wp:posOffset>
            </wp:positionV>
            <wp:extent cx="2857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6000750</wp:posOffset>
            </wp:positionH>
            <wp:positionV relativeFrom="paragraph">
              <wp:posOffset>-2188845</wp:posOffset>
            </wp:positionV>
            <wp:extent cx="231775"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176"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i w:val="1"/>
          <w:iCs w:val="1"/>
          <w:color w:val="auto"/>
        </w:rPr>
        <w:t>Investment Company.</w:t>
      </w:r>
      <w:r>
        <w:rPr>
          <w:rFonts w:ascii="Arial" w:cs="Arial" w:eastAsia="Arial" w:hAnsi="Arial"/>
          <w:sz w:val="18"/>
          <w:szCs w:val="18"/>
          <w:color w:val="auto"/>
        </w:rPr>
        <w:t xml:space="preserve"> Neither the Borrower nor any of its Restricted Subsidiaries is an “investment company” or a company “controlled” by an “investment company” within the meaning of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1955165</wp:posOffset>
            </wp:positionH>
            <wp:positionV relativeFrom="paragraph">
              <wp:posOffset>-224790</wp:posOffset>
            </wp:positionV>
            <wp:extent cx="2857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58"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6.16</w:t>
      </w:r>
      <w:r>
        <w:rPr>
          <w:sz w:val="20"/>
          <w:szCs w:val="20"/>
          <w:color w:val="auto"/>
        </w:rPr>
        <w:tab/>
      </w:r>
      <w:r>
        <w:rPr>
          <w:rFonts w:ascii="Arial" w:cs="Arial" w:eastAsia="Arial" w:hAnsi="Arial"/>
          <w:sz w:val="16"/>
          <w:szCs w:val="16"/>
          <w:i w:val="1"/>
          <w:iCs w:val="1"/>
          <w:color w:val="auto"/>
        </w:rPr>
        <w:t>ERISA; Labor Matters</w:t>
      </w:r>
      <w:r>
        <w:rPr>
          <w:rFonts w:ascii="Arial" w:cs="Arial" w:eastAsia="Arial" w:hAnsi="Arial"/>
          <w:sz w:val="16"/>
          <w:szCs w:val="16"/>
          <w:color w:val="FF0000"/>
          <w:strike w:val="1"/>
        </w:rPr>
        <w:t>(a)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FF0000"/>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-53340</wp:posOffset>
            </wp:positionV>
            <wp:extent cx="15494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54940" cy="8255"/>
                    </a:xfrm>
                    <a:prstGeom prst="rect">
                      <a:avLst/>
                    </a:prstGeom>
                    <a:noFill/>
                  </pic:spPr>
                </pic:pic>
              </a:graphicData>
            </a:graphic>
          </wp:anchor>
        </w:drawing>
      </w:r>
    </w:p>
    <w:p>
      <w:pPr>
        <w:spacing w:after="0" w:line="97" w:lineRule="exact"/>
        <w:rPr>
          <w:sz w:val="20"/>
          <w:szCs w:val="20"/>
          <w:color w:val="auto"/>
        </w:rPr>
      </w:pPr>
    </w:p>
    <w:p>
      <w:pPr>
        <w:ind w:left="4" w:right="80" w:firstLine="987"/>
        <w:spacing w:after="0" w:line="293" w:lineRule="auto"/>
        <w:tabs>
          <w:tab w:leader="none" w:pos="1420" w:val="left"/>
        </w:tabs>
        <w:numPr>
          <w:ilvl w:val="0"/>
          <w:numId w:val="167"/>
        </w:numPr>
        <w:rPr>
          <w:rFonts w:ascii="Arial" w:cs="Arial" w:eastAsia="Arial" w:hAnsi="Arial"/>
          <w:sz w:val="16"/>
          <w:szCs w:val="16"/>
          <w:u w:val="single" w:color="auto"/>
          <w:color w:val="0000E1"/>
        </w:rPr>
      </w:pPr>
      <w:r>
        <w:rPr>
          <w:rFonts w:ascii="Arial" w:cs="Arial" w:eastAsia="Arial" w:hAnsi="Arial"/>
          <w:sz w:val="16"/>
          <w:szCs w:val="16"/>
          <w:color w:val="auto"/>
        </w:rPr>
        <w:t>Except where the failure to do so, individually or in the aggregate, would not reasonably be expected to have a Material Adverse Effect, with respect to each Plan, the Borrower and each other member of its Controlled Group (i) has fulfilled in all respects its obligations under the minimum funding standards of and is in compliance with ERISA and the Code to the extent applicable to it and (ii) has not incurred any liability to the PBGC or a Plan under Title IV of ERISA other than a liability to the PBGC for premiums under Section 4007 of ERISA. Except as would not reasonably be expected to have a Material Adverse Effect, neither the Borrower nor any of its Restricted Subsidiaries has any contingent liabilities with respect to any post -retirement benefits under a Welfare Plan, other than liability for continuation coverage described in article 6 of Title I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-700405</wp:posOffset>
            </wp:positionV>
            <wp:extent cx="128905"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5533390</wp:posOffset>
            </wp:positionH>
            <wp:positionV relativeFrom="paragraph">
              <wp:posOffset>-365760</wp:posOffset>
            </wp:positionV>
            <wp:extent cx="2857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4"/>
          </w:cols>
          <w:pgMar w:left="436" w:top="274" w:right="459" w:bottom="1440" w:gutter="0" w:footer="0" w:header="0"/>
        </w:sectPr>
      </w:pPr>
    </w:p>
    <w:bookmarkStart w:id="150" w:name="page151"/>
    <w:bookmarkEnd w:id="150"/>
    <w:p>
      <w:pPr>
        <w:ind w:left="4" w:right="200" w:firstLine="987"/>
        <w:spacing w:after="0" w:line="275" w:lineRule="auto"/>
        <w:tabs>
          <w:tab w:leader="none" w:pos="1375" w:val="left"/>
        </w:tabs>
        <w:numPr>
          <w:ilvl w:val="0"/>
          <w:numId w:val="1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of the Closing Date, except as individually or in the aggregate would not reasonably be expected to have a Material Adverse Effect, (a) there are no strikes, lockouts or slowdowns against the Borrower or any of its Restricted Subsidiaries pending or, to the knowledge of the Borrower and any of its Restricted Subsidiaries, threatened and (b) the hours worked by and payments (on account of wages and employee health and welfare insurance and other benefits) made to employees of the Borrower and its Restricted Subsidiaries have not been in violation of the Fair Labor Standards Act or any other applicable requirements of law dealing with such matters.</w:t>
      </w:r>
    </w:p>
    <w:p>
      <w:pPr>
        <w:spacing w:after="0" w:line="284"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6.17</w:t>
      </w:r>
      <w:r>
        <w:rPr>
          <w:sz w:val="20"/>
          <w:szCs w:val="20"/>
          <w:color w:val="auto"/>
        </w:rPr>
        <w:tab/>
      </w:r>
      <w:r>
        <w:rPr>
          <w:rFonts w:ascii="Arial" w:cs="Arial" w:eastAsia="Arial" w:hAnsi="Arial"/>
          <w:sz w:val="16"/>
          <w:szCs w:val="16"/>
          <w:i w:val="1"/>
          <w:iCs w:val="1"/>
          <w:color w:val="auto"/>
        </w:rPr>
        <w:t>Compliance with Laws; Environmental Matters; OFAC</w:t>
      </w:r>
      <w:r>
        <w:rPr>
          <w:rFonts w:ascii="Arial" w:cs="Arial" w:eastAsia="Arial" w:hAnsi="Arial"/>
          <w:sz w:val="16"/>
          <w:szCs w:val="16"/>
          <w:color w:val="FF0000"/>
          <w:strike w:val="1"/>
        </w:rPr>
        <w:t>(a)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FF0000"/>
          <w:strike w:val="1"/>
        </w:rPr>
        <w:t>(a)</w:t>
      </w:r>
    </w:p>
    <w:p>
      <w:pPr>
        <w:spacing w:after="0" w:line="117" w:lineRule="exact"/>
        <w:rPr>
          <w:sz w:val="20"/>
          <w:szCs w:val="20"/>
          <w:color w:val="auto"/>
        </w:rPr>
      </w:pPr>
    </w:p>
    <w:p>
      <w:pPr>
        <w:ind w:left="4" w:right="60" w:firstLine="987"/>
        <w:spacing w:after="0" w:line="259" w:lineRule="auto"/>
        <w:tabs>
          <w:tab w:leader="none" w:pos="1417" w:val="left"/>
        </w:tabs>
        <w:numPr>
          <w:ilvl w:val="1"/>
          <w:numId w:val="169"/>
        </w:numPr>
        <w:rPr>
          <w:rFonts w:ascii="Arial" w:cs="Arial" w:eastAsia="Arial" w:hAnsi="Arial"/>
          <w:sz w:val="18"/>
          <w:szCs w:val="18"/>
          <w:u w:val="single" w:color="auto"/>
          <w:color w:val="0000E1"/>
        </w:rPr>
      </w:pPr>
      <w:r>
        <w:rPr>
          <w:rFonts w:ascii="Arial" w:cs="Arial" w:eastAsia="Arial" w:hAnsi="Arial"/>
          <w:sz w:val="18"/>
          <w:szCs w:val="18"/>
          <w:color w:val="auto"/>
        </w:rPr>
        <w:t>The Borrower and each Restricted Subsidiary is in compliance with the requirements of all federal, state and local laws, rules and regulations applicable to or pertaining to their Property or business operations (including, without limitation, the Occupational Safety and Health Act of 1970, the Americans with Disabilities Act of 1990, and Environmental Laws), in each case, except where any such non-compliance, individually or in the aggregate, would reasonably be expected to have a Material Adverse Effect.</w:t>
      </w:r>
    </w:p>
    <w:p>
      <w:pPr>
        <w:spacing w:after="0" w:line="186" w:lineRule="exact"/>
        <w:rPr>
          <w:rFonts w:ascii="Arial" w:cs="Arial" w:eastAsia="Arial" w:hAnsi="Arial"/>
          <w:sz w:val="18"/>
          <w:szCs w:val="18"/>
          <w:u w:val="single" w:color="auto"/>
          <w:color w:val="0000E1"/>
        </w:rPr>
      </w:pPr>
    </w:p>
    <w:p>
      <w:pPr>
        <w:ind w:left="4" w:firstLine="987"/>
        <w:spacing w:after="0" w:line="286" w:lineRule="auto"/>
        <w:tabs>
          <w:tab w:leader="none" w:pos="1382" w:val="left"/>
        </w:tabs>
        <w:numPr>
          <w:ilvl w:val="1"/>
          <w:numId w:val="169"/>
        </w:numPr>
        <w:rPr>
          <w:rFonts w:ascii="Arial" w:cs="Arial" w:eastAsia="Arial" w:hAnsi="Arial"/>
          <w:sz w:val="16"/>
          <w:szCs w:val="16"/>
          <w:color w:val="auto"/>
        </w:rPr>
      </w:pPr>
      <w:r>
        <w:rPr>
          <w:rFonts w:ascii="Arial" w:cs="Arial" w:eastAsia="Arial" w:hAnsi="Arial"/>
          <w:sz w:val="16"/>
          <w:szCs w:val="16"/>
          <w:color w:val="auto"/>
        </w:rPr>
        <w:t xml:space="preserve">Without limiting the representations and warranties set forth in </w:t>
      </w:r>
      <w:r>
        <w:rPr>
          <w:rFonts w:ascii="Arial" w:cs="Arial" w:eastAsia="Arial" w:hAnsi="Arial"/>
          <w:sz w:val="16"/>
          <w:szCs w:val="16"/>
          <w:u w:val="single" w:color="auto"/>
          <w:color w:val="auto"/>
        </w:rPr>
        <w:t>Section 6.17(a)</w:t>
      </w:r>
      <w:r>
        <w:rPr>
          <w:rFonts w:ascii="Arial" w:cs="Arial" w:eastAsia="Arial" w:hAnsi="Arial"/>
          <w:sz w:val="16"/>
          <w:szCs w:val="16"/>
          <w:color w:val="auto"/>
        </w:rPr>
        <w:t xml:space="preserve"> above, except for such matters, individually or in the aggregate, which would not reasonably be expected to have a Material Adverse Effect, (i) the Borrower and the Restricted Subsidiaries, and each of the Premises, comply in all respects with all applicable Environmental Laws; (ii) the Borrower and the Restricted Subsidiaries have obtained all governmental approvals required for their operations and each of the Premises by any applicable Environmental Law; (iii) the Borrower and the Restricted Subsidiaries have not, and the Borrower has no knowledge of any other Person who has, caused any Release, or threatened Release of any Hazardous Material at, on, about, or off any of the Premises in any quantity and, to the knowledge of the Borrower, none of the Premises are adversely affected by any Release, or threatened Release of a Hazardous Material originating or emanating from any other property; (iv) the Borrower and the Restricted Subsidiaries have not used material quantities of any Hazardous Material and have conducted no Hazardous Material Activity at any location, including the Premises; (v) the Borrower and the Restricted Subsidiaries have no material liability for response or corrective action, natural resource damages or other harm pursuant to CERCLA, RCRA or any comparable state law; (vi) the Borrower and the Restricted Subsidiaries are not subject to, have no notice or knowledge of and are not required to give any notice of any Environmental Claim involving the Borrower or any Restricted Subsidiaries or any of the Premises, and there are no conditions or occurrences at any of the Premises which could reasonably be expected to form the basis for an Environmental Claim against the Borrower or any Restricted Subsidiary or such Premises; and (vii) none of the Premises are subject to any, and the Borrower has no knowledge of any imminent restriction on the ownership, occupancy, use or transferability of the Premises in connection with any (1) Environmental Law or (2) Release, threatened Release or disposal of a Hazardous Material.</w:t>
      </w:r>
    </w:p>
    <w:p>
      <w:pPr>
        <w:spacing w:after="0" w:line="167" w:lineRule="exact"/>
        <w:rPr>
          <w:rFonts w:ascii="Arial" w:cs="Arial" w:eastAsia="Arial" w:hAnsi="Arial"/>
          <w:sz w:val="16"/>
          <w:szCs w:val="16"/>
          <w:color w:val="auto"/>
        </w:rPr>
      </w:pPr>
    </w:p>
    <w:p>
      <w:pPr>
        <w:ind w:left="4" w:right="240" w:firstLine="987"/>
        <w:spacing w:after="0" w:line="291" w:lineRule="auto"/>
        <w:tabs>
          <w:tab w:leader="none" w:pos="1375" w:val="left"/>
        </w:tabs>
        <w:numPr>
          <w:ilvl w:val="1"/>
          <w:numId w:val="169"/>
        </w:numPr>
        <w:rPr>
          <w:rFonts w:ascii="Arial" w:cs="Arial" w:eastAsia="Arial" w:hAnsi="Arial"/>
          <w:sz w:val="16"/>
          <w:szCs w:val="16"/>
          <w:color w:val="auto"/>
        </w:rPr>
      </w:pPr>
      <w:r>
        <w:rPr>
          <w:rFonts w:ascii="Arial" w:cs="Arial" w:eastAsia="Arial" w:hAnsi="Arial"/>
          <w:sz w:val="16"/>
          <w:szCs w:val="16"/>
          <w:color w:val="auto"/>
        </w:rPr>
        <w:t>Neither the Borrower, nor any of its Restricted Subsidiaries nor, to the knowledge of the Borrower, and its Restricted Subsidiaries, any director, officer, employee or Affiliate thereof, is an individual or entity that is, or is owned or controlled by any individual or entity that is</w:t>
      </w:r>
    </w:p>
    <w:p>
      <w:pPr>
        <w:ind w:left="4" w:right="80" w:hanging="4"/>
        <w:spacing w:after="0" w:line="260" w:lineRule="auto"/>
        <w:tabs>
          <w:tab w:leader="none" w:pos="21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currently the subject or target of any Sanctions, (ii) included on OFAC’s List of Specially Designated Nationals or (iii) located, organized or resident in a Designated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-3293110</wp:posOffset>
            </wp:positionV>
            <wp:extent cx="12890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65" w:lineRule="exact"/>
        <w:rPr>
          <w:sz w:val="20"/>
          <w:szCs w:val="20"/>
          <w:color w:val="auto"/>
        </w:rPr>
      </w:pPr>
    </w:p>
    <w:p>
      <w:pPr>
        <w:ind w:left="4" w:right="60" w:firstLine="440"/>
        <w:spacing w:after="0" w:line="342" w:lineRule="auto"/>
        <w:rPr>
          <w:sz w:val="20"/>
          <w:szCs w:val="20"/>
          <w:color w:val="auto"/>
        </w:rPr>
      </w:pPr>
      <w:r>
        <w:rPr>
          <w:rFonts w:ascii="Arial" w:cs="Arial" w:eastAsia="Arial" w:hAnsi="Arial"/>
          <w:sz w:val="16"/>
          <w:szCs w:val="16"/>
          <w:color w:val="auto"/>
        </w:rPr>
        <w:t xml:space="preserve">Section 6.18 </w:t>
      </w:r>
      <w:r>
        <w:rPr>
          <w:rFonts w:ascii="Arial" w:cs="Arial" w:eastAsia="Arial" w:hAnsi="Arial"/>
          <w:sz w:val="16"/>
          <w:szCs w:val="16"/>
          <w:i w:val="1"/>
          <w:iCs w:val="1"/>
          <w:color w:val="auto"/>
        </w:rPr>
        <w:t>Other Agreements</w:t>
      </w:r>
      <w:r>
        <w:rPr>
          <w:rFonts w:ascii="Arial" w:cs="Arial" w:eastAsia="Arial" w:hAnsi="Arial"/>
          <w:sz w:val="16"/>
          <w:szCs w:val="16"/>
          <w:color w:val="auto"/>
        </w:rPr>
        <w:t>. None of the Borrower or any Restricted Subsidiary is in default under the terms of any covenant, indenture or agreement of or affecting such Person or any of its Property, which default if uncured, would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1821815</wp:posOffset>
            </wp:positionH>
            <wp:positionV relativeFrom="paragraph">
              <wp:posOffset>-254635</wp:posOffset>
            </wp:positionV>
            <wp:extent cx="2857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4"/>
          </w:cols>
          <w:pgMar w:left="436" w:top="274" w:right="479" w:bottom="1440" w:gutter="0" w:footer="0" w:header="0"/>
        </w:sectPr>
      </w:pPr>
    </w:p>
    <w:bookmarkStart w:id="151" w:name="page152"/>
    <w:bookmarkEnd w:id="151"/>
    <w:p>
      <w:pPr>
        <w:ind w:left="440"/>
        <w:spacing w:after="0"/>
        <w:tabs>
          <w:tab w:leader="none" w:pos="1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6.19</w:t>
      </w:r>
      <w:r>
        <w:rPr>
          <w:sz w:val="20"/>
          <w:szCs w:val="20"/>
          <w:color w:val="auto"/>
        </w:rPr>
        <w:tab/>
      </w:r>
      <w:r>
        <w:rPr>
          <w:rFonts w:ascii="Arial" w:cs="Arial" w:eastAsia="Arial" w:hAnsi="Arial"/>
          <w:sz w:val="16"/>
          <w:szCs w:val="16"/>
          <w:i w:val="1"/>
          <w:iCs w:val="1"/>
          <w:color w:val="auto"/>
        </w:rPr>
        <w:t>Solvency</w:t>
      </w:r>
      <w:r>
        <w:rPr>
          <w:rFonts w:ascii="Arial" w:cs="Arial" w:eastAsia="Arial" w:hAnsi="Arial"/>
          <w:sz w:val="16"/>
          <w:szCs w:val="16"/>
          <w:color w:val="auto"/>
        </w:rPr>
        <w:t>. On and as of the Closing Date, Holdings, the Borrower and its Restricted Subsidiaries, taken as a whole, are Solvent.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1397000</wp:posOffset>
            </wp:positionH>
            <wp:positionV relativeFrom="paragraph">
              <wp:posOffset>-53340</wp:posOffset>
            </wp:positionV>
            <wp:extent cx="2857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6.20</w:t>
      </w:r>
      <w:r>
        <w:rPr>
          <w:sz w:val="20"/>
          <w:szCs w:val="20"/>
          <w:color w:val="auto"/>
        </w:rPr>
        <w:tab/>
      </w:r>
      <w:r>
        <w:rPr>
          <w:rFonts w:ascii="Arial" w:cs="Arial" w:eastAsia="Arial" w:hAnsi="Arial"/>
          <w:sz w:val="16"/>
          <w:szCs w:val="16"/>
          <w:i w:val="1"/>
          <w:iCs w:val="1"/>
          <w:color w:val="auto"/>
        </w:rPr>
        <w:t xml:space="preserve">No Default. </w:t>
      </w:r>
      <w:r>
        <w:rPr>
          <w:rFonts w:ascii="Arial" w:cs="Arial" w:eastAsia="Arial" w:hAnsi="Arial"/>
          <w:sz w:val="16"/>
          <w:szCs w:val="16"/>
          <w:color w:val="auto"/>
        </w:rPr>
        <w:t>No Default or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1495425</wp:posOffset>
            </wp:positionH>
            <wp:positionV relativeFrom="paragraph">
              <wp:posOffset>-53340</wp:posOffset>
            </wp:positionV>
            <wp:extent cx="2857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6.21 </w:t>
      </w:r>
      <w:r>
        <w:rPr>
          <w:rFonts w:ascii="Arial" w:cs="Arial" w:eastAsia="Arial" w:hAnsi="Arial"/>
          <w:sz w:val="16"/>
          <w:szCs w:val="16"/>
          <w:i w:val="1"/>
          <w:iCs w:val="1"/>
          <w:color w:val="auto"/>
        </w:rPr>
        <w:t>PATRIOT Act; FCPA</w:t>
      </w:r>
      <w:r>
        <w:rPr>
          <w:rFonts w:ascii="Arial" w:cs="Arial" w:eastAsia="Arial" w:hAnsi="Arial"/>
          <w:sz w:val="16"/>
          <w:szCs w:val="16"/>
          <w:color w:val="auto"/>
        </w:rPr>
        <w:t>. To the extent applicable, Holdings, the Borrower and each of the Restricted Subsidiaries is in compliance, in all material respects, with (i) the Trading with the Enemy Act, and each of the foreign assets control regulations of the United States Treasury Department (31 CFR, Subtitle B, Chapter V, as amended) and any other enabling legislation or executive order relating thereto, and (ii) the PATRIOT Act. No part of the proceeds of the Loans shall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(the “</w:t>
      </w:r>
      <w:r>
        <w:rPr>
          <w:rFonts w:ascii="Arial" w:cs="Arial" w:eastAsia="Arial" w:hAnsi="Arial"/>
          <w:sz w:val="16"/>
          <w:szCs w:val="16"/>
          <w:i w:val="1"/>
          <w:iCs w:val="1"/>
          <w:color w:val="auto"/>
        </w:rPr>
        <w:t>FCPA</w:t>
      </w:r>
      <w:r>
        <w:rPr>
          <w:rFonts w:ascii="Arial" w:cs="Arial" w:eastAsia="Arial" w:hAnsi="Arial"/>
          <w:sz w:val="16"/>
          <w:szCs w:val="16"/>
          <w:color w:val="auto"/>
        </w:rPr>
        <w:t>”). Except to the extent that the relevant violation could not reasonably be expected to have a Material Adverse Effect, none of the Borrower or any of its Restricted Subsidiaries or, to the knowledge of the Borrower, any director, officer, agent, employee or Affiliate of any of the foregoing, has taken any action, directly or indirectly, that would result in a violation by any such Person of the FCPA, including making any offer, payment, promise to pay or authorization or approval of the payment of any money, or other property, gift, promise to give or authorization of the giving of anything of value, directly or indirectly, to any “foreign official” (as such term is defined in the FCPA) or any foreign political party or official thereof or any candidate for foreign political office, in each case in contravention of the FCPA and any applicable anti-corruption requirement of law of any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1947545</wp:posOffset>
            </wp:positionH>
            <wp:positionV relativeFrom="paragraph">
              <wp:posOffset>-1598295</wp:posOffset>
            </wp:positionV>
            <wp:extent cx="28575"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-1186815</wp:posOffset>
            </wp:positionV>
            <wp:extent cx="2857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-912495</wp:posOffset>
            </wp:positionV>
            <wp:extent cx="28575"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8"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 xml:space="preserve">Section 6.22 </w:t>
      </w:r>
      <w:r>
        <w:rPr>
          <w:rFonts w:ascii="Arial" w:cs="Arial" w:eastAsia="Arial" w:hAnsi="Arial"/>
          <w:sz w:val="17"/>
          <w:szCs w:val="17"/>
          <w:i w:val="1"/>
          <w:iCs w:val="1"/>
          <w:color w:val="auto"/>
        </w:rPr>
        <w:t>Insurance Matters</w:t>
      </w:r>
      <w:r>
        <w:rPr>
          <w:rFonts w:ascii="Arial" w:cs="Arial" w:eastAsia="Arial" w:hAnsi="Arial"/>
          <w:sz w:val="17"/>
          <w:szCs w:val="17"/>
          <w:color w:val="auto"/>
        </w:rPr>
        <w:t xml:space="preserve">. Except where the failure to do so, individually or in the aggregate, would not reasonably be expected to have a Material Adverse Effect, the Borrower and its Restricted Subsidiaries are in compliance with the requirements of </w:t>
      </w:r>
      <w:r>
        <w:rPr>
          <w:rFonts w:ascii="Arial" w:cs="Arial" w:eastAsia="Arial" w:hAnsi="Arial"/>
          <w:sz w:val="17"/>
          <w:szCs w:val="17"/>
          <w:u w:val="single" w:color="auto"/>
          <w:color w:val="auto"/>
        </w:rPr>
        <w:t>Section 8.4</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-240030</wp:posOffset>
            </wp:positionV>
            <wp:extent cx="2857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6.23</w:t>
      </w:r>
      <w:r>
        <w:rPr>
          <w:sz w:val="20"/>
          <w:szCs w:val="20"/>
          <w:color w:val="auto"/>
        </w:rPr>
        <w:tab/>
      </w:r>
      <w:r>
        <w:rPr>
          <w:rFonts w:ascii="Arial" w:cs="Arial" w:eastAsia="Arial" w:hAnsi="Arial"/>
          <w:sz w:val="16"/>
          <w:szCs w:val="16"/>
          <w:i w:val="1"/>
          <w:iCs w:val="1"/>
          <w:color w:val="auto"/>
        </w:rPr>
        <w:t>EEA Financial Institutions</w:t>
      </w:r>
      <w:r>
        <w:rPr>
          <w:rFonts w:ascii="Arial" w:cs="Arial" w:eastAsia="Arial" w:hAnsi="Arial"/>
          <w:sz w:val="16"/>
          <w:szCs w:val="16"/>
          <w:color w:val="auto"/>
        </w:rPr>
        <w:t>. No Loan Party is an EEA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2216150</wp:posOffset>
            </wp:positionH>
            <wp:positionV relativeFrom="paragraph">
              <wp:posOffset>-53340</wp:posOffset>
            </wp:positionV>
            <wp:extent cx="28575"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u w:val="single" w:color="auto"/>
          <w:color w:val="0000E1"/>
        </w:rPr>
        <w:t xml:space="preserve">Section 6.24 </w:t>
      </w:r>
      <w:r>
        <w:rPr>
          <w:rFonts w:ascii="Arial" w:cs="Arial" w:eastAsia="Arial" w:hAnsi="Arial"/>
          <w:sz w:val="18"/>
          <w:szCs w:val="18"/>
          <w:i w:val="1"/>
          <w:iCs w:val="1"/>
          <w:u w:val="single" w:color="auto"/>
          <w:color w:val="0000E1"/>
        </w:rPr>
        <w:t>Beneficial Ownership Certification</w:t>
      </w:r>
      <w:r>
        <w:rPr>
          <w:rFonts w:ascii="Arial" w:cs="Arial" w:eastAsia="Arial" w:hAnsi="Arial"/>
          <w:sz w:val="18"/>
          <w:szCs w:val="18"/>
          <w:u w:val="single" w:color="auto"/>
          <w:color w:val="0000E1"/>
        </w:rPr>
        <w:t>. As of the First Amendment Effective Date, the information included in the Beneficial Ownership Certification, if applicable, is true and correct in all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283325"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62833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330009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5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w:t>
        <w:tab/>
        <w:t>C</w:t>
      </w:r>
      <w:r>
        <w:rPr>
          <w:rFonts w:ascii="Arial" w:cs="Arial" w:eastAsia="Arial" w:hAnsi="Arial"/>
          <w:sz w:val="14"/>
          <w:szCs w:val="14"/>
          <w:color w:val="auto"/>
        </w:rPr>
        <w:t>ONDITIONS</w:t>
      </w:r>
      <w:r>
        <w:rPr>
          <w:rFonts w:ascii="Arial" w:cs="Arial" w:eastAsia="Arial" w:hAnsi="Arial"/>
          <w:sz w:val="18"/>
          <w:szCs w:val="18"/>
          <w:color w:val="auto"/>
        </w:rPr>
        <w:t xml:space="preserve"> P</w:t>
      </w:r>
      <w:r>
        <w:rPr>
          <w:rFonts w:ascii="Arial" w:cs="Arial" w:eastAsia="Arial" w:hAnsi="Arial"/>
          <w:sz w:val="14"/>
          <w:szCs w:val="14"/>
          <w:color w:val="auto"/>
        </w:rPr>
        <w:t>RECEDENT</w:t>
      </w:r>
      <w:r>
        <w:rPr>
          <w:rFonts w:ascii="Arial" w:cs="Arial" w:eastAsia="Arial" w:hAnsi="Arial"/>
          <w:sz w:val="18"/>
          <w:szCs w:val="18"/>
          <w:color w:val="auto"/>
        </w:rPr>
        <w:t>.</w:t>
      </w:r>
    </w:p>
    <w:p>
      <w:pPr>
        <w:spacing w:after="0" w:line="117"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i w:val="1"/>
          <w:iCs w:val="1"/>
          <w:color w:val="auto"/>
        </w:rPr>
        <w:t>All Credit Events</w:t>
      </w:r>
      <w:r>
        <w:rPr>
          <w:rFonts w:ascii="Arial" w:cs="Arial" w:eastAsia="Arial" w:hAnsi="Arial"/>
          <w:sz w:val="16"/>
          <w:szCs w:val="16"/>
          <w:color w:val="auto"/>
        </w:rPr>
        <w:t>. At the time of each Credit Event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1716405</wp:posOffset>
            </wp:positionH>
            <wp:positionV relativeFrom="paragraph">
              <wp:posOffset>-53340</wp:posOffset>
            </wp:positionV>
            <wp:extent cx="2857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7" w:lineRule="exact"/>
        <w:rPr>
          <w:sz w:val="20"/>
          <w:szCs w:val="20"/>
          <w:color w:val="auto"/>
        </w:rPr>
      </w:pPr>
    </w:p>
    <w:p>
      <w:pPr>
        <w:ind w:right="20" w:firstLine="987"/>
        <w:spacing w:after="0" w:line="254" w:lineRule="auto"/>
        <w:tabs>
          <w:tab w:leader="none" w:pos="137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1.16(g)</w:t>
      </w:r>
      <w:r>
        <w:rPr>
          <w:rFonts w:ascii="Arial" w:cs="Arial" w:eastAsia="Arial" w:hAnsi="Arial"/>
          <w:sz w:val="18"/>
          <w:szCs w:val="18"/>
          <w:color w:val="auto"/>
        </w:rPr>
        <w:t>, each of the representations and warranties set forth (w) in the case of the Closing Date, herein and in the other Loan Documents or (x) in the case of New Term Loans or New Revolving Credit Commitments, in the applicable amendment evidencing such new Term Loans or New Revolving Credit Commitments, as the case may be, or (y) in the case of Extended Term Loans or Extended Revolving Credit Commitments, in the applicable Term Loan Extension Amendment or Revolving Credit Commitment Extension Amendment, as the case may be, or (z) in the case of Refinancing Term Loans or Replacement Revolving Credit Commitments, in the applicable Refinancing Term Loan Amendment or Replacement Revolving Credit Amendment, as the case may be, shall be true and correct in all material respects as of said time, except to the extent the same expressly relate to an earlier date (in which case, such representation and warranty shall be true and correct in all material respects as of such earlier date);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152" w:name="page153"/>
    <w:bookmarkEnd w:id="152"/>
    <w:p>
      <w:pPr>
        <w:ind w:right="380" w:firstLine="987"/>
        <w:spacing w:after="0" w:line="277" w:lineRule="auto"/>
        <w:tabs>
          <w:tab w:leader="none" w:pos="1381"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Except as otherwise provided in </w:t>
      </w:r>
      <w:r>
        <w:rPr>
          <w:rFonts w:ascii="Arial" w:cs="Arial" w:eastAsia="Arial" w:hAnsi="Arial"/>
          <w:sz w:val="18"/>
          <w:szCs w:val="18"/>
          <w:u w:val="single" w:color="auto"/>
          <w:color w:val="auto"/>
        </w:rPr>
        <w:t>Section 1.16(g)</w:t>
      </w:r>
      <w:r>
        <w:rPr>
          <w:rFonts w:ascii="Arial" w:cs="Arial" w:eastAsia="Arial" w:hAnsi="Arial"/>
          <w:sz w:val="18"/>
          <w:szCs w:val="18"/>
          <w:color w:val="auto"/>
        </w:rPr>
        <w:t>, no Default or Event of Default shall have occurred and be continuing or would occur immediately thereafter as a result of such Credit Event; and</w:t>
      </w:r>
    </w:p>
    <w:p>
      <w:pPr>
        <w:spacing w:after="0" w:line="170" w:lineRule="exact"/>
        <w:rPr>
          <w:rFonts w:ascii="Arial" w:cs="Arial" w:eastAsia="Arial" w:hAnsi="Arial"/>
          <w:sz w:val="18"/>
          <w:szCs w:val="18"/>
          <w:color w:val="auto"/>
        </w:rPr>
      </w:pPr>
    </w:p>
    <w:p>
      <w:pPr>
        <w:jc w:val="both"/>
        <w:ind w:right="60" w:firstLine="987"/>
        <w:spacing w:after="0" w:line="259" w:lineRule="auto"/>
        <w:tabs>
          <w:tab w:leader="none" w:pos="137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(i) in the case of a Borrowing, the Administrative Agent shall have received the notice required by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(ii) in the case of the issuance of any Letter of Credit, the L/C Issuer shall have received a duly completed Application for such Letter of Credit together with any fees called for by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and (iii) in the case of an increase in the face amount of a Letter of Credit, a written request therefor in a form reasonably acceptable to the L/C Issuer together with fees called for by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18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Each request for a Borrowing hereunder and each request for the issuance of or increase in the face amount of a Letter of Credit shall be deemed to be a representation and warranty by the Borrower on the date on such Credit Event as to the facts specified in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84" w:lineRule="exact"/>
        <w:rPr>
          <w:sz w:val="20"/>
          <w:szCs w:val="20"/>
          <w:color w:val="auto"/>
        </w:rPr>
      </w:pPr>
    </w:p>
    <w:p>
      <w:pPr>
        <w:jc w:val="both"/>
        <w:ind w:right="300" w:firstLine="440"/>
        <w:spacing w:after="0" w:line="342"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i w:val="1"/>
          <w:iCs w:val="1"/>
          <w:color w:val="auto"/>
        </w:rPr>
        <w:t>Conditions to Effectiveness of Amendment and Restatement.</w:t>
      </w:r>
      <w:r>
        <w:rPr>
          <w:rFonts w:ascii="Arial" w:cs="Arial" w:eastAsia="Arial" w:hAnsi="Arial"/>
          <w:sz w:val="16"/>
          <w:szCs w:val="16"/>
          <w:color w:val="auto"/>
        </w:rPr>
        <w:t xml:space="preserve"> The effectiveness of the amendment and restatement of the Existing Credit Agreement by this Agreement, and the occurrence of the Closing Date, is subject to the following conditions precedent having been satisfied:</w:t>
      </w:r>
    </w:p>
    <w:p>
      <w:pPr>
        <w:spacing w:after="0" w:line="124" w:lineRule="exact"/>
        <w:rPr>
          <w:sz w:val="20"/>
          <w:szCs w:val="20"/>
          <w:color w:val="auto"/>
        </w:rPr>
      </w:pPr>
    </w:p>
    <w:p>
      <w:pPr>
        <w:ind w:left="1360" w:hanging="373"/>
        <w:spacing w:after="0"/>
        <w:tabs>
          <w:tab w:leader="none" w:pos="13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Administrative Agent shall have received this Agreement duly executed by the Borrower and the Guarantors;</w:t>
      </w:r>
    </w:p>
    <w:p>
      <w:pPr>
        <w:spacing w:after="0" w:line="225" w:lineRule="exact"/>
        <w:rPr>
          <w:rFonts w:ascii="Arial" w:cs="Arial" w:eastAsia="Arial" w:hAnsi="Arial"/>
          <w:sz w:val="18"/>
          <w:szCs w:val="18"/>
          <w:color w:val="auto"/>
        </w:rPr>
      </w:pPr>
    </w:p>
    <w:p>
      <w:pPr>
        <w:ind w:right="80" w:firstLine="987"/>
        <w:spacing w:after="0" w:line="277" w:lineRule="auto"/>
        <w:tabs>
          <w:tab w:leader="none" w:pos="138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for each Lender requesting a Note such Lender’s duly executed Notes of the Borrower dated the Closing Date and otherwise in compliance with the provisions of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987"/>
        <w:spacing w:after="0" w:line="272" w:lineRule="auto"/>
        <w:tabs>
          <w:tab w:leader="none" w:pos="1371"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any Loan Documents deliverable on the Closing Date, in each case duly executed by the Borrower and the Guarantors, together with (i) original stock certificates or other similar instruments or securities representing all of the issued and outstanding Equity Interests in the Borrower and each Restricted Subsidiary (65% of such Voting Stock (and 100% of non-Voting Stock) in the case of any Foreign Subsidiary as provided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w:t>
      </w:r>
      <w:r>
        <w:rPr>
          <w:rFonts w:ascii="Arial" w:cs="Arial" w:eastAsia="Arial" w:hAnsi="Arial"/>
          <w:sz w:val="17"/>
          <w:szCs w:val="17"/>
          <w:color w:val="FF0000"/>
          <w:strike w:val="1"/>
        </w:rPr>
        <w:t>hereof</w:t>
      </w:r>
      <w:r>
        <w:rPr>
          <w:rFonts w:ascii="Arial" w:cs="Arial" w:eastAsia="Arial" w:hAnsi="Arial"/>
          <w:sz w:val="17"/>
          <w:szCs w:val="17"/>
          <w:color w:val="auto"/>
        </w:rPr>
        <w:t>) as of the Closing Date, (ii) stock powers for the Collateral consisting of the Equity Interests in the Borrower and each such Restricted Subsidiary executed in blank and undated, (iii) authorization to file UCC financing statements to be filed against the Borrower, and each Guarantor, as debtor, in favor of the Collateral Agent, as secured party, and (iv) patent, trademark, and copyright collateral agreements to the extent requested by the Administrative Agent;</w:t>
      </w:r>
    </w:p>
    <w:p>
      <w:pPr>
        <w:spacing w:after="0" w:line="177" w:lineRule="exact"/>
        <w:rPr>
          <w:rFonts w:ascii="Arial" w:cs="Arial" w:eastAsia="Arial" w:hAnsi="Arial"/>
          <w:sz w:val="17"/>
          <w:szCs w:val="17"/>
          <w:color w:val="auto"/>
        </w:rPr>
      </w:pPr>
    </w:p>
    <w:p>
      <w:pPr>
        <w:ind w:right="240" w:firstLine="987"/>
        <w:spacing w:after="0" w:line="308" w:lineRule="auto"/>
        <w:tabs>
          <w:tab w:leader="none" w:pos="1381"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Administrative Agent shall have received insurance certificates in respect of the insurance required to be maintained under the Loan Documents, together with endorsements naming the Collateral Agent as additional insured and lender’s loss payee;</w:t>
      </w:r>
    </w:p>
    <w:p>
      <w:pPr>
        <w:spacing w:after="0" w:line="146" w:lineRule="exact"/>
        <w:rPr>
          <w:rFonts w:ascii="Arial" w:cs="Arial" w:eastAsia="Arial" w:hAnsi="Arial"/>
          <w:sz w:val="17"/>
          <w:szCs w:val="17"/>
          <w:color w:val="auto"/>
        </w:rPr>
      </w:pPr>
    </w:p>
    <w:p>
      <w:pPr>
        <w:ind w:right="120" w:firstLine="987"/>
        <w:spacing w:after="0" w:line="293" w:lineRule="auto"/>
        <w:tabs>
          <w:tab w:leader="none" w:pos="137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either (i) the Administrative Agent shall have received copies of the Borrower’s and each Guarantor’s articles of incorporation and bylaws (or comparable organizational documents) and any amendments thereto, certified, in the case of (x) articles of incorporation or comparable organizational documents, by the secretary of state of the state incorporation or formation and (y) in the case of bylaws, by its Secretary or Assistant Secretary or other appropriate officer or (ii) the Secretary or Assistant Secretary of the Borrower and/or the applicable Guarantor shall have certified to the Administrative Agent that the articles of incorporation and/or bylaws (or comparable organizational documents) of </w:t>
      </w:r>
      <w:r>
        <w:rPr>
          <w:rFonts w:ascii="Arial" w:cs="Arial" w:eastAsia="Arial" w:hAnsi="Arial"/>
          <w:sz w:val="16"/>
          <w:szCs w:val="16"/>
          <w:color w:val="FF0000"/>
          <w:strike w:val="1"/>
        </w:rPr>
        <w:t>such</w:t>
      </w:r>
      <w:r>
        <w:rPr>
          <w:rFonts w:ascii="Arial" w:cs="Arial" w:eastAsia="Arial" w:hAnsi="Arial"/>
          <w:sz w:val="16"/>
          <w:szCs w:val="16"/>
          <w:u w:val="single" w:color="auto"/>
          <w:color w:val="0000E1"/>
        </w:rPr>
        <w:t>the</w:t>
      </w:r>
      <w:r>
        <w:rPr>
          <w:rFonts w:ascii="Arial" w:cs="Arial" w:eastAsia="Arial" w:hAnsi="Arial"/>
          <w:sz w:val="16"/>
          <w:szCs w:val="16"/>
          <w:color w:val="auto"/>
        </w:rPr>
        <w:t xml:space="preserve"> Borrower and/or </w:t>
      </w:r>
      <w:r>
        <w:rPr>
          <w:rFonts w:ascii="Arial" w:cs="Arial" w:eastAsia="Arial" w:hAnsi="Arial"/>
          <w:sz w:val="16"/>
          <w:szCs w:val="16"/>
          <w:u w:val="single" w:color="auto"/>
          <w:color w:val="0000E1"/>
        </w:rPr>
        <w:t>the</w:t>
      </w:r>
      <w:r>
        <w:rPr>
          <w:rFonts w:ascii="Arial" w:cs="Arial" w:eastAsia="Arial" w:hAnsi="Arial"/>
          <w:sz w:val="16"/>
          <w:szCs w:val="16"/>
          <w:color w:val="auto"/>
        </w:rPr>
        <w:t xml:space="preserve"> applicable Guarantor have not been amended or modified since the Original Closing Date and are still in full force and effect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5655310</wp:posOffset>
            </wp:positionH>
            <wp:positionV relativeFrom="paragraph">
              <wp:posOffset>-151765</wp:posOffset>
            </wp:positionV>
            <wp:extent cx="13716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-151765</wp:posOffset>
            </wp:positionV>
            <wp:extent cx="13716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40" w:top="274" w:right="479" w:bottom="1440" w:gutter="0" w:footer="0" w:header="0"/>
        </w:sectPr>
      </w:pPr>
    </w:p>
    <w:bookmarkStart w:id="153" w:name="page154"/>
    <w:bookmarkEnd w:id="153"/>
    <w:p>
      <w:pPr>
        <w:ind w:right="20" w:firstLine="987"/>
        <w:spacing w:after="0" w:line="301" w:lineRule="auto"/>
        <w:tabs>
          <w:tab w:leader="none" w:pos="1351" w:val="left"/>
        </w:tabs>
        <w:numPr>
          <w:ilvl w:val="0"/>
          <w:numId w:val="1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Administrative Agent shall have received copies of resolutions of the Borrower’s and each Guarantor’s Board of Directors (or similar governing body) authorizing the execution, delivery and performance of this Agreement and the other Loan Documents to which it is a party and the consummation of the transactions contemplated hereby and thereby, together with specimen signatures of the Authorized Representatives of the Borrower and each Guarantor, all certified in each instance by its Secretary or Assistant Secretary or other appropriate officer;</w:t>
      </w:r>
    </w:p>
    <w:p>
      <w:pPr>
        <w:spacing w:after="0" w:line="157" w:lineRule="exact"/>
        <w:rPr>
          <w:rFonts w:ascii="Arial" w:cs="Arial" w:eastAsia="Arial" w:hAnsi="Arial"/>
          <w:sz w:val="16"/>
          <w:szCs w:val="16"/>
          <w:color w:val="auto"/>
        </w:rPr>
      </w:pPr>
    </w:p>
    <w:p>
      <w:pPr>
        <w:ind w:right="60" w:firstLine="987"/>
        <w:spacing w:after="0" w:line="263" w:lineRule="auto"/>
        <w:tabs>
          <w:tab w:leader="none" w:pos="138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Administrative Agent shall have received copies of the certificates of good standing for the Borrower and each Guarantor (unless otherwise agreed by the Administrative Agent, dated no earlier than thirty (30) days prior to the Closing Date) from the office of the secretary of the state of its incorporation or organization;</w:t>
      </w:r>
    </w:p>
    <w:p>
      <w:pPr>
        <w:spacing w:after="0" w:line="183" w:lineRule="exact"/>
        <w:rPr>
          <w:rFonts w:ascii="Arial" w:cs="Arial" w:eastAsia="Arial" w:hAnsi="Arial"/>
          <w:sz w:val="18"/>
          <w:szCs w:val="18"/>
          <w:color w:val="auto"/>
        </w:rPr>
      </w:pPr>
    </w:p>
    <w:p>
      <w:pPr>
        <w:ind w:firstLine="987"/>
        <w:spacing w:after="0" w:line="286" w:lineRule="auto"/>
        <w:tabs>
          <w:tab w:leader="none" w:pos="138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for itself and for the Lenders the initial fees specified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w:t>
      </w:r>
      <w:r>
        <w:rPr>
          <w:rFonts w:ascii="Arial" w:cs="Arial" w:eastAsia="Arial" w:hAnsi="Arial"/>
          <w:sz w:val="17"/>
          <w:szCs w:val="17"/>
          <w:color w:val="FF0000"/>
          <w:strike w:val="1"/>
        </w:rPr>
        <w:t>hereof</w:t>
      </w:r>
      <w:r>
        <w:rPr>
          <w:rFonts w:ascii="Arial" w:cs="Arial" w:eastAsia="Arial" w:hAnsi="Arial"/>
          <w:sz w:val="17"/>
          <w:szCs w:val="17"/>
          <w:color w:val="auto"/>
        </w:rPr>
        <w:t xml:space="preserve"> then due and payable and all other fees (which amounts may be offset against the proceeds of the Loans) required to be paid on the Closing Date and all expenses (to the extent invoiced at least three (3) Business Days prior to the Closing Date) required to be paid on the Closing Date;</w:t>
      </w:r>
    </w:p>
    <w:p>
      <w:pPr>
        <w:spacing w:after="0" w:line="165" w:lineRule="exact"/>
        <w:rPr>
          <w:rFonts w:ascii="Arial" w:cs="Arial" w:eastAsia="Arial" w:hAnsi="Arial"/>
          <w:sz w:val="17"/>
          <w:szCs w:val="17"/>
          <w:color w:val="auto"/>
        </w:rPr>
      </w:pPr>
    </w:p>
    <w:p>
      <w:pPr>
        <w:ind w:right="100" w:firstLine="987"/>
        <w:spacing w:after="0" w:line="301" w:lineRule="auto"/>
        <w:tabs>
          <w:tab w:leader="none" w:pos="1341"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Administrative Agent shall have received (a) financing statement, tax, and judgment lien search results against the Borrower and each Guarantor and their respective Properties evidencing the absence of Liens except Permitted Liens, and (b) searches of ownership of intellectual property in the appropriate governmental offices and such patent, trademark and/or copyright filings as may be requested by the Collateral Agent to the extent necessary or reasonably advisable to perfect the Collateral Agent’s security interest in the intellectual property Collateral;</w:t>
      </w:r>
    </w:p>
    <w:p>
      <w:pPr>
        <w:spacing w:after="0" w:line="157" w:lineRule="exact"/>
        <w:rPr>
          <w:rFonts w:ascii="Arial" w:cs="Arial" w:eastAsia="Arial" w:hAnsi="Arial"/>
          <w:sz w:val="16"/>
          <w:szCs w:val="16"/>
          <w:color w:val="auto"/>
        </w:rPr>
      </w:pPr>
    </w:p>
    <w:p>
      <w:pPr>
        <w:ind w:left="1340" w:hanging="353"/>
        <w:spacing w:after="0"/>
        <w:tabs>
          <w:tab w:leader="none" w:pos="1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color w:val="FF0000"/>
          <w:strike w:val="1"/>
        </w:rPr>
        <w:t>R</w:t>
      </w:r>
      <w:r>
        <w:rPr>
          <w:rFonts w:ascii="Arial" w:cs="Arial" w:eastAsia="Arial" w:hAnsi="Arial"/>
          <w:sz w:val="18"/>
          <w:szCs w:val="18"/>
          <w:u w:val="single" w:color="auto"/>
          <w:color w:val="0000E1"/>
        </w:rPr>
        <w:t>r</w:t>
      </w:r>
      <w:r>
        <w:rPr>
          <w:rFonts w:ascii="Arial" w:cs="Arial" w:eastAsia="Arial" w:hAnsi="Arial"/>
          <w:sz w:val="18"/>
          <w:szCs w:val="18"/>
          <w:color w:val="auto"/>
        </w:rPr>
        <w:t>eserved];</w:t>
      </w:r>
    </w:p>
    <w:p>
      <w:pPr>
        <w:spacing w:after="0" w:line="225" w:lineRule="exact"/>
        <w:rPr>
          <w:rFonts w:ascii="Arial" w:cs="Arial" w:eastAsia="Arial" w:hAnsi="Arial"/>
          <w:sz w:val="18"/>
          <w:szCs w:val="18"/>
          <w:color w:val="auto"/>
        </w:rPr>
      </w:pPr>
    </w:p>
    <w:p>
      <w:pPr>
        <w:ind w:firstLine="987"/>
        <w:spacing w:after="0" w:line="277" w:lineRule="auto"/>
        <w:tabs>
          <w:tab w:leader="none" w:pos="138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of the Chief Financial Officer of the Borrower, certifying that Holdings, the Borrower and its Restricted Subsidiaries, taken as a whole, after giving effect to the Transactions, are Solvent;</w:t>
      </w:r>
    </w:p>
    <w:p>
      <w:pPr>
        <w:spacing w:after="0" w:line="170" w:lineRule="exact"/>
        <w:rPr>
          <w:rFonts w:ascii="Arial" w:cs="Arial" w:eastAsia="Arial" w:hAnsi="Arial"/>
          <w:sz w:val="18"/>
          <w:szCs w:val="18"/>
          <w:color w:val="auto"/>
        </w:rPr>
      </w:pPr>
    </w:p>
    <w:p>
      <w:pPr>
        <w:ind w:right="540" w:firstLine="987"/>
        <w:spacing w:after="0" w:line="277" w:lineRule="auto"/>
        <w:tabs>
          <w:tab w:leader="none" w:pos="134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for each Lender and the L/C Issuer a customary written opinion of counsel to the Borrower and each Guarantor specified on </w:t>
      </w:r>
      <w:r>
        <w:rPr>
          <w:rFonts w:ascii="Arial" w:cs="Arial" w:eastAsia="Arial" w:hAnsi="Arial"/>
          <w:sz w:val="18"/>
          <w:szCs w:val="18"/>
          <w:u w:val="single" w:color="auto"/>
          <w:color w:val="auto"/>
        </w:rPr>
        <w:t>Schedule 7.2(l)</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80" w:firstLine="987"/>
        <w:spacing w:after="0" w:line="279" w:lineRule="auto"/>
        <w:tabs>
          <w:tab w:leader="none" w:pos="143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Administrative Agent and the Lenders shall have received, at least three (3) days prior to the Closing Date, all documentation, including supporting documentation reasonably satisfactory to the Administrative Agent and other information required by bank regulatory authorities under applicable “know-your-customer” and anti-money laundering rules and regulations, including, without limitation, the PATRIOT Act</w:t>
      </w:r>
      <w:r>
        <w:rPr>
          <w:rFonts w:ascii="Arial" w:cs="Arial" w:eastAsia="Arial" w:hAnsi="Arial"/>
          <w:sz w:val="17"/>
          <w:szCs w:val="17"/>
          <w:color w:val="FF0000"/>
          <w:strike w:val="1"/>
        </w:rPr>
        <w:t>;</w:t>
      </w:r>
      <w:r>
        <w:rPr>
          <w:rFonts w:ascii="Arial" w:cs="Arial" w:eastAsia="Arial" w:hAnsi="Arial"/>
          <w:sz w:val="17"/>
          <w:szCs w:val="17"/>
          <w:u w:val="single" w:color="auto"/>
          <w:color w:val="0000E1"/>
        </w:rPr>
        <w:t>,</w:t>
      </w:r>
      <w:r>
        <w:rPr>
          <w:rFonts w:ascii="Arial" w:cs="Arial" w:eastAsia="Arial" w:hAnsi="Arial"/>
          <w:sz w:val="17"/>
          <w:szCs w:val="17"/>
          <w:color w:val="auto"/>
        </w:rPr>
        <w:t xml:space="preserve"> that has been reasonably requested by the Lenders not less than ten (10) days prior to the Closing Date; and</w:t>
      </w:r>
    </w:p>
    <w:p>
      <w:pPr>
        <w:spacing w:after="0" w:line="171" w:lineRule="exact"/>
        <w:rPr>
          <w:rFonts w:ascii="Arial" w:cs="Arial" w:eastAsia="Arial" w:hAnsi="Arial"/>
          <w:sz w:val="17"/>
          <w:szCs w:val="17"/>
          <w:color w:val="auto"/>
        </w:rPr>
      </w:pPr>
    </w:p>
    <w:p>
      <w:pPr>
        <w:ind w:right="20" w:firstLine="987"/>
        <w:spacing w:after="0" w:line="263" w:lineRule="auto"/>
        <w:tabs>
          <w:tab w:leader="none" w:pos="138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Borrower and Guarantor shall have provided to the Administrative Agent such information required to prepare and file such UCC financing statements required in order to perfect the Liens granted by the Borrower and the Guarantors pursuant to the Collateral Documents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-2822575</wp:posOffset>
            </wp:positionV>
            <wp:extent cx="2857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-2059940</wp:posOffset>
            </wp:positionV>
            <wp:extent cx="342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-688340</wp:posOffset>
            </wp:positionV>
            <wp:extent cx="26035"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6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Without limiting the generality of the provisions of the last paragraph of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(i) for purposes of determining compliance with the conditions specified in this </w:t>
      </w:r>
      <w:r>
        <w:rPr>
          <w:rFonts w:ascii="Arial" w:cs="Arial" w:eastAsia="Arial" w:hAnsi="Arial"/>
          <w:sz w:val="18"/>
          <w:szCs w:val="18"/>
          <w:u w:val="single" w:color="auto"/>
          <w:color w:val="auto"/>
        </w:rPr>
        <w:t>Section 7.2</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-351790</wp:posOffset>
            </wp:positionV>
            <wp:extent cx="28575"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876300</wp:posOffset>
            </wp:positionH>
            <wp:positionV relativeFrom="paragraph">
              <wp:posOffset>-214630</wp:posOffset>
            </wp:positionV>
            <wp:extent cx="2857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154" w:name="page155"/>
    <w:bookmarkEnd w:id="15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to the proposed Closing Date specifying its objection thereto. and (ii) in the event that Advance Funding Arrangements shall exist, the delivery by any Lender (A) of funds pursuant to such Advance Funding Arrangements and (B) its signature page to this Agreement shall constitute the request, consent and direction by such Lender to the Administrative Agent (unless expressly revoked by written notice from such Lender received by the Administrative Agent prior to the earlier to occur of funding or the Administrative Agent’s declaration that this Agreement is effective) to withdraw and release to the Borrower on the Closing Date the applicable funds of such Lender to be applied to the funding of Loans by such Lender </w:t>
      </w:r>
      <w:r>
        <w:rPr>
          <w:rFonts w:ascii="Arial" w:cs="Arial" w:eastAsia="Arial" w:hAnsi="Arial"/>
          <w:sz w:val="17"/>
          <w:szCs w:val="17"/>
          <w:color w:val="FF0000"/>
          <w:strike w:val="1"/>
        </w:rPr>
        <w:t>in accordance</w:t>
      </w:r>
      <w:r>
        <w:rPr>
          <w:rFonts w:ascii="Arial" w:cs="Arial" w:eastAsia="Arial" w:hAnsi="Arial"/>
          <w:sz w:val="17"/>
          <w:szCs w:val="17"/>
          <w:color w:val="auto"/>
        </w:rPr>
        <w:t xml:space="preserve"> </w:t>
      </w:r>
      <w:r>
        <w:rPr>
          <w:rFonts w:ascii="Arial" w:cs="Arial" w:eastAsia="Arial" w:hAnsi="Arial"/>
          <w:sz w:val="17"/>
          <w:szCs w:val="17"/>
          <w:color w:val="FF0000"/>
          <w:strike w:val="1"/>
        </w:rPr>
        <w:t>with Section 1</w:t>
      </w:r>
      <w:r>
        <w:rPr>
          <w:rFonts w:ascii="Arial" w:cs="Arial" w:eastAsia="Arial" w:hAnsi="Arial"/>
          <w:sz w:val="17"/>
          <w:szCs w:val="17"/>
          <w:u w:val="single" w:color="auto"/>
          <w:color w:val="0000E1"/>
        </w:rPr>
        <w:t>hereunder</w:t>
      </w:r>
      <w:r>
        <w:rPr>
          <w:rFonts w:ascii="Arial" w:cs="Arial" w:eastAsia="Arial" w:hAnsi="Arial"/>
          <w:sz w:val="17"/>
          <w:szCs w:val="17"/>
          <w:color w:val="FF0000"/>
        </w:rPr>
        <w:t xml:space="preserve"> </w:t>
      </w:r>
      <w:r>
        <w:rPr>
          <w:rFonts w:ascii="Arial" w:cs="Arial" w:eastAsia="Arial" w:hAnsi="Arial"/>
          <w:sz w:val="17"/>
          <w:szCs w:val="17"/>
          <w:color w:val="000000"/>
        </w:rPr>
        <w:t>upon the Administrative Agent’s determination (made in accordance with and subject to the terms of this Agreement) that it has</w:t>
      </w:r>
      <w:r>
        <w:rPr>
          <w:rFonts w:ascii="Arial" w:cs="Arial" w:eastAsia="Arial" w:hAnsi="Arial"/>
          <w:sz w:val="17"/>
          <w:szCs w:val="17"/>
          <w:color w:val="FF0000"/>
        </w:rPr>
        <w:t xml:space="preserve"> </w:t>
      </w:r>
      <w:r>
        <w:rPr>
          <w:rFonts w:ascii="Arial" w:cs="Arial" w:eastAsia="Arial" w:hAnsi="Arial"/>
          <w:sz w:val="17"/>
          <w:szCs w:val="17"/>
          <w:color w:val="000000"/>
        </w:rPr>
        <w:t xml:space="preserve">received all items expressly required to be delivered to it under this </w:t>
      </w:r>
      <w:r>
        <w:rPr>
          <w:rFonts w:ascii="Arial" w:cs="Arial" w:eastAsia="Arial" w:hAnsi="Arial"/>
          <w:sz w:val="17"/>
          <w:szCs w:val="17"/>
          <w:u w:val="single" w:color="auto"/>
          <w:color w:val="000000"/>
        </w:rPr>
        <w:t>Section 7.2</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-631825</wp:posOffset>
            </wp:positionV>
            <wp:extent cx="2857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-631825</wp:posOffset>
            </wp:positionV>
            <wp:extent cx="2857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-143510</wp:posOffset>
            </wp:positionV>
            <wp:extent cx="454025"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454025" cy="8890"/>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-220345</wp:posOffset>
            </wp:positionV>
            <wp:extent cx="2857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6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8.</w:t>
        <w:tab/>
        <w:t>C</w:t>
      </w:r>
      <w:r>
        <w:rPr>
          <w:rFonts w:ascii="Arial" w:cs="Arial" w:eastAsia="Arial" w:hAnsi="Arial"/>
          <w:sz w:val="14"/>
          <w:szCs w:val="14"/>
          <w:color w:val="auto"/>
        </w:rPr>
        <w:t>OVENANTS</w:t>
      </w:r>
      <w:r>
        <w:rPr>
          <w:rFonts w:ascii="Arial" w:cs="Arial" w:eastAsia="Arial" w:hAnsi="Arial"/>
          <w:sz w:val="18"/>
          <w:szCs w:val="18"/>
          <w:color w:val="auto"/>
        </w:rPr>
        <w:t>.</w:t>
      </w:r>
    </w:p>
    <w:p>
      <w:pPr>
        <w:spacing w:after="0" w:line="117" w:lineRule="exact"/>
        <w:rPr>
          <w:sz w:val="20"/>
          <w:szCs w:val="20"/>
          <w:color w:val="auto"/>
        </w:rPr>
      </w:pPr>
    </w:p>
    <w:p>
      <w:pPr>
        <w:ind w:right="280" w:firstLine="440"/>
        <w:spacing w:after="0" w:line="257" w:lineRule="auto"/>
        <w:rPr>
          <w:sz w:val="20"/>
          <w:szCs w:val="20"/>
          <w:color w:val="auto"/>
        </w:rPr>
      </w:pPr>
      <w:r>
        <w:rPr>
          <w:rFonts w:ascii="Arial" w:cs="Arial" w:eastAsia="Arial" w:hAnsi="Arial"/>
          <w:sz w:val="18"/>
          <w:szCs w:val="18"/>
          <w:color w:val="auto"/>
        </w:rPr>
        <w:t xml:space="preserve">Each of Holdings (solely to the extent set forth in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8.3</w:t>
      </w:r>
      <w:r>
        <w:rPr>
          <w:rFonts w:ascii="Arial" w:cs="Arial" w:eastAsia="Arial" w:hAnsi="Arial"/>
          <w:sz w:val="18"/>
          <w:szCs w:val="18"/>
          <w:color w:val="auto"/>
        </w:rPr>
        <w:t xml:space="preserve">, </w:t>
      </w:r>
      <w:r>
        <w:rPr>
          <w:rFonts w:ascii="Arial" w:cs="Arial" w:eastAsia="Arial" w:hAnsi="Arial"/>
          <w:sz w:val="18"/>
          <w:szCs w:val="18"/>
          <w:u w:val="single" w:color="auto"/>
          <w:color w:val="auto"/>
        </w:rPr>
        <w:t>8.5</w:t>
      </w:r>
      <w:r>
        <w:rPr>
          <w:rFonts w:ascii="Arial" w:cs="Arial" w:eastAsia="Arial" w:hAnsi="Arial"/>
          <w:sz w:val="18"/>
          <w:szCs w:val="18"/>
          <w:color w:val="auto"/>
        </w:rPr>
        <w:t xml:space="preserve">, </w:t>
      </w:r>
      <w:r>
        <w:rPr>
          <w:rFonts w:ascii="Arial" w:cs="Arial" w:eastAsia="Arial" w:hAnsi="Arial"/>
          <w:sz w:val="18"/>
          <w:szCs w:val="18"/>
          <w:u w:val="single" w:color="auto"/>
          <w:color w:val="auto"/>
        </w:rPr>
        <w:t>8.6</w:t>
      </w:r>
      <w:r>
        <w:rPr>
          <w:rFonts w:ascii="Arial" w:cs="Arial" w:eastAsia="Arial" w:hAnsi="Arial"/>
          <w:sz w:val="18"/>
          <w:szCs w:val="18"/>
          <w:color w:val="auto"/>
        </w:rPr>
        <w:t xml:space="preserve">, </w:t>
      </w:r>
      <w:r>
        <w:rPr>
          <w:rFonts w:ascii="Arial" w:cs="Arial" w:eastAsia="Arial" w:hAnsi="Arial"/>
          <w:sz w:val="18"/>
          <w:szCs w:val="18"/>
          <w:u w:val="single" w:color="auto"/>
          <w:color w:val="auto"/>
        </w:rPr>
        <w:t>8.13</w:t>
      </w:r>
      <w:r>
        <w:rPr>
          <w:rFonts w:ascii="Arial" w:cs="Arial" w:eastAsia="Arial" w:hAnsi="Arial"/>
          <w:sz w:val="18"/>
          <w:szCs w:val="18"/>
          <w:color w:val="auto"/>
        </w:rPr>
        <w:t xml:space="preserve">, </w:t>
      </w:r>
      <w:r>
        <w:rPr>
          <w:rFonts w:ascii="Arial" w:cs="Arial" w:eastAsia="Arial" w:hAnsi="Arial"/>
          <w:sz w:val="18"/>
          <w:szCs w:val="18"/>
          <w:u w:val="single" w:color="auto"/>
          <w:color w:val="auto"/>
        </w:rPr>
        <w:t>8.14</w:t>
      </w:r>
      <w:r>
        <w:rPr>
          <w:rFonts w:ascii="Arial" w:cs="Arial" w:eastAsia="Arial" w:hAnsi="Arial"/>
          <w:sz w:val="18"/>
          <w:szCs w:val="18"/>
          <w:color w:val="auto"/>
        </w:rPr>
        <w:t xml:space="preserve">, </w:t>
      </w:r>
      <w:r>
        <w:rPr>
          <w:rFonts w:ascii="Arial" w:cs="Arial" w:eastAsia="Arial" w:hAnsi="Arial"/>
          <w:sz w:val="18"/>
          <w:szCs w:val="18"/>
          <w:u w:val="single" w:color="auto"/>
          <w:color w:val="auto"/>
        </w:rPr>
        <w:t>8.15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8.23</w:t>
      </w:r>
      <w:r>
        <w:rPr>
          <w:rFonts w:ascii="Arial" w:cs="Arial" w:eastAsia="Arial" w:hAnsi="Arial"/>
          <w:sz w:val="18"/>
          <w:szCs w:val="18"/>
          <w:color w:val="auto"/>
        </w:rPr>
        <w:t xml:space="preserve">) and the Borrower agrees that, so long as any of the Commitments hereunder shall remain in effect and until the payment in full of all the Loans and other Obligations and the cancellation or expiration of all Letters of Credit (other than any Letter of Credit which has been cash collateralized or with respect to which other arrangements satisfactory to the L/C Issuer have been made), except to the extent compliance in any case or cases is waived in writing pursuant to the terms of </w:t>
      </w:r>
      <w:r>
        <w:rPr>
          <w:rFonts w:ascii="Arial" w:cs="Arial" w:eastAsia="Arial" w:hAnsi="Arial"/>
          <w:sz w:val="18"/>
          <w:szCs w:val="18"/>
          <w:u w:val="single" w:color="auto"/>
          <w:color w:val="auto"/>
        </w:rPr>
        <w:t>Section 13.1</w:t>
      </w:r>
      <w:r>
        <w:rPr>
          <w:rFonts w:ascii="Arial" w:cs="Arial" w:eastAsia="Arial" w:hAnsi="Arial"/>
          <w:sz w:val="18"/>
          <w:szCs w:val="18"/>
          <w:color w:val="FF0000"/>
          <w:strike w:val="1"/>
        </w:rPr>
        <w:t>3 hereof</w:t>
      </w:r>
      <w:r>
        <w:rPr>
          <w:rFonts w:ascii="Arial" w:cs="Arial" w:eastAsia="Arial" w:hAnsi="Arial"/>
          <w:sz w:val="18"/>
          <w:szCs w:val="18"/>
          <w:u w:val="single" w:color="auto"/>
          <w:color w:val="0000E1"/>
        </w:rPr>
        <w:t>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0</wp:posOffset>
            </wp:positionV>
            <wp:extent cx="5143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i w:val="1"/>
          <w:iCs w:val="1"/>
          <w:color w:val="auto"/>
        </w:rPr>
        <w:t>Maintenance of Business.</w:t>
      </w:r>
      <w:r>
        <w:rPr>
          <w:rFonts w:ascii="Arial" w:cs="Arial" w:eastAsia="Arial" w:hAnsi="Arial"/>
          <w:sz w:val="16"/>
          <w:szCs w:val="16"/>
          <w:color w:val="auto"/>
        </w:rPr>
        <w:t xml:space="preserve"> Holdings and the Borrower shall, and shall cause each Restricted Subsidiary to, preserve and maintain its existence, except (i) as otherwise provided in </w:t>
      </w:r>
      <w:r>
        <w:rPr>
          <w:rFonts w:ascii="Arial" w:cs="Arial" w:eastAsia="Arial" w:hAnsi="Arial"/>
          <w:sz w:val="16"/>
          <w:szCs w:val="16"/>
          <w:u w:val="single" w:color="auto"/>
          <w:color w:val="auto"/>
        </w:rPr>
        <w:t>Section 8.10(c)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3 </w:t>
      </w:r>
      <w:r>
        <w:rPr>
          <w:rFonts w:ascii="Arial" w:cs="Arial" w:eastAsia="Arial" w:hAnsi="Arial"/>
          <w:sz w:val="16"/>
          <w:szCs w:val="16"/>
          <w:color w:val="FF0000"/>
          <w:strike w:val="1"/>
        </w:rPr>
        <w:t>hereof</w:t>
      </w:r>
      <w:r>
        <w:rPr>
          <w:rFonts w:ascii="Arial" w:cs="Arial" w:eastAsia="Arial" w:hAnsi="Arial"/>
          <w:sz w:val="16"/>
          <w:szCs w:val="16"/>
          <w:color w:val="auto"/>
        </w:rPr>
        <w:t>, (ii) any liquidation or dissolution of a Restricted Subsidiary that, in the reasonable business judgment of the Borrower, is in its interest and (iii) any Restricted Subsidiary of which the failure to preserve or maintain its existence, would not reasonably be expected to have a Material Adverse Effect. Holdings and the Borrower shall, and shall cause each Restricted Subsidiary to, preserve and keep in force and effect all licenses, permits, franchises, approvals and Intellectual Property registrations necessary for the proper conduct of its business where the failure to do so would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-777240</wp:posOffset>
            </wp:positionV>
            <wp:extent cx="2857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-365760</wp:posOffset>
            </wp:positionV>
            <wp:extent cx="2857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Maintenance of Properties.</w:t>
      </w:r>
      <w:r>
        <w:rPr>
          <w:rFonts w:ascii="Arial" w:cs="Arial" w:eastAsia="Arial" w:hAnsi="Arial"/>
          <w:sz w:val="18"/>
          <w:szCs w:val="18"/>
          <w:color w:val="auto"/>
        </w:rPr>
        <w:t xml:space="preserve"> The Borrower shall, and shall cause each Restricted Subsidiary to, maintain, preserve, and keep its property, plant, and equipment in good repair, working order and condition (ordinary wear and tear, casualty and condemnation excepted), and shall from time to time make all necessary and proper repairs, renewals, replacements, additions, and betterments thereto so that at all times the efficiency thereof shall be fully preserved and maintained, except (i) to the extent that, in the reasonable business judgment of such Person, any such Property is no longer necessary for the proper conduct of the business of such Person or (ii) where the failure to do so would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2154555</wp:posOffset>
            </wp:positionH>
            <wp:positionV relativeFrom="paragraph">
              <wp:posOffset>-759460</wp:posOffset>
            </wp:positionV>
            <wp:extent cx="2857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i w:val="1"/>
          <w:iCs w:val="1"/>
          <w:color w:val="auto"/>
        </w:rPr>
        <w:t>Taxes and Assessments</w:t>
      </w:r>
      <w:r>
        <w:rPr>
          <w:rFonts w:ascii="Arial" w:cs="Arial" w:eastAsia="Arial" w:hAnsi="Arial"/>
          <w:sz w:val="18"/>
          <w:szCs w:val="18"/>
          <w:color w:val="auto"/>
        </w:rPr>
        <w:t xml:space="preserve">. </w:t>
      </w:r>
      <w:r>
        <w:rPr>
          <w:rFonts w:ascii="Arial" w:cs="Arial" w:eastAsia="Arial" w:hAnsi="Arial"/>
          <w:sz w:val="18"/>
          <w:szCs w:val="18"/>
          <w:u w:val="single" w:color="auto"/>
          <w:color w:val="0000E1"/>
        </w:rPr>
        <w:t>Holdings and</w:t>
      </w:r>
      <w:r>
        <w:rPr>
          <w:rFonts w:ascii="Arial" w:cs="Arial" w:eastAsia="Arial" w:hAnsi="Arial"/>
          <w:sz w:val="18"/>
          <w:szCs w:val="18"/>
          <w:color w:val="auto"/>
        </w:rPr>
        <w:t xml:space="preserve"> </w:t>
      </w:r>
      <w:r>
        <w:rPr>
          <w:rFonts w:ascii="Arial" w:cs="Arial" w:eastAsia="Arial" w:hAnsi="Arial"/>
          <w:sz w:val="18"/>
          <w:szCs w:val="18"/>
          <w:color w:val="FF0000"/>
        </w:rPr>
        <w:t>T</w:t>
      </w:r>
      <w:r>
        <w:rPr>
          <w:rFonts w:ascii="Arial" w:cs="Arial" w:eastAsia="Arial" w:hAnsi="Arial"/>
          <w:sz w:val="18"/>
          <w:szCs w:val="18"/>
          <w:u w:val="single" w:color="auto"/>
          <w:color w:val="0000E1"/>
        </w:rPr>
        <w:t>t</w:t>
      </w:r>
      <w:r>
        <w:rPr>
          <w:rFonts w:ascii="Arial" w:cs="Arial" w:eastAsia="Arial" w:hAnsi="Arial"/>
          <w:sz w:val="18"/>
          <w:szCs w:val="18"/>
          <w:color w:val="auto"/>
        </w:rPr>
        <w:t xml:space="preserve">he Borrower shall duly pay and discharge, and shall cause each Restricted Subsidiary to duly pay and discharge, all taxes, assessments, fees and governmental charges upon or against it or its Property within </w:t>
      </w:r>
      <w:r>
        <w:rPr>
          <w:rFonts w:ascii="Arial" w:cs="Arial" w:eastAsia="Arial" w:hAnsi="Arial"/>
          <w:sz w:val="18"/>
          <w:szCs w:val="18"/>
          <w:u w:val="single" w:color="auto"/>
          <w:color w:val="0000E1"/>
        </w:rPr>
        <w:t>thirty (</w:t>
      </w:r>
      <w:r>
        <w:rPr>
          <w:rFonts w:ascii="Arial" w:cs="Arial" w:eastAsia="Arial" w:hAnsi="Arial"/>
          <w:sz w:val="18"/>
          <w:szCs w:val="18"/>
          <w:color w:val="auto"/>
        </w:rPr>
        <w:t xml:space="preserve">30 </w:t>
      </w:r>
      <w:r>
        <w:rPr>
          <w:rFonts w:ascii="Arial" w:cs="Arial" w:eastAsia="Arial" w:hAnsi="Arial"/>
          <w:sz w:val="18"/>
          <w:szCs w:val="18"/>
          <w:u w:val="single" w:color="auto"/>
          <w:color w:val="0000E1"/>
        </w:rPr>
        <w:t>)</w:t>
      </w:r>
      <w:r>
        <w:rPr>
          <w:rFonts w:ascii="Arial" w:cs="Arial" w:eastAsia="Arial" w:hAnsi="Arial"/>
          <w:sz w:val="18"/>
          <w:szCs w:val="18"/>
          <w:color w:val="auto"/>
        </w:rPr>
        <w:t xml:space="preserve"> days after the date when due, unless and to the extent that the same (i) are being contested in good faith and by appropriate proceedings as to which adequate reserves are provided therefor in accordance with GAAP or (ii) would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-625475</wp:posOffset>
            </wp:positionV>
            <wp:extent cx="745490" cy="8572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45490" cy="85725"/>
                    </a:xfrm>
                    <a:prstGeom prst="rect">
                      <a:avLst/>
                    </a:prstGeom>
                    <a:noFill/>
                  </pic:spPr>
                </pic:pic>
              </a:graphicData>
            </a:graphic>
          </wp:anchor>
        </w:drawing>
        <w:drawing>
          <wp:anchor simplePos="0" relativeHeight="251657728" behindDoc="1" locked="0" layoutInCell="0" allowOverlap="1">
            <wp:simplePos x="0" y="0"/>
            <wp:positionH relativeFrom="column">
              <wp:posOffset>5415280</wp:posOffset>
            </wp:positionH>
            <wp:positionV relativeFrom="paragraph">
              <wp:posOffset>-410845</wp:posOffset>
            </wp:positionV>
            <wp:extent cx="316865"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316865" cy="8890"/>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-488315</wp:posOffset>
            </wp:positionV>
            <wp:extent cx="2857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5878195</wp:posOffset>
            </wp:positionH>
            <wp:positionV relativeFrom="paragraph">
              <wp:posOffset>-410845</wp:posOffset>
            </wp:positionV>
            <wp:extent cx="3429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76"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6"/>
          <w:szCs w:val="16"/>
          <w:i w:val="1"/>
          <w:iCs w:val="1"/>
          <w:color w:val="auto"/>
        </w:rPr>
        <w:t>Insurance</w:t>
      </w:r>
      <w:r>
        <w:rPr>
          <w:rFonts w:ascii="Arial" w:cs="Arial" w:eastAsia="Arial" w:hAnsi="Arial"/>
          <w:sz w:val="16"/>
          <w:szCs w:val="16"/>
          <w:color w:val="FF0000"/>
          <w:strike w:val="1"/>
        </w:rPr>
        <w:t>(a)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FF0000"/>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1603375</wp:posOffset>
            </wp:positionH>
            <wp:positionV relativeFrom="paragraph">
              <wp:posOffset>-53340</wp:posOffset>
            </wp:positionV>
            <wp:extent cx="15494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54940" cy="8255"/>
                    </a:xfrm>
                    <a:prstGeom prst="rect">
                      <a:avLst/>
                    </a:prstGeom>
                    <a:noFill/>
                  </pic:spPr>
                </pic:pic>
              </a:graphicData>
            </a:graphic>
          </wp:anchor>
        </w:drawing>
      </w:r>
    </w:p>
    <w:p>
      <w:pPr>
        <w:spacing w:after="0" w:line="97" w:lineRule="exact"/>
        <w:rPr>
          <w:sz w:val="20"/>
          <w:szCs w:val="20"/>
          <w:color w:val="auto"/>
        </w:rPr>
      </w:pPr>
    </w:p>
    <w:p>
      <w:pPr>
        <w:ind w:right="140" w:firstLine="987"/>
        <w:spacing w:after="0" w:line="342" w:lineRule="auto"/>
        <w:tabs>
          <w:tab w:leader="none" w:pos="1413" w:val="left"/>
        </w:tabs>
        <w:numPr>
          <w:ilvl w:val="0"/>
          <w:numId w:val="175"/>
        </w:numPr>
        <w:rPr>
          <w:rFonts w:ascii="Arial" w:cs="Arial" w:eastAsia="Arial" w:hAnsi="Arial"/>
          <w:sz w:val="16"/>
          <w:szCs w:val="16"/>
          <w:u w:val="single" w:color="auto"/>
          <w:color w:val="0000E1"/>
        </w:rPr>
      </w:pPr>
      <w:r>
        <w:rPr>
          <w:rFonts w:ascii="Arial" w:cs="Arial" w:eastAsia="Arial" w:hAnsi="Arial"/>
          <w:sz w:val="16"/>
          <w:szCs w:val="16"/>
          <w:color w:val="auto"/>
        </w:rPr>
        <w:t>The Borrower shall insure and keep insured, and shall cause each Restricted Subsidiary to insure and keep insured, with financially sound and reputable insurance companies, all reasonably insurable Property owned by it which is of a character usually insured by Persons similarly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-177800</wp:posOffset>
            </wp:positionV>
            <wp:extent cx="12890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155" w:name="page156"/>
    <w:bookmarkEnd w:id="155"/>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situated against loss or damage from such hazards and risks, and in such amounts, as are insured by Persons similarly situated and the Borrower shall insure, and shall cause each Restricted Subsidiary to insure, such other hazards and risks (including, without limitation, business interruption, employers’ and public liability risks) with financially sound and reputable insurance companies as and to the extent usually insured by Persons similarly situated and conducting similar businesses. The Borrower shall, upon the request of the Administrative Agent (but in any event, so long as no Event of Default has occurred and is continuing, no more than once during the term of such insurance) furnish to the Administrative Agent a certificate setting forth in summary form the nature and extent of the insurance maintained pursuant to this </w:t>
      </w:r>
      <w:r>
        <w:rPr>
          <w:rFonts w:ascii="Arial" w:cs="Arial" w:eastAsia="Arial" w:hAnsi="Arial"/>
          <w:sz w:val="17"/>
          <w:szCs w:val="17"/>
          <w:u w:val="single" w:color="auto"/>
          <w:color w:val="auto"/>
        </w:rPr>
        <w:t>Section 8.4</w:t>
      </w:r>
      <w:r>
        <w:rPr>
          <w:rFonts w:ascii="Arial" w:cs="Arial" w:eastAsia="Arial" w:hAnsi="Arial"/>
          <w:sz w:val="17"/>
          <w:szCs w:val="17"/>
          <w:color w:val="auto"/>
        </w:rPr>
        <w:t>.</w:t>
      </w:r>
    </w:p>
    <w:p>
      <w:pPr>
        <w:spacing w:after="0" w:line="178" w:lineRule="exact"/>
        <w:rPr>
          <w:sz w:val="20"/>
          <w:szCs w:val="20"/>
          <w:color w:val="auto"/>
        </w:rPr>
      </w:pPr>
    </w:p>
    <w:p>
      <w:pPr>
        <w:ind w:firstLine="987"/>
        <w:spacing w:after="0" w:line="286" w:lineRule="auto"/>
        <w:tabs>
          <w:tab w:leader="none" w:pos="137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The Borrower shall, and shall cause each Restricted Subsidiary to, insure that portion of its tangible personal property which comprises Collateral against such risks and hazards as other companies similarly situated insure against, under policies containing loss payable clauses to the Administrative Agent as its interest may appear (and, if the Administrative Agent requests, naming the Administrative Agent as additional insured therein) with financially sound and reputable insurers. All premiums on such insurance shall be paid by the Borrower and the policies of such insurance (or certificates therefor) delivered to the Administrative Agent. All insurance required hereby shall (i) provide that any loss shall be payable notwithstanding any act or negligence of Holdings or any of its Restricted Subsidiaries, (ii) provide that no cancellation thereof shall be effective until at least </w:t>
      </w:r>
      <w:r>
        <w:rPr>
          <w:rFonts w:ascii="Arial" w:cs="Arial" w:eastAsia="Arial" w:hAnsi="Arial"/>
          <w:sz w:val="16"/>
          <w:szCs w:val="16"/>
          <w:u w:val="single" w:color="auto"/>
          <w:color w:val="0000E1"/>
        </w:rPr>
        <w:t>thirty (</w:t>
      </w:r>
      <w:r>
        <w:rPr>
          <w:rFonts w:ascii="Arial" w:cs="Arial" w:eastAsia="Arial" w:hAnsi="Arial"/>
          <w:sz w:val="16"/>
          <w:szCs w:val="16"/>
          <w:color w:val="auto"/>
        </w:rPr>
        <w:t xml:space="preserve">30 </w:t>
      </w:r>
      <w:r>
        <w:rPr>
          <w:rFonts w:ascii="Arial" w:cs="Arial" w:eastAsia="Arial" w:hAnsi="Arial"/>
          <w:sz w:val="16"/>
          <w:szCs w:val="16"/>
          <w:u w:val="single" w:color="auto"/>
          <w:color w:val="0000E1"/>
        </w:rPr>
        <w:t>)</w:t>
      </w:r>
      <w:r>
        <w:rPr>
          <w:rFonts w:ascii="Arial" w:cs="Arial" w:eastAsia="Arial" w:hAnsi="Arial"/>
          <w:sz w:val="16"/>
          <w:szCs w:val="16"/>
          <w:color w:val="auto"/>
        </w:rPr>
        <w:t xml:space="preserve"> days after receipt by the Borrower and the Administrative Agent of written notice thereof and (iii) be customary for companies in the same or similar business as the Borrower and operating in the same or similar locations as the Borrower. Any adjustment, compromise, and/or settlement of any losses under any insurance shall be made by the Borrower in its reasonable business judgment and, after the occurrence and during the continuance of any Event of Default, subject to final approval of the Administrative Agent in the case of losses exceeding $1,000,000 in the aggregate per Fiscal Year of the Borrower. In the event the Borrower fails to purchase any insurance required by the terms of this Agreement and the Administrative Agent purchases insurance that is required by the terms of this Agreement at the Borrower’s or any of its Restricted Subsidiaries’ reasonable expense, the Administrative Agent will give written notice of such purchase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-831215</wp:posOffset>
            </wp:positionV>
            <wp:extent cx="30861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-908685</wp:posOffset>
            </wp:positionV>
            <wp:extent cx="2857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691515</wp:posOffset>
            </wp:positionH>
            <wp:positionV relativeFrom="paragraph">
              <wp:posOffset>-831215</wp:posOffset>
            </wp:positionV>
            <wp:extent cx="342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1464310</wp:posOffset>
            </wp:positionH>
            <wp:positionV relativeFrom="paragraph">
              <wp:posOffset>-360045</wp:posOffset>
            </wp:positionV>
            <wp:extent cx="2857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4"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i w:val="1"/>
          <w:iCs w:val="1"/>
          <w:color w:val="auto"/>
        </w:rPr>
        <w:t>Financial Reports</w:t>
      </w:r>
      <w:r>
        <w:rPr>
          <w:rFonts w:ascii="Arial" w:cs="Arial" w:eastAsia="Arial" w:hAnsi="Arial"/>
          <w:sz w:val="17"/>
          <w:szCs w:val="17"/>
          <w:color w:val="FF0000"/>
          <w:strike w:val="1"/>
        </w:rPr>
        <w:t>(A)</w:t>
      </w:r>
      <w:r>
        <w:rPr>
          <w:rFonts w:ascii="Arial" w:cs="Arial" w:eastAsia="Arial" w:hAnsi="Arial"/>
          <w:sz w:val="17"/>
          <w:szCs w:val="17"/>
          <w:color w:val="auto"/>
        </w:rPr>
        <w:t xml:space="preserve"> . </w:t>
      </w:r>
      <w:r>
        <w:rPr>
          <w:rFonts w:ascii="Arial" w:cs="Arial" w:eastAsia="Arial" w:hAnsi="Arial"/>
          <w:sz w:val="17"/>
          <w:szCs w:val="17"/>
          <w:color w:val="FF0000"/>
        </w:rPr>
        <w:t>(A)</w:t>
      </w:r>
      <w:r>
        <w:rPr>
          <w:rFonts w:ascii="Arial" w:cs="Arial" w:eastAsia="Arial" w:hAnsi="Arial"/>
          <w:sz w:val="17"/>
          <w:szCs w:val="17"/>
          <w:color w:val="auto"/>
        </w:rPr>
        <w:t xml:space="preserve"> Holdings and the Borrower shall, and shall cause each Restricted Subsidiary to, maintain a standard system of accounting to permit the preparation of the quarterly and annual financial statements in accordance with GAAP, and in the event of any change in generally accepted accounting principles used in the preparation of such financial statements, the Borrower shall also provide, if necessary for the determination of compliance with </w:t>
      </w:r>
      <w:r>
        <w:rPr>
          <w:rFonts w:ascii="Arial" w:cs="Arial" w:eastAsia="Arial" w:hAnsi="Arial"/>
          <w:sz w:val="17"/>
          <w:szCs w:val="17"/>
          <w:u w:val="single" w:color="auto"/>
          <w:color w:val="auto"/>
        </w:rPr>
        <w:t>Section 8.22</w:t>
      </w:r>
      <w:r>
        <w:rPr>
          <w:rFonts w:ascii="Arial" w:cs="Arial" w:eastAsia="Arial" w:hAnsi="Arial"/>
          <w:sz w:val="17"/>
          <w:szCs w:val="17"/>
          <w:color w:val="auto"/>
        </w:rPr>
        <w:t>, a statement of reconciliation conforming such financial statements to GAAP, and shall furnish to the Administrative Agent, each Lender and each of their duly authorized representatives such information respecting the business and financial condition of the Consolidated Group Companies as the Administrative Agent or such Lender may reasonably request and, without any request, shall furnish to the Administrative Agent (for further distribution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-906145</wp:posOffset>
            </wp:positionV>
            <wp:extent cx="27241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272415" cy="8255"/>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-631825</wp:posOffset>
            </wp:positionV>
            <wp:extent cx="2857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7" w:lineRule="exact"/>
        <w:rPr>
          <w:sz w:val="20"/>
          <w:szCs w:val="20"/>
          <w:color w:val="auto"/>
        </w:rPr>
      </w:pPr>
    </w:p>
    <w:p>
      <w:pPr>
        <w:ind w:right="20" w:firstLine="987"/>
        <w:spacing w:after="0" w:line="270" w:lineRule="auto"/>
        <w:tabs>
          <w:tab w:leader="none" w:pos="1371" w:val="left"/>
        </w:tabs>
        <w:numPr>
          <w:ilvl w:val="0"/>
          <w:numId w:val="177"/>
        </w:numPr>
        <w:rPr>
          <w:rFonts w:ascii="Arial" w:cs="Arial" w:eastAsia="Arial" w:hAnsi="Arial"/>
          <w:sz w:val="17"/>
          <w:szCs w:val="17"/>
          <w:color w:val="auto"/>
        </w:rPr>
      </w:pPr>
      <w:r>
        <w:rPr>
          <w:rFonts w:ascii="Arial" w:cs="Arial" w:eastAsia="Arial" w:hAnsi="Arial"/>
          <w:sz w:val="17"/>
          <w:szCs w:val="17"/>
          <w:color w:val="FF0000"/>
          <w:strike w:val="1"/>
        </w:rPr>
        <w:t>Within</w:t>
      </w:r>
      <w:r>
        <w:rPr>
          <w:rFonts w:ascii="Arial" w:cs="Arial" w:eastAsia="Arial" w:hAnsi="Arial"/>
          <w:sz w:val="17"/>
          <w:szCs w:val="17"/>
          <w:u w:val="single" w:color="auto"/>
          <w:color w:val="0000E1"/>
        </w:rPr>
        <w:t>On or before</w:t>
      </w:r>
      <w:r>
        <w:rPr>
          <w:rFonts w:ascii="Arial" w:cs="Arial" w:eastAsia="Arial" w:hAnsi="Arial"/>
          <w:sz w:val="17"/>
          <w:szCs w:val="17"/>
          <w:color w:val="FF0000"/>
        </w:rPr>
        <w:t xml:space="preserve"> </w:t>
      </w:r>
      <w:r>
        <w:rPr>
          <w:rFonts w:ascii="Arial" w:cs="Arial" w:eastAsia="Arial" w:hAnsi="Arial"/>
          <w:sz w:val="17"/>
          <w:szCs w:val="17"/>
          <w:color w:val="000000"/>
        </w:rPr>
        <w:t>the later of (i) forty-five (45) days after the last day of each of the first three fiscal quarters of each Fiscal Year of</w:t>
      </w:r>
      <w:r>
        <w:rPr>
          <w:rFonts w:ascii="Arial" w:cs="Arial" w:eastAsia="Arial" w:hAnsi="Arial"/>
          <w:sz w:val="17"/>
          <w:szCs w:val="17"/>
          <w:color w:val="FF0000"/>
        </w:rPr>
        <w:t xml:space="preserve"> </w:t>
      </w:r>
      <w:r>
        <w:rPr>
          <w:rFonts w:ascii="Arial" w:cs="Arial" w:eastAsia="Arial" w:hAnsi="Arial"/>
          <w:sz w:val="17"/>
          <w:szCs w:val="17"/>
          <w:color w:val="000000"/>
        </w:rPr>
        <w:t>the Borrower, commencing with the second fiscal quarter of Fiscal Year 2017 and (ii) the date on which Parent is required to file (or, if earlier, files) a Form 10-Q under the Exchange Act, a copy of the unaudited consolidated balance sheet of the Consolidated Group Companies as of the last day of such fiscal quarter and the unaudited consolidated statements of income and cash flows of the Consolidated Group Companies for the fiscal quarter and for the Fiscal Year to date period then ended, each in reasonable detail showing in comparative form the figures for the corresponding date and period in the previous Fiscal Year and showing in comparative form year to date against budget, prepared by the Borrower in accordance with GAAP (subject to the absence of footnote disclosures and year end audit adjustments) and certified to on behalf of the Borrower by its Chief Financial Officer or another officer of the Borrower acceptable to the Administrative Agent that such financial statements have been prepared in accordance with GAAP and present fairly the consolidated financial condition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-1101090</wp:posOffset>
            </wp:positionV>
            <wp:extent cx="58293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927100</wp:posOffset>
            </wp:positionH>
            <wp:positionV relativeFrom="paragraph">
              <wp:posOffset>-492760</wp:posOffset>
            </wp:positionV>
            <wp:extent cx="2857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156" w:name="page157"/>
    <w:bookmarkEnd w:id="156"/>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Consolidated Group Companies in all material respects, together with a management discussion and analysis;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requirement to provide comparisons to the previous Fiscal Year and to budget shall not apply to the statements of cash flows.</w:t>
      </w:r>
    </w:p>
    <w:p>
      <w:pPr>
        <w:spacing w:after="0" w:line="170" w:lineRule="exact"/>
        <w:rPr>
          <w:sz w:val="20"/>
          <w:szCs w:val="20"/>
          <w:color w:val="auto"/>
        </w:rPr>
      </w:pPr>
    </w:p>
    <w:p>
      <w:pPr>
        <w:ind w:firstLine="987"/>
        <w:spacing w:after="0" w:line="286" w:lineRule="auto"/>
        <w:tabs>
          <w:tab w:leader="none" w:pos="1381" w:val="left"/>
        </w:tabs>
        <w:numPr>
          <w:ilvl w:val="0"/>
          <w:numId w:val="178"/>
        </w:numPr>
        <w:rPr>
          <w:rFonts w:ascii="Arial" w:cs="Arial" w:eastAsia="Arial" w:hAnsi="Arial"/>
          <w:sz w:val="16"/>
          <w:szCs w:val="16"/>
          <w:color w:val="auto"/>
        </w:rPr>
      </w:pPr>
      <w:r>
        <w:rPr>
          <w:rFonts w:ascii="Arial" w:cs="Arial" w:eastAsia="Arial" w:hAnsi="Arial"/>
          <w:sz w:val="16"/>
          <w:szCs w:val="16"/>
          <w:color w:val="FF0000"/>
          <w:strike w:val="1"/>
        </w:rPr>
        <w:t>Within</w:t>
      </w:r>
      <w:r>
        <w:rPr>
          <w:rFonts w:ascii="Arial" w:cs="Arial" w:eastAsia="Arial" w:hAnsi="Arial"/>
          <w:sz w:val="16"/>
          <w:szCs w:val="16"/>
          <w:u w:val="single" w:color="auto"/>
          <w:color w:val="0000E1"/>
        </w:rPr>
        <w:t>On or before</w:t>
      </w:r>
      <w:r>
        <w:rPr>
          <w:rFonts w:ascii="Arial" w:cs="Arial" w:eastAsia="Arial" w:hAnsi="Arial"/>
          <w:sz w:val="16"/>
          <w:szCs w:val="16"/>
          <w:color w:val="FF0000"/>
        </w:rPr>
        <w:t xml:space="preserve"> </w:t>
      </w:r>
      <w:r>
        <w:rPr>
          <w:rFonts w:ascii="Arial" w:cs="Arial" w:eastAsia="Arial" w:hAnsi="Arial"/>
          <w:sz w:val="16"/>
          <w:szCs w:val="16"/>
          <w:color w:val="000000"/>
        </w:rPr>
        <w:t>the later of (i) one hundred five (105) days after the last day of each Fiscal Year of the Borrower and (ii) the date</w:t>
      </w:r>
      <w:r>
        <w:rPr>
          <w:rFonts w:ascii="Arial" w:cs="Arial" w:eastAsia="Arial" w:hAnsi="Arial"/>
          <w:sz w:val="16"/>
          <w:szCs w:val="16"/>
          <w:color w:val="FF0000"/>
        </w:rPr>
        <w:t xml:space="preserve"> </w:t>
      </w:r>
      <w:r>
        <w:rPr>
          <w:rFonts w:ascii="Arial" w:cs="Arial" w:eastAsia="Arial" w:hAnsi="Arial"/>
          <w:sz w:val="16"/>
          <w:szCs w:val="16"/>
          <w:color w:val="000000"/>
        </w:rPr>
        <w:t xml:space="preserve">on which Parent is required to file (or, if earlier, files) a Form 10-K under the Exchange Act, a copy of the audited consolidated balance sheet of the Consolidated Group Companies as of the last day of the Fiscal Year then ended and the audited consolidated statements of income, retained earnings, and cash flows of the Consolidated Group Companies for the Fiscal Year then ended, and accompanying notes thereto, each in reasonable detail showing in comparative form the figures for the previous Fiscal Year (except with respect to the statements of cash flows) commencing with Fiscal Year 2017, together with a management discussion and analysis accompanied in the case of the consolidated financial statements by an opinion of KPMG </w:t>
      </w:r>
      <w:r>
        <w:rPr>
          <w:rFonts w:ascii="Arial" w:cs="Arial" w:eastAsia="Arial" w:hAnsi="Arial"/>
          <w:sz w:val="16"/>
          <w:szCs w:val="16"/>
          <w:color w:val="FF0000"/>
          <w:strike w:val="1"/>
        </w:rPr>
        <w:t>LLP</w:t>
      </w:r>
      <w:r>
        <w:rPr>
          <w:rFonts w:ascii="Arial" w:cs="Arial" w:eastAsia="Arial" w:hAnsi="Arial"/>
          <w:sz w:val="16"/>
          <w:szCs w:val="16"/>
          <w:u w:val="single" w:color="auto"/>
          <w:color w:val="0000E1"/>
        </w:rPr>
        <w:t>LLP</w:t>
      </w:r>
      <w:r>
        <w:rPr>
          <w:rFonts w:ascii="Arial" w:cs="Arial" w:eastAsia="Arial" w:hAnsi="Arial"/>
          <w:sz w:val="16"/>
          <w:szCs w:val="16"/>
          <w:color w:val="000000"/>
        </w:rPr>
        <w:t xml:space="preserve"> or another firm of independent public accountants of recognized national standing selected by the Borrower, without going concern or qualification arising out of the scope of the audit and to the effect that the consolidated financial statements have been prepared in accordance with GAAP and present fairly in all material respects in accordance with GAAP the consolidated financial condition of the Consolidated Group Companies as of the close of such Fiscal Year and the results of their operations and cash flows 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it shall not be a violation of this </w:t>
      </w:r>
      <w:r>
        <w:rPr>
          <w:rFonts w:ascii="Arial" w:cs="Arial" w:eastAsia="Arial" w:hAnsi="Arial"/>
          <w:sz w:val="16"/>
          <w:szCs w:val="16"/>
          <w:u w:val="single" w:color="auto"/>
          <w:color w:val="000000"/>
        </w:rPr>
        <w:t>clause (b)</w:t>
      </w:r>
      <w:r>
        <w:rPr>
          <w:rFonts w:ascii="Arial" w:cs="Arial" w:eastAsia="Arial" w:hAnsi="Arial"/>
          <w:sz w:val="16"/>
          <w:szCs w:val="16"/>
          <w:color w:val="000000"/>
        </w:rPr>
        <w:t xml:space="preserve"> if the audit and opinion accompanying the financial statements for any Fiscal Year is subject to a “going concern” or like qualification solely as a result of the Revolving Credit Termination Date or final maturity date of any Term Loan being scheduled to occur within twelve months from the date of such audit and opinion or breach or anticipated breach of the financial covenants set forth in </w:t>
      </w:r>
      <w:r>
        <w:rPr>
          <w:rFonts w:ascii="Arial" w:cs="Arial" w:eastAsia="Arial" w:hAnsi="Arial"/>
          <w:sz w:val="16"/>
          <w:szCs w:val="16"/>
          <w:u w:val="single" w:color="auto"/>
          <w:color w:val="000000"/>
        </w:rPr>
        <w:t>Section 8.22</w:t>
      </w:r>
      <w:r>
        <w:rPr>
          <w:rFonts w:ascii="Arial" w:cs="Arial" w:eastAsia="Arial" w:hAnsi="Arial"/>
          <w:sz w:val="16"/>
          <w:szCs w:val="16"/>
          <w:color w:val="000000"/>
        </w:rPr>
        <w:t>.</w:t>
      </w:r>
    </w:p>
    <w:p>
      <w:pPr>
        <w:spacing w:after="0" w:line="167" w:lineRule="exact"/>
        <w:rPr>
          <w:rFonts w:ascii="Arial" w:cs="Arial" w:eastAsia="Arial" w:hAnsi="Arial"/>
          <w:sz w:val="16"/>
          <w:szCs w:val="16"/>
          <w:color w:val="auto"/>
        </w:rPr>
      </w:pPr>
    </w:p>
    <w:p>
      <w:pPr>
        <w:ind w:left="1360" w:hanging="373"/>
        <w:spacing w:after="0"/>
        <w:tabs>
          <w:tab w:leader="none" w:pos="13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Promptly after receipt thereof, the final management letters delivered to the Borrower by its independent public accountants.</w:t>
      </w:r>
    </w:p>
    <w:p>
      <w:pPr>
        <w:spacing w:after="0" w:line="236" w:lineRule="exact"/>
        <w:rPr>
          <w:rFonts w:ascii="Arial" w:cs="Arial" w:eastAsia="Arial" w:hAnsi="Arial"/>
          <w:sz w:val="17"/>
          <w:szCs w:val="17"/>
          <w:color w:val="auto"/>
        </w:rPr>
      </w:pPr>
    </w:p>
    <w:p>
      <w:pPr>
        <w:ind w:right="100" w:firstLine="987"/>
        <w:spacing w:after="0" w:line="287" w:lineRule="auto"/>
        <w:tabs>
          <w:tab w:leader="none" w:pos="1381" w:val="left"/>
        </w:tabs>
        <w:numPr>
          <w:ilvl w:val="0"/>
          <w:numId w:val="178"/>
        </w:numPr>
        <w:rPr>
          <w:rFonts w:ascii="Arial" w:cs="Arial" w:eastAsia="Arial" w:hAnsi="Arial"/>
          <w:sz w:val="16"/>
          <w:szCs w:val="16"/>
          <w:color w:val="auto"/>
        </w:rPr>
      </w:pPr>
      <w:r>
        <w:rPr>
          <w:rFonts w:ascii="Arial" w:cs="Arial" w:eastAsia="Arial" w:hAnsi="Arial"/>
          <w:sz w:val="16"/>
          <w:szCs w:val="16"/>
          <w:color w:val="FF0000"/>
          <w:strike w:val="1"/>
        </w:rPr>
        <w:t>Within</w:t>
      </w:r>
      <w:r>
        <w:rPr>
          <w:rFonts w:ascii="Arial" w:cs="Arial" w:eastAsia="Arial" w:hAnsi="Arial"/>
          <w:sz w:val="16"/>
          <w:szCs w:val="16"/>
          <w:u w:val="single" w:color="auto"/>
          <w:color w:val="0000E1"/>
        </w:rPr>
        <w:t>On or before</w:t>
      </w:r>
      <w:r>
        <w:rPr>
          <w:rFonts w:ascii="Arial" w:cs="Arial" w:eastAsia="Arial" w:hAnsi="Arial"/>
          <w:sz w:val="16"/>
          <w:szCs w:val="16"/>
          <w:color w:val="FF0000"/>
        </w:rPr>
        <w:t xml:space="preserve"> </w:t>
      </w:r>
      <w:r>
        <w:rPr>
          <w:rFonts w:ascii="Arial" w:cs="Arial" w:eastAsia="Arial" w:hAnsi="Arial"/>
          <w:sz w:val="16"/>
          <w:szCs w:val="16"/>
          <w:color w:val="000000"/>
        </w:rPr>
        <w:t>seventy-five (75) days following the end of each Fiscal Year of</w:t>
      </w:r>
      <w:r>
        <w:rPr>
          <w:rFonts w:ascii="Arial" w:cs="Arial" w:eastAsia="Arial" w:hAnsi="Arial"/>
          <w:sz w:val="16"/>
          <w:szCs w:val="16"/>
          <w:color w:val="FF0000"/>
        </w:rPr>
        <w:t xml:space="preserve"> </w:t>
      </w:r>
      <w:r>
        <w:rPr>
          <w:rFonts w:ascii="Arial" w:cs="Arial" w:eastAsia="Arial" w:hAnsi="Arial"/>
          <w:sz w:val="16"/>
          <w:szCs w:val="16"/>
          <w:u w:val="single" w:color="auto"/>
          <w:color w:val="0000E1"/>
        </w:rPr>
        <w:t>the</w:t>
      </w:r>
      <w:r>
        <w:rPr>
          <w:rFonts w:ascii="Arial" w:cs="Arial" w:eastAsia="Arial" w:hAnsi="Arial"/>
          <w:sz w:val="16"/>
          <w:szCs w:val="16"/>
          <w:color w:val="FF0000"/>
        </w:rPr>
        <w:t xml:space="preserve"> </w:t>
      </w:r>
      <w:r>
        <w:rPr>
          <w:rFonts w:ascii="Arial" w:cs="Arial" w:eastAsia="Arial" w:hAnsi="Arial"/>
          <w:sz w:val="16"/>
          <w:szCs w:val="16"/>
          <w:color w:val="000000"/>
        </w:rPr>
        <w:t>Borrower, a copy of the Borrower’s</w:t>
      </w:r>
      <w:r>
        <w:rPr>
          <w:rFonts w:ascii="Arial" w:cs="Arial" w:eastAsia="Arial" w:hAnsi="Arial"/>
          <w:sz w:val="16"/>
          <w:szCs w:val="16"/>
          <w:color w:val="FF0000"/>
        </w:rPr>
        <w:t xml:space="preserve"> </w:t>
      </w:r>
      <w:r>
        <w:rPr>
          <w:rFonts w:ascii="Arial" w:cs="Arial" w:eastAsia="Arial" w:hAnsi="Arial"/>
          <w:sz w:val="16"/>
          <w:szCs w:val="16"/>
          <w:color w:val="000000"/>
        </w:rPr>
        <w:t xml:space="preserve">consolidated business plan for the following Fiscal Year, such business plan to show Borrower’s projected consolidated revenues, expenses and balance sheet on a quarter-by-quarter basis, such business plan to be in reasonable detail prepared by Borrower and in a reasonable and customary form (which shall include a summary of all assumptions made in preparing such business plan);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the foregoing may be prepared with respect to Parent on a consolidated basis if, during the entire period of such following Fiscal Year, Parent shall not conduct or engage in any operations or business or incur any indebtedness other than (i) those incidental to its ownership of the Equity Interests of Holdings, (ii) the maintenance of its legal existence and good standing and complying with requirements of law, (iii) any public offering or other issuance of its Equity Interests to the extent not triggering a Change of Control, (iv) participating in tax, accounting and other administrative matters as a member of the consolidated, combined, unitary or similar group that includes Parent, Holdings and the Borrower, (v) holding any cash or property received in connection with Restricted Payments made by Holdings or contributions to its capital or in exchange for the sale or issuance of Equity Interests, (vi) providing indemnification to directors, officers, employees, members of management and consultants, (vii) preparing reports to governmental authorities and to its shareholders; (viii) engaging in activities typical for a holding company subject to Section 13 or 15(d) of the Exchange Act and (ix) any activities incidental to any of the foregoing.</w:t>
      </w:r>
    </w:p>
    <w:p>
      <w:pPr>
        <w:spacing w:after="0" w:line="167" w:lineRule="exact"/>
        <w:rPr>
          <w:rFonts w:ascii="Arial" w:cs="Arial" w:eastAsia="Arial" w:hAnsi="Arial"/>
          <w:sz w:val="16"/>
          <w:szCs w:val="16"/>
          <w:color w:val="auto"/>
        </w:rPr>
      </w:pPr>
    </w:p>
    <w:p>
      <w:pPr>
        <w:ind w:right="160" w:firstLine="987"/>
        <w:spacing w:after="0" w:line="277" w:lineRule="auto"/>
        <w:tabs>
          <w:tab w:leader="none" w:pos="137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Promptly after knowledge thereof shall have come to the attention of any Authorized Representative of the Borrower, written notice of (i) any threatened or pending litigation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-4399915</wp:posOffset>
            </wp:positionV>
            <wp:extent cx="58293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-3714115</wp:posOffset>
            </wp:positionV>
            <wp:extent cx="19685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-1931035</wp:posOffset>
            </wp:positionV>
            <wp:extent cx="58293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-1931035</wp:posOffset>
            </wp:positionV>
            <wp:extent cx="13716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20"/>
          </w:cols>
          <w:pgMar w:left="440" w:top="274" w:right="439" w:bottom="1440" w:gutter="0" w:footer="0" w:header="0"/>
        </w:sectPr>
      </w:pPr>
    </w:p>
    <w:bookmarkStart w:id="157" w:name="page158"/>
    <w:bookmarkEnd w:id="15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governmental or arbitration proceeding against any Restricted Group Company or any of their Property which would reasonably be expected to have a Material Adverse Effect, (ii) the occurrence of any Default or Event of Default hereunder, (iii) the occurrence of any event that has resulted in, or could reasonably be expected to result in, a Material Adverse Effect; or (iv) the occurrence of any event for which notice would be required under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8.14(c)</w:t>
      </w:r>
      <w:r>
        <w:rPr>
          <w:rFonts w:ascii="Arial" w:cs="Arial" w:eastAsia="Arial" w:hAnsi="Arial"/>
          <w:sz w:val="18"/>
          <w:szCs w:val="18"/>
          <w:color w:val="auto"/>
        </w:rPr>
        <w:t>.</w:t>
      </w:r>
    </w:p>
    <w:p>
      <w:pPr>
        <w:spacing w:after="0" w:line="187" w:lineRule="exact"/>
        <w:rPr>
          <w:sz w:val="20"/>
          <w:szCs w:val="20"/>
          <w:color w:val="auto"/>
        </w:rPr>
      </w:pPr>
    </w:p>
    <w:p>
      <w:pPr>
        <w:ind w:firstLine="987"/>
        <w:spacing w:after="0" w:line="271" w:lineRule="auto"/>
        <w:tabs>
          <w:tab w:leader="none" w:pos="1348" w:val="left"/>
        </w:tabs>
        <w:numPr>
          <w:ilvl w:val="1"/>
          <w:numId w:val="179"/>
        </w:numPr>
        <w:rPr>
          <w:rFonts w:ascii="Arial" w:cs="Arial" w:eastAsia="Arial" w:hAnsi="Arial"/>
          <w:sz w:val="17"/>
          <w:szCs w:val="17"/>
          <w:color w:val="auto"/>
        </w:rPr>
      </w:pPr>
      <w:r>
        <w:rPr>
          <w:rFonts w:ascii="Arial" w:cs="Arial" w:eastAsia="Arial" w:hAnsi="Arial"/>
          <w:sz w:val="17"/>
          <w:szCs w:val="17"/>
          <w:color w:val="auto"/>
        </w:rPr>
        <w:t xml:space="preserve">With each of the financial statements furnished to the Lenders pursuant to </w:t>
      </w:r>
      <w:r>
        <w:rPr>
          <w:rFonts w:ascii="Arial" w:cs="Arial" w:eastAsia="Arial" w:hAnsi="Arial"/>
          <w:sz w:val="17"/>
          <w:szCs w:val="17"/>
          <w:u w:val="single" w:color="auto"/>
          <w:color w:val="auto"/>
        </w:rPr>
        <w:t>paragraphs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a </w:t>
      </w:r>
      <w:r>
        <w:rPr>
          <w:rFonts w:ascii="Arial" w:cs="Arial" w:eastAsia="Arial" w:hAnsi="Arial"/>
          <w:sz w:val="17"/>
          <w:szCs w:val="17"/>
          <w:color w:val="FF0000"/>
          <w:strike w:val="1"/>
        </w:rPr>
        <w:t>written</w:t>
      </w:r>
      <w:r>
        <w:rPr>
          <w:rFonts w:ascii="Arial" w:cs="Arial" w:eastAsia="Arial" w:hAnsi="Arial"/>
          <w:sz w:val="17"/>
          <w:szCs w:val="17"/>
          <w:u w:val="single" w:color="auto"/>
          <w:color w:val="0000E1"/>
        </w:rPr>
        <w:t>Compliance</w:t>
      </w:r>
      <w:r>
        <w:rPr>
          <w:rFonts w:ascii="Arial" w:cs="Arial" w:eastAsia="Arial" w:hAnsi="Arial"/>
          <w:sz w:val="17"/>
          <w:szCs w:val="17"/>
          <w:color w:val="auto"/>
        </w:rPr>
        <w:t xml:space="preserve"> </w:t>
      </w:r>
      <w:r>
        <w:rPr>
          <w:rFonts w:ascii="Arial" w:cs="Arial" w:eastAsia="Arial" w:hAnsi="Arial"/>
          <w:sz w:val="17"/>
          <w:szCs w:val="17"/>
          <w:color w:val="FF0000"/>
          <w:strike w:val="1"/>
        </w:rPr>
        <w:t>c</w:t>
      </w:r>
      <w:r>
        <w:rPr>
          <w:rFonts w:ascii="Arial" w:cs="Arial" w:eastAsia="Arial" w:hAnsi="Arial"/>
          <w:sz w:val="17"/>
          <w:szCs w:val="17"/>
          <w:u w:val="single" w:color="auto"/>
          <w:color w:val="0000E1"/>
        </w:rPr>
        <w:t>C</w:t>
      </w:r>
      <w:r>
        <w:rPr>
          <w:rFonts w:ascii="Arial" w:cs="Arial" w:eastAsia="Arial" w:hAnsi="Arial"/>
          <w:sz w:val="17"/>
          <w:szCs w:val="17"/>
          <w:color w:val="auto"/>
        </w:rPr>
        <w:t xml:space="preserve"> ertificate </w:t>
      </w:r>
      <w:r>
        <w:rPr>
          <w:rFonts w:ascii="Arial" w:cs="Arial" w:eastAsia="Arial" w:hAnsi="Arial"/>
          <w:sz w:val="17"/>
          <w:szCs w:val="17"/>
          <w:color w:val="008000"/>
          <w:strike w:val="1"/>
        </w:rPr>
        <w:t>in substantially the form attached hereto as Exhibit E</w:t>
      </w:r>
      <w:r>
        <w:rPr>
          <w:rFonts w:ascii="Arial" w:cs="Arial" w:eastAsia="Arial" w:hAnsi="Arial"/>
          <w:sz w:val="17"/>
          <w:szCs w:val="17"/>
          <w:color w:val="auto"/>
        </w:rPr>
        <w:t xml:space="preserve"> signed on behalf of the Borrower by the Chief Financial Officer of the Borrower or another officer of the Borrower reasonably acceptable to the Administrative Agent (in each case, solely in his or her capacity as an officer of the Borrower and not in his or her individual capacity) to the effect that to such officer’s knowledge, as at the date of such certificate, no Default or Event of Default exists or, if any such Default or Event of Default exists, setting forth a description of such Default or Event of Default and specifying the action, if any, taken by, the Borrower or any Restricted Subsidiary to remedy the same and to the extent any Unrestricted Subsidiary then exists, setting forth the names of all such Unrestricted Subsidiaries and to the extent applicable, such certificate shall also set forth the calculations supporting such statements in respect of </w:t>
      </w:r>
      <w:r>
        <w:rPr>
          <w:rFonts w:ascii="Arial" w:cs="Arial" w:eastAsia="Arial" w:hAnsi="Arial"/>
          <w:sz w:val="17"/>
          <w:szCs w:val="17"/>
          <w:u w:val="single" w:color="auto"/>
          <w:color w:val="auto"/>
        </w:rPr>
        <w:t>Section 8.22</w:t>
      </w:r>
      <w:r>
        <w:rPr>
          <w:rFonts w:ascii="Arial" w:cs="Arial" w:eastAsia="Arial" w:hAnsi="Arial"/>
          <w:sz w:val="17"/>
          <w:szCs w:val="17"/>
          <w:color w:val="auto"/>
        </w:rPr>
        <w:t xml:space="preserve"> </w:t>
      </w:r>
      <w:r>
        <w:rPr>
          <w:rFonts w:ascii="Arial" w:cs="Arial" w:eastAsia="Arial" w:hAnsi="Arial"/>
          <w:sz w:val="17"/>
          <w:szCs w:val="17"/>
          <w:color w:val="FF0000"/>
          <w:strike w:val="1"/>
        </w:rPr>
        <w:t>hereof</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right="540" w:firstLine="987"/>
        <w:spacing w:after="0" w:line="342" w:lineRule="auto"/>
        <w:tabs>
          <w:tab w:leader="none" w:pos="1371" w:val="left"/>
        </w:tabs>
        <w:numPr>
          <w:ilvl w:val="1"/>
          <w:numId w:val="179"/>
        </w:numPr>
        <w:rPr>
          <w:rFonts w:ascii="Arial" w:cs="Arial" w:eastAsia="Arial" w:hAnsi="Arial"/>
          <w:sz w:val="16"/>
          <w:szCs w:val="16"/>
          <w:color w:val="auto"/>
        </w:rPr>
      </w:pPr>
      <w:r>
        <w:rPr>
          <w:rFonts w:ascii="Arial" w:cs="Arial" w:eastAsia="Arial" w:hAnsi="Arial"/>
          <w:sz w:val="16"/>
          <w:szCs w:val="16"/>
          <w:color w:val="auto"/>
        </w:rPr>
        <w:t>At the time such certificate is required to be delivered, the Borrower shall promptly deliver to the Administrative Agent, at the Administrative Agent’s office, information regarding any change in Total Leverage Ratio that would change the then existing Applicable Margin.</w:t>
      </w:r>
    </w:p>
    <w:p>
      <w:pPr>
        <w:spacing w:after="0" w:line="123" w:lineRule="exact"/>
        <w:rPr>
          <w:rFonts w:ascii="Arial" w:cs="Arial" w:eastAsia="Arial" w:hAnsi="Arial"/>
          <w:sz w:val="16"/>
          <w:szCs w:val="16"/>
          <w:color w:val="auto"/>
        </w:rPr>
      </w:pPr>
    </w:p>
    <w:p>
      <w:pPr>
        <w:ind w:right="180" w:firstLine="987"/>
        <w:spacing w:after="0" w:line="286" w:lineRule="auto"/>
        <w:tabs>
          <w:tab w:leader="none" w:pos="1381" w:val="left"/>
        </w:tabs>
        <w:numPr>
          <w:ilvl w:val="1"/>
          <w:numId w:val="179"/>
        </w:numPr>
        <w:rPr>
          <w:rFonts w:ascii="Arial" w:cs="Arial" w:eastAsia="Arial" w:hAnsi="Arial"/>
          <w:sz w:val="17"/>
          <w:szCs w:val="17"/>
          <w:color w:val="auto"/>
        </w:rPr>
      </w:pPr>
      <w:r>
        <w:rPr>
          <w:rFonts w:ascii="Arial" w:cs="Arial" w:eastAsia="Arial" w:hAnsi="Arial"/>
          <w:sz w:val="17"/>
          <w:szCs w:val="17"/>
          <w:color w:val="auto"/>
        </w:rPr>
        <w:t xml:space="preserve">Simultaneously with the delivery of each set of consolidated financial statements referred to in </w:t>
      </w:r>
      <w:r>
        <w:rPr>
          <w:rFonts w:ascii="Arial" w:cs="Arial" w:eastAsia="Arial" w:hAnsi="Arial"/>
          <w:sz w:val="17"/>
          <w:szCs w:val="17"/>
          <w:u w:val="single" w:color="auto"/>
          <w:color w:val="auto"/>
        </w:rPr>
        <w:t>Section</w:t>
      </w:r>
      <w:r>
        <w:rPr>
          <w:rFonts w:ascii="Arial" w:cs="Arial" w:eastAsia="Arial" w:hAnsi="Arial"/>
          <w:sz w:val="17"/>
          <w:szCs w:val="17"/>
          <w:u w:val="single" w:color="auto"/>
          <w:color w:val="0000E1"/>
        </w:rPr>
        <w:t>s</w:t>
      </w:r>
      <w:r>
        <w:rPr>
          <w:rFonts w:ascii="Arial" w:cs="Arial" w:eastAsia="Arial" w:hAnsi="Arial"/>
          <w:sz w:val="17"/>
          <w:szCs w:val="17"/>
          <w:color w:val="auto"/>
        </w:rPr>
        <w:t xml:space="preserve"> 8.5(a)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color w:val="FF0000"/>
          <w:strike w:val="1"/>
        </w:rPr>
        <w:t>above</w:t>
      </w:r>
      <w:r>
        <w:rPr>
          <w:rFonts w:ascii="Arial" w:cs="Arial" w:eastAsia="Arial" w:hAnsi="Arial"/>
          <w:sz w:val="17"/>
          <w:szCs w:val="17"/>
          <w:color w:val="auto"/>
        </w:rPr>
        <w:t>, the related consolidating financial statements reflecting the adjustments necessary (as determined by the Borrower in good faith) to eliminate the accounts of Unrestricted Subsidiaries (if any) (which may be in footnote form only) from such consolidated financial statements.</w:t>
      </w:r>
    </w:p>
    <w:p>
      <w:pPr>
        <w:spacing w:after="0" w:line="165" w:lineRule="exact"/>
        <w:rPr>
          <w:rFonts w:ascii="Arial" w:cs="Arial" w:eastAsia="Arial" w:hAnsi="Arial"/>
          <w:sz w:val="17"/>
          <w:szCs w:val="17"/>
          <w:color w:val="auto"/>
        </w:rPr>
      </w:pPr>
    </w:p>
    <w:p>
      <w:pPr>
        <w:ind w:right="260" w:firstLine="987"/>
        <w:spacing w:after="0" w:line="311" w:lineRule="auto"/>
        <w:tabs>
          <w:tab w:leader="none" w:pos="1386" w:val="left"/>
        </w:tabs>
        <w:numPr>
          <w:ilvl w:val="1"/>
          <w:numId w:val="179"/>
        </w:numPr>
        <w:rPr>
          <w:rFonts w:ascii="Arial" w:cs="Arial" w:eastAsia="Arial" w:hAnsi="Arial"/>
          <w:sz w:val="16"/>
          <w:szCs w:val="16"/>
          <w:u w:val="single" w:color="auto"/>
          <w:color w:val="0000E1"/>
        </w:rPr>
      </w:pPr>
      <w:r>
        <w:rPr>
          <w:rFonts w:ascii="Arial" w:cs="Arial" w:eastAsia="Arial" w:hAnsi="Arial"/>
          <w:sz w:val="16"/>
          <w:szCs w:val="16"/>
          <w:u w:val="single" w:color="auto"/>
          <w:color w:val="0000E1"/>
        </w:rPr>
        <w:t>During the Financial Covenant Suspension Period, within three (3) Business Days after the week ending April 17, 2020 and every two-week period thereafter (i.e., on a biweekly basis), 13-week cash flow projections in a form reasonably acceptable to the Administrative Agent, which shall include in any case tabular presentation for the pertinent periods of projected and actual cash flows and variance between the same.</w:t>
      </w:r>
    </w:p>
    <w:p>
      <w:pPr>
        <w:spacing w:after="0" w:line="148" w:lineRule="exact"/>
        <w:rPr>
          <w:rFonts w:ascii="Arial" w:cs="Arial" w:eastAsia="Arial" w:hAnsi="Arial"/>
          <w:sz w:val="16"/>
          <w:szCs w:val="16"/>
          <w:u w:val="single" w:color="auto"/>
          <w:color w:val="0000E1"/>
        </w:rPr>
      </w:pPr>
    </w:p>
    <w:p>
      <w:pPr>
        <w:ind w:firstLine="987"/>
        <w:spacing w:after="0" w:line="263" w:lineRule="auto"/>
        <w:tabs>
          <w:tab w:leader="none" w:pos="1341" w:val="left"/>
        </w:tabs>
        <w:numPr>
          <w:ilvl w:val="1"/>
          <w:numId w:val="179"/>
        </w:numPr>
        <w:rPr>
          <w:rFonts w:ascii="Arial" w:cs="Arial" w:eastAsia="Arial" w:hAnsi="Arial"/>
          <w:sz w:val="18"/>
          <w:szCs w:val="18"/>
          <w:u w:val="single" w:color="auto"/>
          <w:color w:val="0000E1"/>
        </w:rPr>
      </w:pPr>
      <w:r>
        <w:rPr>
          <w:rFonts w:ascii="Arial" w:cs="Arial" w:eastAsia="Arial" w:hAnsi="Arial"/>
          <w:sz w:val="18"/>
          <w:szCs w:val="18"/>
          <w:color w:val="FF0000"/>
          <w:strike w:val="1"/>
        </w:rPr>
        <w:t>(i)</w:t>
      </w:r>
      <w:r>
        <w:rPr>
          <w:rFonts w:ascii="Arial" w:cs="Arial" w:eastAsia="Arial" w:hAnsi="Arial"/>
          <w:sz w:val="18"/>
          <w:szCs w:val="18"/>
          <w:color w:val="FF0000"/>
        </w:rPr>
        <w:t xml:space="preserve"> </w:t>
      </w:r>
      <w:r>
        <w:rPr>
          <w:rFonts w:ascii="Arial" w:cs="Arial" w:eastAsia="Arial" w:hAnsi="Arial"/>
          <w:sz w:val="18"/>
          <w:szCs w:val="18"/>
          <w:color w:val="000000"/>
        </w:rPr>
        <w:t>Promptly after the request by any Lender, all documentation and other information that such Lender reasonably requests in order to</w:t>
      </w:r>
      <w:r>
        <w:rPr>
          <w:rFonts w:ascii="Arial" w:cs="Arial" w:eastAsia="Arial" w:hAnsi="Arial"/>
          <w:sz w:val="18"/>
          <w:szCs w:val="18"/>
          <w:color w:val="FF0000"/>
        </w:rPr>
        <w:t xml:space="preserve"> </w:t>
      </w:r>
      <w:r>
        <w:rPr>
          <w:rFonts w:ascii="Arial" w:cs="Arial" w:eastAsia="Arial" w:hAnsi="Arial"/>
          <w:sz w:val="18"/>
          <w:szCs w:val="18"/>
          <w:color w:val="000000"/>
        </w:rPr>
        <w:t xml:space="preserve">comply with its ongoing obligations under applicable “know your customer” and anti-money laundering rules and regulations, including the PATRIOT Act </w:t>
      </w:r>
      <w:r>
        <w:rPr>
          <w:rFonts w:ascii="Arial" w:cs="Arial" w:eastAsia="Arial" w:hAnsi="Arial"/>
          <w:sz w:val="18"/>
          <w:szCs w:val="18"/>
          <w:color w:val="0000E1"/>
        </w:rPr>
        <w:t>and the Beneficial Ownership Regulation</w:t>
      </w:r>
      <w:r>
        <w:rPr>
          <w:rFonts w:ascii="Arial" w:cs="Arial" w:eastAsia="Arial" w:hAnsi="Arial"/>
          <w:sz w:val="18"/>
          <w:szCs w:val="18"/>
          <w:color w:val="000000"/>
        </w:rPr>
        <w:t>.</w:t>
      </w:r>
    </w:p>
    <w:p>
      <w:pPr>
        <w:spacing w:after="0" w:line="183" w:lineRule="exact"/>
        <w:rPr>
          <w:rFonts w:ascii="Arial" w:cs="Arial" w:eastAsia="Arial" w:hAnsi="Arial"/>
          <w:sz w:val="18"/>
          <w:szCs w:val="18"/>
          <w:u w:val="single" w:color="auto"/>
          <w:color w:val="0000E1"/>
        </w:rPr>
      </w:pPr>
    </w:p>
    <w:p>
      <w:pPr>
        <w:ind w:firstLine="436"/>
        <w:spacing w:after="0" w:line="270" w:lineRule="auto"/>
        <w:tabs>
          <w:tab w:leader="none" w:pos="725" w:val="left"/>
        </w:tabs>
        <w:numPr>
          <w:ilvl w:val="0"/>
          <w:numId w:val="180"/>
        </w:numPr>
        <w:rPr>
          <w:rFonts w:ascii="Arial" w:cs="Arial" w:eastAsia="Arial" w:hAnsi="Arial"/>
          <w:sz w:val="17"/>
          <w:szCs w:val="17"/>
          <w:color w:val="FF0000"/>
          <w:strike w:val="1"/>
        </w:rPr>
      </w:pPr>
      <w:r>
        <w:rPr>
          <w:rFonts w:ascii="Arial" w:cs="Arial" w:eastAsia="Arial" w:hAnsi="Arial"/>
          <w:sz w:val="17"/>
          <w:szCs w:val="17"/>
          <w:color w:val="auto"/>
        </w:rPr>
        <w:t xml:space="preserve">Notwithstanding the foregoing, the obligations in </w:t>
      </w:r>
      <w:r>
        <w:rPr>
          <w:rFonts w:ascii="Arial" w:cs="Arial" w:eastAsia="Arial" w:hAnsi="Arial"/>
          <w:sz w:val="17"/>
          <w:szCs w:val="17"/>
          <w:u w:val="single" w:color="auto"/>
          <w:color w:val="auto"/>
        </w:rPr>
        <w:t>Sections 8.5</w:t>
      </w:r>
      <w:r>
        <w:rPr>
          <w:rFonts w:ascii="Arial" w:cs="Arial" w:eastAsia="Arial" w:hAnsi="Arial"/>
          <w:sz w:val="17"/>
          <w:szCs w:val="17"/>
          <w:u w:val="single" w:color="auto"/>
          <w:color w:val="FF0000"/>
          <w:strike w:val="1"/>
        </w:rPr>
        <w:t>(A)(</w:t>
      </w:r>
      <w:r>
        <w:rPr>
          <w:rFonts w:ascii="Arial" w:cs="Arial" w:eastAsia="Arial" w:hAnsi="Arial"/>
          <w:sz w:val="17"/>
          <w:szCs w:val="17"/>
          <w:u w:val="single" w:color="auto"/>
          <w:color w:val="auto"/>
        </w:rPr>
        <w:t>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may be satisfied with respect to any financial statements of the Borrower by furnishing (A) the applicable financial statements of Holdings (or any direct or indirect parent of Holdings) or (B) the Borrower’s or Holdings’ (or any direct or indirect parent thereof), as applicable, Form 10-K or 10-Q, as applicable, filed with the SEC, in each case, within the time periods specified in such paragraphs;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to the extent such financial statements relate to Holdings (or a parent thereof), such financial statements shall be accompanied by (i) information that summarizes in detail reasonably satisfactory to the Administrative Agent the differences between the information relating to Holdings (or such parent thereof), on the one hand, and the information relating to </w:t>
      </w:r>
      <w:r>
        <w:rPr>
          <w:rFonts w:ascii="Arial" w:cs="Arial" w:eastAsia="Arial" w:hAnsi="Arial"/>
          <w:sz w:val="17"/>
          <w:szCs w:val="17"/>
          <w:u w:val="single" w:color="auto"/>
          <w:color w:val="0000E1"/>
        </w:rPr>
        <w:t>the</w:t>
      </w:r>
      <w:r>
        <w:rPr>
          <w:rFonts w:ascii="Arial" w:cs="Arial" w:eastAsia="Arial" w:hAnsi="Arial"/>
          <w:sz w:val="17"/>
          <w:szCs w:val="17"/>
          <w:color w:val="auto"/>
        </w:rPr>
        <w:t xml:space="preserve"> Borrower and its Restricted Subsidiaries, on the other hand and (ii) if reasonably requested by the Administrative Agent, unaudited consolidated financial statements of </w:t>
      </w:r>
      <w:r>
        <w:rPr>
          <w:rFonts w:ascii="Arial" w:cs="Arial" w:eastAsia="Arial" w:hAnsi="Arial"/>
          <w:sz w:val="17"/>
          <w:szCs w:val="17"/>
          <w:u w:val="single" w:color="auto"/>
          <w:color w:val="0000E1"/>
        </w:rPr>
        <w:t>the</w:t>
      </w:r>
      <w:r>
        <w:rPr>
          <w:rFonts w:ascii="Arial" w:cs="Arial" w:eastAsia="Arial" w:hAnsi="Arial"/>
          <w:sz w:val="17"/>
          <w:szCs w:val="17"/>
          <w:color w:val="auto"/>
        </w:rPr>
        <w:t xml:space="preserve"> Borrower and its Restricted Subsidiaries. Documents required to be delivered pursuant to this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may be delivered electronically and if so delivered, shall be deemed to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6032500</wp:posOffset>
            </wp:positionH>
            <wp:positionV relativeFrom="paragraph">
              <wp:posOffset>-4392930</wp:posOffset>
            </wp:positionV>
            <wp:extent cx="70294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5569585</wp:posOffset>
            </wp:positionH>
            <wp:positionV relativeFrom="paragraph">
              <wp:posOffset>-2747010</wp:posOffset>
            </wp:positionV>
            <wp:extent cx="4318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-2781300</wp:posOffset>
            </wp:positionV>
            <wp:extent cx="29845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29845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-2198370</wp:posOffset>
            </wp:positionV>
            <wp:extent cx="61976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-2061210</wp:posOffset>
            </wp:positionV>
            <wp:extent cx="671195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-1924050</wp:posOffset>
            </wp:positionV>
            <wp:extent cx="65493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-1649730</wp:posOffset>
            </wp:positionV>
            <wp:extent cx="11176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wp:posOffset>
            </wp:positionH>
            <wp:positionV relativeFrom="paragraph">
              <wp:posOffset>-1375410</wp:posOffset>
            </wp:positionV>
            <wp:extent cx="192024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wp:posOffset>
            </wp:positionH>
            <wp:positionV relativeFrom="paragraph">
              <wp:posOffset>-1409700</wp:posOffset>
            </wp:positionV>
            <wp:extent cx="191960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919605" cy="825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-415290</wp:posOffset>
            </wp:positionV>
            <wp:extent cx="13716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-140970</wp:posOffset>
            </wp:positionV>
            <wp:extent cx="145415"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-218440</wp:posOffset>
            </wp:positionV>
            <wp:extent cx="2857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4" w:right="459" w:bottom="1440" w:gutter="0" w:footer="0" w:header="0"/>
        </w:sectPr>
      </w:pPr>
    </w:p>
    <w:bookmarkStart w:id="158" w:name="page159"/>
    <w:bookmarkEnd w:id="15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delivered on the date (i) on which the Borrower posts such documents, or provides a link thereto on the Borrower’s website, (ii) on which such documents are posted on the Borrower’s behalf on IntraLinks/SyndTrak or another relevant website, if any, to which each Lender and the Administrative Agent have access (whether a commercial, third-party website or whether sponsored by the Administrative Agent) and with respect to material non-public information, solely to the extent any Lender chooses to access the same or (iii) on which executed certificates or other documents are faxed to the Administrative Agent (or electronically mailed to an address provided by the Administrative Agent); provided that (a) upon written request by the Administrative Agent, the Borrower shall deliver paper copies of such documents to the Administrative Agent for further distribution to each Lender until a written request to cease delivering paper copies is given by the Administrative Agent and (b) the Borrower shall notify (which may be by facsimile or electronic mail) the Administrative Agent of the posting of any such documents and provide to the Administrative Agent by electronic mail electronic versions (i.e., soft copies) of such documents.</w:t>
      </w:r>
    </w:p>
    <w:p>
      <w:pPr>
        <w:spacing w:after="0" w:line="181"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Documents required to be delivered pursuant to </w:t>
      </w:r>
      <w:r>
        <w:rPr>
          <w:rFonts w:ascii="Arial" w:cs="Arial" w:eastAsia="Arial" w:hAnsi="Arial"/>
          <w:sz w:val="18"/>
          <w:szCs w:val="18"/>
          <w:u w:val="single" w:color="auto"/>
          <w:color w:val="auto"/>
        </w:rPr>
        <w:t>Section 8.5(a)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8"/>
          <w:szCs w:val="18"/>
          <w:u w:val="single" w:color="auto"/>
          <w:color w:val="auto"/>
        </w:rPr>
        <w:t>Schedule 13.8</w:t>
      </w:r>
      <w:r>
        <w:rPr>
          <w:rFonts w:ascii="Arial" w:cs="Arial" w:eastAsia="Arial" w:hAnsi="Arial"/>
          <w:sz w:val="18"/>
          <w:szCs w:val="18"/>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Borrower shall deliver paper copies of such documents to the Administrative Agent upon its request to the Borrower to deliver such paper copies until a written request to cease delivering paper copies is given by the Administrative Agent and (ii) the Borrower shall notify the Administrative Agent (by facsimile or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-210185</wp:posOffset>
            </wp:positionV>
            <wp:extent cx="2857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4"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Borrower hereby acknowledges that (a) the Administrative Agent and/or the Arranger may, but shall not be obligated to, make available to the Lenders and the L/C Issuer materials and/or information provided by or on behalf of the Borrower hereunder (collectively, “</w:t>
      </w:r>
      <w:r>
        <w:rPr>
          <w:rFonts w:ascii="Arial" w:cs="Arial" w:eastAsia="Arial" w:hAnsi="Arial"/>
          <w:sz w:val="17"/>
          <w:szCs w:val="17"/>
          <w:i w:val="1"/>
          <w:iCs w:val="1"/>
          <w:color w:val="auto"/>
        </w:rPr>
        <w:t>Borrower Materials</w:t>
      </w:r>
      <w:r>
        <w:rPr>
          <w:rFonts w:ascii="Arial" w:cs="Arial" w:eastAsia="Arial" w:hAnsi="Arial"/>
          <w:sz w:val="17"/>
          <w:szCs w:val="17"/>
          <w:color w:val="auto"/>
        </w:rPr>
        <w:t>”) by posting the Borrower Materials on the Platform and (b) certain of the Lenders (each, a “</w:t>
      </w:r>
      <w:r>
        <w:rPr>
          <w:rFonts w:ascii="Arial" w:cs="Arial" w:eastAsia="Arial" w:hAnsi="Arial"/>
          <w:sz w:val="17"/>
          <w:szCs w:val="17"/>
          <w:i w:val="1"/>
          <w:iCs w:val="1"/>
          <w:color w:val="auto"/>
        </w:rPr>
        <w:t>Public Lender</w:t>
      </w:r>
      <w:r>
        <w:rPr>
          <w:rFonts w:ascii="Arial" w:cs="Arial" w:eastAsia="Arial" w:hAnsi="Arial"/>
          <w:sz w:val="17"/>
          <w:szCs w:val="17"/>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so long as the Borrower is the issuer of any outstanding debt or equity securities that are registered or issued pursuant to a private offering or is actively contemplating issuing any such securities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L/C Issuer and the Lenders to treat such Borrower Materials as not containing any material non-public information with respect to the Borrower or its securities for purposes of United States Federal and state securities 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13.25</w:t>
      </w:r>
      <w:r>
        <w:rPr>
          <w:rFonts w:ascii="Arial" w:cs="Arial" w:eastAsia="Arial" w:hAnsi="Arial"/>
          <w:sz w:val="17"/>
          <w:szCs w:val="17"/>
          <w:color w:val="auto"/>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-1726565</wp:posOffset>
            </wp:positionV>
            <wp:extent cx="2857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4467860</wp:posOffset>
            </wp:positionH>
            <wp:positionV relativeFrom="paragraph">
              <wp:posOffset>-1452245</wp:posOffset>
            </wp:positionV>
            <wp:extent cx="28575"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4766945</wp:posOffset>
            </wp:positionH>
            <wp:positionV relativeFrom="paragraph">
              <wp:posOffset>-217805</wp:posOffset>
            </wp:positionV>
            <wp:extent cx="2857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159" w:name="page160"/>
    <w:bookmarkEnd w:id="159"/>
    <w:p>
      <w:pPr>
        <w:ind w:left="44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8.6</w:t>
      </w:r>
      <w:r>
        <w:rPr>
          <w:sz w:val="20"/>
          <w:szCs w:val="20"/>
          <w:color w:val="auto"/>
        </w:rPr>
        <w:tab/>
      </w:r>
      <w:r>
        <w:rPr>
          <w:rFonts w:ascii="Arial" w:cs="Arial" w:eastAsia="Arial" w:hAnsi="Arial"/>
          <w:sz w:val="16"/>
          <w:szCs w:val="16"/>
          <w:i w:val="1"/>
          <w:iCs w:val="1"/>
          <w:color w:val="auto"/>
        </w:rPr>
        <w:t>Inspection; Lender Conference Calls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87" w:lineRule="auto"/>
        <w:tabs>
          <w:tab w:leader="none" w:pos="137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Holdings and the Borrower shall, and shall cause each Restricted Subsidiary to (i) keep proper books of record and accounts in which full, true and correct entries are made to permit financial statements to be prepared in conformity with GAAP and (ii) permit the Administrative Agent and/or the Collateral Agent and its duly authorized representatives and agents to visit and inspect any of its Property, corporate books, and financial records, to examine and make copies of its books of accounts and other financial records, and to discuss its affairs, finances, and accounts with, and to be advised as to the same by, its officers, employees and independent public accountants so long as the Borrower is notified of and permitted to be present at any such discussions (and by this provision the Borrower hereby authorizes such accountants to discuss with the Administrative Agent and/or the Collateral Agent the finances and affairs of the Borrower and the Restricted Subsidiaries) upon reasonable prior notice at such reasonable times during normal business hours and intervals as the Administrative Agent and/or the Collateral Agent may designate. Absent the occurrence and continuance of an Event of Default, such visits and inspections shall be at the expense of the Administrative Agent and/or the Collateral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any time that an Event of Default has occurred and is continuing, any and all such visits and inspections shall be at the Borrower’s expense, with respect to reasonable out of pocket expenses of the Administrative Agent and/or the Collateral Agent. Absent the occurrence and continuance of an Event of Default, there shall be no more than one visit and inspection per location pursuant to this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in any Fiscal Year.</w:t>
      </w:r>
    </w:p>
    <w:p>
      <w:pPr>
        <w:spacing w:after="0" w:line="167" w:lineRule="exact"/>
        <w:rPr>
          <w:rFonts w:ascii="Arial" w:cs="Arial" w:eastAsia="Arial" w:hAnsi="Arial"/>
          <w:sz w:val="16"/>
          <w:szCs w:val="16"/>
          <w:color w:val="auto"/>
        </w:rPr>
      </w:pPr>
    </w:p>
    <w:p>
      <w:pPr>
        <w:ind w:right="20" w:firstLine="987"/>
        <w:spacing w:after="0" w:line="257" w:lineRule="auto"/>
        <w:tabs>
          <w:tab w:leader="none" w:pos="137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At the request of the Administrative Agent, within ten </w:t>
      </w:r>
      <w:r>
        <w:rPr>
          <w:rFonts w:ascii="Arial" w:cs="Arial" w:eastAsia="Arial" w:hAnsi="Arial"/>
          <w:sz w:val="18"/>
          <w:szCs w:val="18"/>
          <w:u w:val="single" w:color="auto"/>
          <w:color w:val="0000E1"/>
        </w:rPr>
        <w:t>(10)</w:t>
      </w:r>
      <w:r>
        <w:rPr>
          <w:rFonts w:ascii="Arial" w:cs="Arial" w:eastAsia="Arial" w:hAnsi="Arial"/>
          <w:sz w:val="18"/>
          <w:szCs w:val="18"/>
          <w:color w:val="auto"/>
        </w:rPr>
        <w:t xml:space="preserve"> Business Days after the date of the delivery (or, if later, required delivery) of the annual financial information pursuant to </w:t>
      </w:r>
      <w:r>
        <w:rPr>
          <w:rFonts w:ascii="Arial" w:cs="Arial" w:eastAsia="Arial" w:hAnsi="Arial"/>
          <w:sz w:val="18"/>
          <w:szCs w:val="18"/>
          <w:u w:val="single" w:color="auto"/>
          <w:color w:val="auto"/>
        </w:rPr>
        <w:t>Section 8.5(b)</w:t>
      </w:r>
      <w:r>
        <w:rPr>
          <w:rFonts w:ascii="Arial" w:cs="Arial" w:eastAsia="Arial" w:hAnsi="Arial"/>
          <w:sz w:val="18"/>
          <w:szCs w:val="18"/>
          <w:color w:val="auto"/>
        </w:rPr>
        <w:t>, hold a conference call or teleconference, at a time selected by the Borrower and reasonably acceptable to the Administrative Agent, with all of the Lenders that choose to participate, to review the financial results of the previous Fiscal Year and the financial condition of Holdings and its Restricted Subsidiaries and the budgets presented for the current Fiscal Year of Holdings and its Restricted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-548005</wp:posOffset>
            </wp:positionV>
            <wp:extent cx="18859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68"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i w:val="1"/>
          <w:iCs w:val="1"/>
          <w:color w:val="auto"/>
        </w:rPr>
        <w:t>Borrowings and Guarantees.</w:t>
      </w:r>
      <w:r>
        <w:rPr>
          <w:rFonts w:ascii="Arial" w:cs="Arial" w:eastAsia="Arial" w:hAnsi="Arial"/>
          <w:sz w:val="18"/>
          <w:szCs w:val="18"/>
          <w:color w:val="auto"/>
        </w:rPr>
        <w:t xml:space="preserve"> The Borrower shall not, nor shall they permit any of its Restricted Subsidiaries to, issue, incur, assume, create or have outstanding any Indebtedness for Borrowed Money, or guarantee any Indebtedness for Borrowed Money;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foregoing shall not restrict nor operate to prevent:</w:t>
      </w:r>
    </w:p>
    <w:p>
      <w:pPr>
        <w:spacing w:after="0" w:line="184"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Obligations, Hedging Liability, and Funds Transfer, Deposit Account Liability and Foreign LCs of the Borrower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211" w:lineRule="exact"/>
        <w:rPr>
          <w:sz w:val="20"/>
          <w:szCs w:val="20"/>
          <w:color w:val="auto"/>
        </w:rPr>
      </w:pPr>
    </w:p>
    <w:p>
      <w:pPr>
        <w:ind w:right="40" w:firstLine="987"/>
        <w:spacing w:after="0" w:line="257" w:lineRule="auto"/>
        <w:tabs>
          <w:tab w:leader="none" w:pos="138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purchase money indebtedness and Capitalized Lease Obligations or other Indebtedness for Borrowed Money financing the acquisition, construction, repair, replacement or improvement of fixed or capital assets of the Restricted Group (excluding Capitalized Restaurant Lease Obligations) in an amount not to exceed the greater of (i) $30,000,000 and (ii) 10.0% of EBITDA of the Restricted Group determined on a Pro Forma Basis for the period of four consecutive fiscal quarters most recently ended for which financial statements are available, in the aggregate at any one time outstanding;</w:t>
      </w:r>
    </w:p>
    <w:p>
      <w:pPr>
        <w:spacing w:after="0" w:line="187" w:lineRule="exact"/>
        <w:rPr>
          <w:rFonts w:ascii="Arial" w:cs="Arial" w:eastAsia="Arial" w:hAnsi="Arial"/>
          <w:sz w:val="18"/>
          <w:szCs w:val="18"/>
          <w:color w:val="auto"/>
        </w:rPr>
      </w:pPr>
    </w:p>
    <w:p>
      <w:pPr>
        <w:ind w:right="40" w:firstLine="987"/>
        <w:spacing w:after="0" w:line="286" w:lineRule="auto"/>
        <w:tabs>
          <w:tab w:leader="none" w:pos="137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obligations of the Restricted Group Companies arising out of interest rate and/or foreign currency swap, exchange, cap, collar, floor, forward, future or option agreement, or any other similar interest rate or currency hedging agreements entered into in the ordinary course of business for the purposes of hedging risk associated with the business of the Restricted Group Companies and not for speculative purposes;</w:t>
      </w:r>
    </w:p>
    <w:p>
      <w:pPr>
        <w:spacing w:after="0" w:line="165" w:lineRule="exact"/>
        <w:rPr>
          <w:rFonts w:ascii="Arial" w:cs="Arial" w:eastAsia="Arial" w:hAnsi="Arial"/>
          <w:sz w:val="17"/>
          <w:szCs w:val="17"/>
          <w:color w:val="auto"/>
        </w:rPr>
      </w:pPr>
    </w:p>
    <w:p>
      <w:pPr>
        <w:ind w:right="60" w:firstLine="987"/>
        <w:spacing w:after="0" w:line="277" w:lineRule="auto"/>
        <w:tabs>
          <w:tab w:leader="none" w:pos="138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 endorsement of items for deposit or collection of commercial paper in the ordinary course of business, (ii) indebtedness in respect of netting services, overdraft protections, pooled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160" w:name="page161"/>
    <w:bookmarkEnd w:id="160"/>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deposit or sweep accounts and similar arrangements in the ordinary course of business, (iii) repurchase agreements permitted by </w:t>
      </w:r>
      <w:r>
        <w:rPr>
          <w:rFonts w:ascii="Arial" w:cs="Arial" w:eastAsia="Arial" w:hAnsi="Arial"/>
          <w:sz w:val="16"/>
          <w:szCs w:val="16"/>
          <w:u w:val="single" w:color="auto"/>
          <w:color w:val="auto"/>
        </w:rPr>
        <w:t>Section 8.9(d)</w:t>
      </w:r>
      <w:r>
        <w:rPr>
          <w:rFonts w:ascii="Arial" w:cs="Arial" w:eastAsia="Arial" w:hAnsi="Arial"/>
          <w:sz w:val="16"/>
          <w:szCs w:val="16"/>
          <w:color w:val="auto"/>
        </w:rPr>
        <w:t xml:space="preserve"> and</w:t>
      </w:r>
    </w:p>
    <w:p>
      <w:pPr>
        <w:spacing w:after="0" w:line="46" w:lineRule="exact"/>
        <w:rPr>
          <w:sz w:val="20"/>
          <w:szCs w:val="20"/>
          <w:color w:val="auto"/>
        </w:rPr>
      </w:pPr>
    </w:p>
    <w:p>
      <w:pPr>
        <w:ind w:left="4" w:right="500" w:hanging="4"/>
        <w:spacing w:after="0" w:line="260" w:lineRule="auto"/>
        <w:tabs>
          <w:tab w:leader="none" w:pos="30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indebtedness in respect of any bankers acceptance, letters of credit, bank guarantees, warehouse receipt or similar facilities entered into in the ordinary course of business;</w:t>
      </w:r>
    </w:p>
    <w:p>
      <w:pPr>
        <w:spacing w:after="0" w:line="185" w:lineRule="exact"/>
        <w:rPr>
          <w:rFonts w:ascii="Arial" w:cs="Arial" w:eastAsia="Arial" w:hAnsi="Arial"/>
          <w:sz w:val="18"/>
          <w:szCs w:val="18"/>
          <w:color w:val="auto"/>
        </w:rPr>
      </w:pPr>
    </w:p>
    <w:p>
      <w:pPr>
        <w:ind w:left="1364" w:hanging="373"/>
        <w:spacing w:after="0"/>
        <w:tabs>
          <w:tab w:leader="none" w:pos="136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 xml:space="preserve">intercompany advances and indebtedness among the Restricted Group Companies permitted by </w:t>
      </w:r>
      <w:r>
        <w:rPr>
          <w:rFonts w:ascii="Arial" w:cs="Arial" w:eastAsia="Arial" w:hAnsi="Arial"/>
          <w:sz w:val="16"/>
          <w:szCs w:val="16"/>
          <w:u w:val="single" w:color="auto"/>
          <w:color w:val="auto"/>
        </w:rPr>
        <w:t>Section</w:t>
      </w:r>
      <w:r>
        <w:rPr>
          <w:rFonts w:ascii="Arial" w:cs="Arial" w:eastAsia="Arial" w:hAnsi="Arial"/>
          <w:sz w:val="16"/>
          <w:szCs w:val="16"/>
          <w:u w:val="single" w:color="auto"/>
          <w:color w:val="0000E1"/>
        </w:rPr>
        <w:t>s</w:t>
      </w:r>
      <w:r>
        <w:rPr>
          <w:rFonts w:ascii="Arial" w:cs="Arial" w:eastAsia="Arial" w:hAnsi="Arial"/>
          <w:sz w:val="16"/>
          <w:szCs w:val="16"/>
          <w:color w:val="auto"/>
        </w:rPr>
        <w:t xml:space="preserve"> 8.9(f),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w:t>
      </w:r>
      <w:r>
        <w:rPr>
          <w:rFonts w:ascii="Arial" w:cs="Arial" w:eastAsia="Arial" w:hAnsi="Arial"/>
          <w:sz w:val="16"/>
          <w:szCs w:val="16"/>
          <w:u w:val="single" w:color="auto"/>
          <w:color w:val="auto"/>
        </w:rPr>
        <w:t>(m)</w:t>
      </w:r>
      <w:r>
        <w:rPr>
          <w:rFonts w:ascii="Arial" w:cs="Arial" w:eastAsia="Arial" w:hAnsi="Arial"/>
          <w:sz w:val="16"/>
          <w:szCs w:val="16"/>
          <w:color w:val="auto"/>
        </w:rPr>
        <w:t xml:space="preserve">, </w:t>
      </w:r>
      <w:r>
        <w:rPr>
          <w:rFonts w:ascii="Arial" w:cs="Arial" w:eastAsia="Arial" w:hAnsi="Arial"/>
          <w:sz w:val="16"/>
          <w:szCs w:val="16"/>
          <w:u w:val="single" w:color="auto"/>
          <w:color w:val="auto"/>
        </w:rPr>
        <w:t>(n)</w:t>
      </w:r>
      <w:r>
        <w:rPr>
          <w:rFonts w:ascii="Arial" w:cs="Arial" w:eastAsia="Arial" w:hAnsi="Arial"/>
          <w:sz w:val="16"/>
          <w:szCs w:val="16"/>
          <w:color w:val="auto"/>
        </w:rPr>
        <w:t xml:space="preserve">, </w:t>
      </w:r>
      <w:r>
        <w:rPr>
          <w:rFonts w:ascii="Arial" w:cs="Arial" w:eastAsia="Arial" w:hAnsi="Arial"/>
          <w:sz w:val="16"/>
          <w:szCs w:val="16"/>
          <w:u w:val="single" w:color="auto"/>
          <w:color w:val="auto"/>
        </w:rPr>
        <w:t>(o)</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u w:val="single" w:color="auto"/>
          <w:color w:val="auto"/>
        </w:rPr>
        <w:t>(p)</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(bb)</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4" w:firstLine="987"/>
        <w:spacing w:after="0" w:line="259" w:lineRule="auto"/>
        <w:tabs>
          <w:tab w:leader="none" w:pos="1355" w:val="left"/>
        </w:tabs>
        <w:numPr>
          <w:ilvl w:val="1"/>
          <w:numId w:val="183"/>
        </w:numPr>
        <w:rPr>
          <w:rFonts w:ascii="Arial" w:cs="Arial" w:eastAsia="Arial" w:hAnsi="Arial"/>
          <w:sz w:val="18"/>
          <w:szCs w:val="18"/>
          <w:color w:val="auto"/>
        </w:rPr>
      </w:pPr>
      <w:r>
        <w:rPr>
          <w:rFonts w:ascii="Arial" w:cs="Arial" w:eastAsia="Arial" w:hAnsi="Arial"/>
          <w:sz w:val="18"/>
          <w:szCs w:val="18"/>
          <w:color w:val="auto"/>
        </w:rPr>
        <w:t xml:space="preserve">guarantees of, and other contingent obligations with respect to, indebtedness, obligations, indemnifications, undertakings and products of the Restricted Group Companies otherwise permitted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guarantee of Indebtedness for Borrowed Money that is subordinated to the Obligations shall also be subordinated to the Guarantee of such Subsidiary Guarantor in the same manner as such Indebtedness for Borrowed Money is so subordinated to the Obligations;</w:t>
      </w:r>
    </w:p>
    <w:p>
      <w:pPr>
        <w:spacing w:after="0" w:line="186" w:lineRule="exact"/>
        <w:rPr>
          <w:rFonts w:ascii="Arial" w:cs="Arial" w:eastAsia="Arial" w:hAnsi="Arial"/>
          <w:sz w:val="18"/>
          <w:szCs w:val="18"/>
          <w:color w:val="auto"/>
        </w:rPr>
      </w:pPr>
    </w:p>
    <w:p>
      <w:pPr>
        <w:ind w:left="4" w:right="220" w:firstLine="987"/>
        <w:spacing w:after="0" w:line="263" w:lineRule="auto"/>
        <w:tabs>
          <w:tab w:leader="none" w:pos="1385" w:val="left"/>
        </w:tabs>
        <w:numPr>
          <w:ilvl w:val="1"/>
          <w:numId w:val="183"/>
        </w:numPr>
        <w:rPr>
          <w:rFonts w:ascii="Arial" w:cs="Arial" w:eastAsia="Arial" w:hAnsi="Arial"/>
          <w:sz w:val="18"/>
          <w:szCs w:val="18"/>
          <w:color w:val="auto"/>
        </w:rPr>
      </w:pPr>
      <w:r>
        <w:rPr>
          <w:rFonts w:ascii="Arial" w:cs="Arial" w:eastAsia="Arial" w:hAnsi="Arial"/>
          <w:sz w:val="18"/>
          <w:szCs w:val="18"/>
          <w:color w:val="auto"/>
        </w:rPr>
        <w:t xml:space="preserve">indebtedness representing any taxes, assessments, fees or governmental charges (including interest, additions to tax and penalties applicable thereto) to the extent (i) such taxes are being contested in good faith and adequate reserves have been provided therefor or (ii) the payment thereof shall not at any time be required to be made in accordance with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right="100" w:firstLine="987"/>
        <w:spacing w:after="0" w:line="287" w:lineRule="auto"/>
        <w:tabs>
          <w:tab w:leader="none" w:pos="1385" w:val="left"/>
        </w:tabs>
        <w:numPr>
          <w:ilvl w:val="1"/>
          <w:numId w:val="183"/>
        </w:numPr>
        <w:rPr>
          <w:rFonts w:ascii="Arial" w:cs="Arial" w:eastAsia="Arial" w:hAnsi="Arial"/>
          <w:sz w:val="16"/>
          <w:szCs w:val="16"/>
          <w:color w:val="auto"/>
        </w:rPr>
      </w:pPr>
      <w:r>
        <w:rPr>
          <w:rFonts w:ascii="Arial" w:cs="Arial" w:eastAsia="Arial" w:hAnsi="Arial"/>
          <w:sz w:val="16"/>
          <w:szCs w:val="16"/>
          <w:color w:val="FF0000"/>
          <w:strike w:val="1"/>
        </w:rPr>
        <w:t>(i)</w:t>
      </w:r>
      <w:r>
        <w:rPr>
          <w:rFonts w:ascii="Arial" w:cs="Arial" w:eastAsia="Arial" w:hAnsi="Arial"/>
          <w:sz w:val="16"/>
          <w:szCs w:val="16"/>
          <w:color w:val="FF0000"/>
        </w:rPr>
        <w:t xml:space="preserve"> </w:t>
      </w:r>
      <w:r>
        <w:rPr>
          <w:rFonts w:ascii="Arial" w:cs="Arial" w:eastAsia="Arial" w:hAnsi="Arial"/>
          <w:sz w:val="16"/>
          <w:szCs w:val="16"/>
          <w:u w:val="single" w:color="auto"/>
          <w:color w:val="0000E1"/>
        </w:rPr>
        <w:t>(i ) other than an incurrence thereof during the Basket Suspension Period,</w:t>
      </w:r>
      <w:r>
        <w:rPr>
          <w:rFonts w:ascii="Arial" w:cs="Arial" w:eastAsia="Arial" w:hAnsi="Arial"/>
          <w:sz w:val="16"/>
          <w:szCs w:val="16"/>
          <w:color w:val="FF0000"/>
        </w:rPr>
        <w:t xml:space="preserve"> </w:t>
      </w:r>
      <w:r>
        <w:rPr>
          <w:rFonts w:ascii="Arial" w:cs="Arial" w:eastAsia="Arial" w:hAnsi="Arial"/>
          <w:sz w:val="16"/>
          <w:szCs w:val="16"/>
          <w:color w:val="000000"/>
        </w:rPr>
        <w:t>indebtedness of any Restricted Group Company</w:t>
      </w:r>
      <w:r>
        <w:rPr>
          <w:rFonts w:ascii="Arial" w:cs="Arial" w:eastAsia="Arial" w:hAnsi="Arial"/>
          <w:sz w:val="16"/>
          <w:szCs w:val="16"/>
          <w:color w:val="FF0000"/>
        </w:rPr>
        <w:t xml:space="preserve"> </w:t>
      </w:r>
      <w:r>
        <w:rPr>
          <w:rFonts w:ascii="Arial" w:cs="Arial" w:eastAsia="Arial" w:hAnsi="Arial"/>
          <w:sz w:val="16"/>
          <w:szCs w:val="16"/>
          <w:color w:val="000000"/>
        </w:rPr>
        <w:t xml:space="preserve">(including any Person that becomes a Restricted Subsidiary) acquired pursuant to an Acquisition permitted hereunder or indebtedness assumed at the time of an Acquisition permitted hereunder;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(A) such indebtedness was not incurred in anticipation or contemplation of such Acquisition,</w:t>
      </w:r>
    </w:p>
    <w:p>
      <w:pPr>
        <w:spacing w:after="0" w:line="2" w:lineRule="exact"/>
        <w:rPr>
          <w:rFonts w:ascii="Arial" w:cs="Arial" w:eastAsia="Arial" w:hAnsi="Arial"/>
          <w:sz w:val="16"/>
          <w:szCs w:val="16"/>
          <w:color w:val="auto"/>
        </w:rPr>
      </w:pPr>
    </w:p>
    <w:p>
      <w:pPr>
        <w:ind w:left="4" w:right="60"/>
        <w:spacing w:after="0" w:line="295" w:lineRule="auto"/>
        <w:rPr>
          <w:rFonts w:ascii="Arial" w:cs="Arial" w:eastAsia="Arial" w:hAnsi="Arial"/>
          <w:sz w:val="16"/>
          <w:szCs w:val="16"/>
          <w:color w:val="auto"/>
        </w:rPr>
      </w:pPr>
      <w:r>
        <w:rPr>
          <w:rFonts w:ascii="Arial" w:cs="Arial" w:eastAsia="Arial" w:hAnsi="Arial"/>
          <w:sz w:val="16"/>
          <w:szCs w:val="16"/>
          <w:color w:val="auto"/>
        </w:rPr>
        <w:t>(B) such indebtedness is not guaranteed in any respect by any Restricted Group Company (other than by any such Person or Persons that so becomes a Restricted Subsidiary or Restricted Subsidiaries) except as otherwise permitted hereunder and (C) as of the date of the definitive documentation of such Acquisition, the Borrower shall be in compliance with a Total Leverage Ratio of 3.25:1.00 on a Pro Forma Basis as of the last day of the most recently ended fiscal quarter for which financial statements are available on or prior to the date of the definitive documentation of such Acquisition;</w:t>
      </w:r>
    </w:p>
    <w:p>
      <w:pPr>
        <w:spacing w:after="0" w:line="161" w:lineRule="exact"/>
        <w:rPr>
          <w:rFonts w:ascii="Arial" w:cs="Arial" w:eastAsia="Arial" w:hAnsi="Arial"/>
          <w:sz w:val="16"/>
          <w:szCs w:val="16"/>
          <w:color w:val="auto"/>
        </w:rPr>
      </w:pPr>
    </w:p>
    <w:p>
      <w:pPr>
        <w:jc w:val="both"/>
        <w:ind w:left="4" w:firstLine="1428"/>
        <w:spacing w:after="0" w:line="255" w:lineRule="auto"/>
        <w:tabs>
          <w:tab w:leader="none" w:pos="1746" w:val="left"/>
        </w:tabs>
        <w:numPr>
          <w:ilvl w:val="2"/>
          <w:numId w:val="183"/>
        </w:numPr>
        <w:rPr>
          <w:rFonts w:ascii="Arial" w:cs="Arial" w:eastAsia="Arial" w:hAnsi="Arial"/>
          <w:sz w:val="18"/>
          <w:szCs w:val="18"/>
          <w:color w:val="FF0000"/>
          <w:strike w:val="1"/>
        </w:rPr>
      </w:pPr>
      <w:r>
        <w:rPr>
          <w:rFonts w:ascii="Arial" w:cs="Arial" w:eastAsia="Arial" w:hAnsi="Arial"/>
          <w:sz w:val="18"/>
          <w:szCs w:val="18"/>
          <w:u w:val="single" w:color="auto"/>
          <w:color w:val="0000E1"/>
        </w:rPr>
        <w:t>(ii) other than an incurrence thereof during the Basket Suspension Period,</w:t>
      </w:r>
      <w:r>
        <w:rPr>
          <w:rFonts w:ascii="Arial" w:cs="Arial" w:eastAsia="Arial" w:hAnsi="Arial"/>
          <w:sz w:val="18"/>
          <w:szCs w:val="18"/>
          <w:color w:val="0000E1"/>
        </w:rPr>
        <w:t xml:space="preserve"> </w:t>
      </w:r>
      <w:r>
        <w:rPr>
          <w:rFonts w:ascii="Arial" w:cs="Arial" w:eastAsia="Arial" w:hAnsi="Arial"/>
          <w:sz w:val="18"/>
          <w:szCs w:val="18"/>
          <w:color w:val="000000"/>
        </w:rPr>
        <w:t>senior indebtedness, senior subordinated indebtedness</w:t>
      </w:r>
      <w:r>
        <w:rPr>
          <w:rFonts w:ascii="Arial" w:cs="Arial" w:eastAsia="Arial" w:hAnsi="Arial"/>
          <w:sz w:val="18"/>
          <w:szCs w:val="18"/>
          <w:color w:val="0000E1"/>
        </w:rPr>
        <w:t xml:space="preserve"> </w:t>
      </w:r>
      <w:r>
        <w:rPr>
          <w:rFonts w:ascii="Arial" w:cs="Arial" w:eastAsia="Arial" w:hAnsi="Arial"/>
          <w:sz w:val="18"/>
          <w:szCs w:val="18"/>
          <w:color w:val="000000"/>
        </w:rPr>
        <w:t xml:space="preserve">and Subordinated Debt (including Seller Debt) of the Borrower and/or any of its Domestic Subsidiaries (including any Person that becomes a Restricted Subsidiary, but excluding any Disregarded Domestic Person) incurred to finance an Acquisition permitted hereunder;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as of the date of the definitive documentation of such Acquisition, the Borrower shall be in compliance with a Total Leverage Ratio of 3.25:1.00 on a Pro Forma Basis as of the last day of the most recently ended fiscal quarter for which financial statements are available on or prior to the date of the definitive documentation of such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5597525</wp:posOffset>
            </wp:positionH>
            <wp:positionV relativeFrom="paragraph">
              <wp:posOffset>-3425825</wp:posOffset>
            </wp:positionV>
            <wp:extent cx="51435"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-3460115</wp:posOffset>
            </wp:positionV>
            <wp:extent cx="28575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285750"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-1779905</wp:posOffset>
            </wp:positionV>
            <wp:extent cx="3368675"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3368675" cy="8890"/>
                    </a:xfrm>
                    <a:prstGeom prst="rect">
                      <a:avLst/>
                    </a:prstGeom>
                    <a:noFill/>
                  </pic:spPr>
                </pic:pic>
              </a:graphicData>
            </a:graphic>
          </wp:anchor>
        </w:drawing>
        <w:drawing>
          <wp:anchor simplePos="0" relativeHeight="251657728" behindDoc="1" locked="0" layoutInCell="0" allowOverlap="1">
            <wp:simplePos x="0" y="0"/>
            <wp:positionH relativeFrom="column">
              <wp:posOffset>1105535</wp:posOffset>
            </wp:positionH>
            <wp:positionV relativeFrom="paragraph">
              <wp:posOffset>-682625</wp:posOffset>
            </wp:positionV>
            <wp:extent cx="339471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72" w:lineRule="exact"/>
        <w:rPr>
          <w:sz w:val="20"/>
          <w:szCs w:val="20"/>
          <w:color w:val="auto"/>
        </w:rPr>
      </w:pPr>
    </w:p>
    <w:p>
      <w:pPr>
        <w:ind w:left="1404" w:hanging="413"/>
        <w:spacing w:after="0"/>
        <w:tabs>
          <w:tab w:leader="none" w:pos="1404" w:val="left"/>
        </w:tabs>
        <w:numPr>
          <w:ilvl w:val="0"/>
          <w:numId w:val="184"/>
        </w:numPr>
        <w:rPr>
          <w:rFonts w:ascii="Arial" w:cs="Arial" w:eastAsia="Arial" w:hAnsi="Arial"/>
          <w:sz w:val="18"/>
          <w:szCs w:val="18"/>
          <w:color w:val="FF0000"/>
          <w:strike w:val="1"/>
        </w:rPr>
      </w:pPr>
      <w:r>
        <w:rPr>
          <w:rFonts w:ascii="Arial" w:cs="Arial" w:eastAsia="Arial" w:hAnsi="Arial"/>
          <w:sz w:val="18"/>
          <w:szCs w:val="18"/>
          <w:u w:val="single" w:color="auto"/>
          <w:color w:val="0000E1"/>
        </w:rPr>
        <w:t>and (iii)</w:t>
      </w:r>
      <w:r>
        <w:rPr>
          <w:rFonts w:ascii="Arial" w:cs="Arial" w:eastAsia="Arial" w:hAnsi="Arial"/>
          <w:sz w:val="18"/>
          <w:szCs w:val="18"/>
          <w:color w:val="0000E1"/>
        </w:rPr>
        <w:t xml:space="preserve"> </w:t>
      </w:r>
      <w:r>
        <w:rPr>
          <w:rFonts w:ascii="Arial" w:cs="Arial" w:eastAsia="Arial" w:hAnsi="Arial"/>
          <w:sz w:val="18"/>
          <w:szCs w:val="18"/>
          <w:color w:val="000000"/>
        </w:rPr>
        <w:t>any Permitted Refinancing of indebtedness set forth in</w:t>
      </w:r>
      <w:r>
        <w:rPr>
          <w:rFonts w:ascii="Arial" w:cs="Arial" w:eastAsia="Arial" w:hAnsi="Arial"/>
          <w:sz w:val="18"/>
          <w:szCs w:val="18"/>
          <w:color w:val="0000E1"/>
        </w:rPr>
        <w:t xml:space="preserve"> </w:t>
      </w:r>
      <w:r>
        <w:rPr>
          <w:rFonts w:ascii="Arial" w:cs="Arial" w:eastAsia="Arial" w:hAnsi="Arial"/>
          <w:sz w:val="18"/>
          <w:szCs w:val="18"/>
          <w:u w:val="single" w:color="auto"/>
          <w:color w:val="000000"/>
        </w:rPr>
        <w:t>clauses (i)</w:t>
      </w:r>
      <w:r>
        <w:rPr>
          <w:rFonts w:ascii="Arial" w:cs="Arial" w:eastAsia="Arial" w:hAnsi="Arial"/>
          <w:sz w:val="18"/>
          <w:szCs w:val="18"/>
          <w:color w:val="0000E1"/>
        </w:rPr>
        <w:t xml:space="preserve"> </w:t>
      </w:r>
      <w:r>
        <w:rPr>
          <w:rFonts w:ascii="Arial" w:cs="Arial" w:eastAsia="Arial" w:hAnsi="Arial"/>
          <w:sz w:val="18"/>
          <w:szCs w:val="18"/>
          <w:color w:val="000000"/>
        </w:rPr>
        <w:t>and</w:t>
      </w:r>
      <w:r>
        <w:rPr>
          <w:rFonts w:ascii="Arial" w:cs="Arial" w:eastAsia="Arial" w:hAnsi="Arial"/>
          <w:sz w:val="18"/>
          <w:szCs w:val="18"/>
          <w:color w:val="0000E1"/>
        </w:rPr>
        <w:t xml:space="preserve"> </w:t>
      </w:r>
      <w:r>
        <w:rPr>
          <w:rFonts w:ascii="Arial" w:cs="Arial" w:eastAsia="Arial" w:hAnsi="Arial"/>
          <w:sz w:val="18"/>
          <w:szCs w:val="18"/>
          <w:u w:val="single" w:color="auto"/>
          <w:color w:val="000000"/>
        </w:rPr>
        <w:t>(ii)</w:t>
      </w:r>
      <w:r>
        <w:rPr>
          <w:rFonts w:ascii="Arial" w:cs="Arial" w:eastAsia="Arial" w:hAnsi="Arial"/>
          <w:sz w:val="18"/>
          <w:szCs w:val="18"/>
          <w:color w:val="0000E1"/>
        </w:rPr>
        <w:t xml:space="preserve"> </w:t>
      </w:r>
      <w:r>
        <w:rPr>
          <w:rFonts w:ascii="Arial" w:cs="Arial" w:eastAsia="Arial" w:hAnsi="Arial"/>
          <w:sz w:val="18"/>
          <w:szCs w:val="18"/>
          <w:color w:val="000000"/>
        </w:rPr>
        <w:t>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23495</wp:posOffset>
            </wp:positionV>
            <wp:extent cx="39433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205" w:lineRule="exact"/>
        <w:rPr>
          <w:sz w:val="20"/>
          <w:szCs w:val="20"/>
          <w:color w:val="auto"/>
        </w:rPr>
      </w:pPr>
    </w:p>
    <w:p>
      <w:pPr>
        <w:ind w:left="4" w:right="120" w:firstLine="987"/>
        <w:spacing w:after="0" w:line="293" w:lineRule="auto"/>
        <w:tabs>
          <w:tab w:leader="none" w:pos="134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(i) indebtedness of the Restricted Group Companies with respect to the performance of bids, tenders, trade contracts, governmental contracts and leases (other than, in each case, indebtedness representing borrowed money), performance bonds, completion guarantees, statutory obligations, stay or surety bonds, appeal bonds or customs bonds and obligations of like nature (including those to secure health, safety and environmental obligations), (ii) obligations in respect of letters of credit, bank guarantees or similar instruments in support of the items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in each case in the ordinary course of business and (iii) indebtedness of the Restricted Group Companies in connection with the enforcement of rights or claims of the Borrower or any Restricted Subsidiary in connection with judgments that do not result in an Event of Default;</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84"/>
          </w:cols>
          <w:pgMar w:left="436" w:top="274" w:right="479" w:bottom="1440" w:gutter="0" w:footer="0" w:header="0"/>
        </w:sectPr>
      </w:pPr>
    </w:p>
    <w:bookmarkStart w:id="161" w:name="page162"/>
    <w:bookmarkEnd w:id="161"/>
    <w:p>
      <w:pPr>
        <w:ind w:left="4" w:firstLine="987"/>
        <w:spacing w:after="0" w:line="275" w:lineRule="auto"/>
        <w:tabs>
          <w:tab w:leader="none" w:pos="1345" w:val="left"/>
        </w:tabs>
        <w:numPr>
          <w:ilvl w:val="1"/>
          <w:numId w:val="1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indebtedness of the Restricted Group Companies which may be deemed to exist in accordance with GAAP in connection with agreements providing for indemnification, Earnout Payments, incentive, non-compete, consulting, deferred compensation, purchase price adjustments and similar obligations in connection with the acquisition or sale, transfer, lease or other disposition of assets in accordance with the requirements of this Agreement, including Acquisitions permitted hereunder, so long as any such obligations are those of the Person making the respective acquisition or sale, and are not guaranteed by any other Person except as otherwise permitted hereunder;</w:t>
      </w:r>
    </w:p>
    <w:p>
      <w:pPr>
        <w:spacing w:after="0" w:line="176" w:lineRule="exact"/>
        <w:rPr>
          <w:rFonts w:ascii="Arial" w:cs="Arial" w:eastAsia="Arial" w:hAnsi="Arial"/>
          <w:sz w:val="17"/>
          <w:szCs w:val="17"/>
          <w:color w:val="auto"/>
        </w:rPr>
      </w:pPr>
    </w:p>
    <w:p>
      <w:pPr>
        <w:ind w:left="4" w:right="40" w:firstLine="987"/>
        <w:spacing w:after="0" w:line="259" w:lineRule="auto"/>
        <w:tabs>
          <w:tab w:leader="none" w:pos="1430"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0000E1"/>
        </w:rPr>
        <w:t>other than an incurrence thereof during the Basket Suspension Period,</w:t>
      </w:r>
      <w:r>
        <w:rPr>
          <w:rFonts w:ascii="Arial" w:cs="Arial" w:eastAsia="Arial" w:hAnsi="Arial"/>
          <w:sz w:val="18"/>
          <w:szCs w:val="18"/>
          <w:color w:val="0000E1"/>
        </w:rPr>
        <w:t xml:space="preserve"> </w:t>
      </w:r>
      <w:r>
        <w:rPr>
          <w:rFonts w:ascii="Arial" w:cs="Arial" w:eastAsia="Arial" w:hAnsi="Arial"/>
          <w:sz w:val="18"/>
          <w:szCs w:val="18"/>
          <w:color w:val="000000"/>
        </w:rPr>
        <w:t>indebtedness of the Restricted Group Companies not</w:t>
      </w:r>
      <w:r>
        <w:rPr>
          <w:rFonts w:ascii="Arial" w:cs="Arial" w:eastAsia="Arial" w:hAnsi="Arial"/>
          <w:sz w:val="18"/>
          <w:szCs w:val="18"/>
          <w:color w:val="0000E1"/>
        </w:rPr>
        <w:t xml:space="preserve"> </w:t>
      </w:r>
      <w:r>
        <w:rPr>
          <w:rFonts w:ascii="Arial" w:cs="Arial" w:eastAsia="Arial" w:hAnsi="Arial"/>
          <w:sz w:val="18"/>
          <w:szCs w:val="18"/>
          <w:color w:val="000000"/>
        </w:rPr>
        <w:t xml:space="preserve">exceeding the greater of (i) $20,000,000 and (ii) 10.0% of EBITDA of the Restricted Group Companies determined on a Pro Forma Basis for the period of four consecutive fiscal quarters most recently ended for which financial statements are available, in aggregate principal amount at any one time outstanding, which indebtedness may be secured to the extent permitted under </w:t>
      </w:r>
      <w:r>
        <w:rPr>
          <w:rFonts w:ascii="Arial" w:cs="Arial" w:eastAsia="Arial" w:hAnsi="Arial"/>
          <w:sz w:val="18"/>
          <w:szCs w:val="18"/>
          <w:u w:val="single" w:color="auto"/>
          <w:color w:val="000000"/>
        </w:rPr>
        <w:t>Section 8.8</w:t>
      </w:r>
      <w:r>
        <w:rPr>
          <w:rFonts w:ascii="Arial" w:cs="Arial" w:eastAsia="Arial" w:hAnsi="Arial"/>
          <w:sz w:val="18"/>
          <w:szCs w:val="18"/>
          <w:color w:val="000000"/>
        </w:rPr>
        <w:t>;</w:t>
      </w:r>
    </w:p>
    <w:p>
      <w:pPr>
        <w:spacing w:after="0" w:line="186" w:lineRule="exact"/>
        <w:rPr>
          <w:rFonts w:ascii="Arial" w:cs="Arial" w:eastAsia="Arial" w:hAnsi="Arial"/>
          <w:sz w:val="18"/>
          <w:szCs w:val="18"/>
          <w:color w:val="auto"/>
        </w:rPr>
      </w:pPr>
    </w:p>
    <w:p>
      <w:pPr>
        <w:ind w:left="4" w:right="80" w:firstLine="987"/>
        <w:spacing w:after="0" w:line="277" w:lineRule="auto"/>
        <w:tabs>
          <w:tab w:leader="none" w:pos="1345"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the principal amount of indebtedness not to exceed the amounts set forth on </w:t>
      </w:r>
      <w:r>
        <w:rPr>
          <w:rFonts w:ascii="Arial" w:cs="Arial" w:eastAsia="Arial" w:hAnsi="Arial"/>
          <w:sz w:val="18"/>
          <w:szCs w:val="18"/>
          <w:u w:val="single" w:color="auto"/>
          <w:color w:val="auto"/>
        </w:rPr>
        <w:t>Schedule 8.7</w:t>
      </w:r>
      <w:r>
        <w:rPr>
          <w:rFonts w:ascii="Arial" w:cs="Arial" w:eastAsia="Arial" w:hAnsi="Arial"/>
          <w:sz w:val="18"/>
          <w:szCs w:val="18"/>
          <w:color w:val="auto"/>
        </w:rPr>
        <w:t xml:space="preserve"> and any Permitted Refinancing thereof and renewals and extensions thereof;</w:t>
      </w:r>
    </w:p>
    <w:p>
      <w:pPr>
        <w:spacing w:after="0" w:line="170" w:lineRule="exact"/>
        <w:rPr>
          <w:rFonts w:ascii="Arial" w:cs="Arial" w:eastAsia="Arial" w:hAnsi="Arial"/>
          <w:sz w:val="18"/>
          <w:szCs w:val="18"/>
          <w:color w:val="auto"/>
        </w:rPr>
      </w:pPr>
    </w:p>
    <w:p>
      <w:pPr>
        <w:ind w:left="1424" w:hanging="433"/>
        <w:spacing w:after="0"/>
        <w:tabs>
          <w:tab w:leader="none" w:pos="142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indebtedness incurred in the ordinary course of business in connection with (i) the financing of insurance premiums or</w:t>
      </w:r>
    </w:p>
    <w:p>
      <w:pPr>
        <w:spacing w:after="0" w:line="23" w:lineRule="exact"/>
        <w:rPr>
          <w:rFonts w:ascii="Arial" w:cs="Arial" w:eastAsia="Arial" w:hAnsi="Arial"/>
          <w:sz w:val="18"/>
          <w:szCs w:val="18"/>
          <w:color w:val="auto"/>
        </w:rPr>
      </w:pPr>
    </w:p>
    <w:p>
      <w:pPr>
        <w:ind w:left="264" w:hanging="264"/>
        <w:spacing w:after="0"/>
        <w:tabs>
          <w:tab w:leader="none" w:pos="26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take-or-pay obligations in supply or trade arrangements;</w:t>
      </w:r>
    </w:p>
    <w:p>
      <w:pPr>
        <w:spacing w:after="0" w:line="210" w:lineRule="exact"/>
        <w:rPr>
          <w:rFonts w:ascii="Arial" w:cs="Arial" w:eastAsia="Arial" w:hAnsi="Arial"/>
          <w:sz w:val="18"/>
          <w:szCs w:val="18"/>
          <w:color w:val="auto"/>
        </w:rPr>
      </w:pPr>
    </w:p>
    <w:p>
      <w:pPr>
        <w:ind w:left="4" w:right="20" w:firstLine="987"/>
        <w:spacing w:after="0" w:line="254" w:lineRule="auto"/>
        <w:tabs>
          <w:tab w:leader="none" w:pos="138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0000E1"/>
        </w:rPr>
        <w:t>other than an incurrence thereof during the Basket Suspension Period,</w:t>
      </w:r>
      <w:r>
        <w:rPr>
          <w:rFonts w:ascii="Arial" w:cs="Arial" w:eastAsia="Arial" w:hAnsi="Arial"/>
          <w:sz w:val="18"/>
          <w:szCs w:val="18"/>
          <w:color w:val="auto"/>
        </w:rPr>
        <w:t xml:space="preserve"> subject to satisfaction of the Incurrence Test described below, unsecured senior indebtedness, unsecured senior subordinated indebtedness and unsecured Subordinated Debt (including Seller Debt) (including, without limitation, guarantees thereof meeting the requirements set forth in the proviso to </w:t>
      </w:r>
      <w:r>
        <w:rPr>
          <w:rFonts w:ascii="Arial" w:cs="Arial" w:eastAsia="Arial" w:hAnsi="Arial"/>
          <w:sz w:val="18"/>
          <w:szCs w:val="18"/>
          <w:u w:val="single" w:color="auto"/>
          <w:color w:val="auto"/>
        </w:rPr>
        <w:t>Section 8.7(f)</w:t>
      </w:r>
      <w:r>
        <w:rPr>
          <w:rFonts w:ascii="Arial" w:cs="Arial" w:eastAsia="Arial" w:hAnsi="Arial"/>
          <w:sz w:val="18"/>
          <w:szCs w:val="18"/>
          <w:color w:val="auto"/>
        </w:rPr>
        <w:t xml:space="preserve">) and (ii) any Permitted Refinancing thereof. As used in this </w:t>
      </w:r>
      <w:r>
        <w:rPr>
          <w:rFonts w:ascii="Arial" w:cs="Arial" w:eastAsia="Arial" w:hAnsi="Arial"/>
          <w:sz w:val="18"/>
          <w:szCs w:val="18"/>
          <w:u w:val="single" w:color="auto"/>
          <w:color w:val="auto"/>
        </w:rPr>
        <w:t>Section 8.7(n)</w:t>
      </w:r>
      <w:r>
        <w:rPr>
          <w:rFonts w:ascii="Arial" w:cs="Arial" w:eastAsia="Arial" w:hAnsi="Arial"/>
          <w:sz w:val="18"/>
          <w:szCs w:val="18"/>
          <w:color w:val="auto"/>
        </w:rPr>
        <w:t>, “</w:t>
      </w:r>
      <w:r>
        <w:rPr>
          <w:rFonts w:ascii="Arial" w:cs="Arial" w:eastAsia="Arial" w:hAnsi="Arial"/>
          <w:sz w:val="18"/>
          <w:szCs w:val="18"/>
          <w:i w:val="1"/>
          <w:iCs w:val="1"/>
          <w:color w:val="auto"/>
        </w:rPr>
        <w:t>Incurrence Test</w:t>
      </w:r>
      <w:r>
        <w:rPr>
          <w:rFonts w:ascii="Arial" w:cs="Arial" w:eastAsia="Arial" w:hAnsi="Arial"/>
          <w:sz w:val="18"/>
          <w:szCs w:val="18"/>
          <w:color w:val="auto"/>
        </w:rPr>
        <w:t xml:space="preserve">” means all of the following conditions shall have been satisfied after giving effect to the incurrence of any such indebtedness: (i) no Default or Event of Default shall exist as of the date of the incurrence of such indebtedness, including with respect to the financial covenants contained in </w:t>
      </w:r>
      <w:r>
        <w:rPr>
          <w:rFonts w:ascii="Arial" w:cs="Arial" w:eastAsia="Arial" w:hAnsi="Arial"/>
          <w:sz w:val="18"/>
          <w:szCs w:val="18"/>
          <w:u w:val="single" w:color="auto"/>
          <w:color w:val="auto"/>
        </w:rPr>
        <w:t>Section 8.22</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on a Pro Forma Basis and (ii) the Borrower shall have delivered to the Administrative Agent evidence reasonably satisfactory to the Administrative Agent that the Borrower would have a Total Leverage Ratio on a Pro Forma Basis of not greater than 3.50:1.00;</w:t>
      </w:r>
    </w:p>
    <w:p>
      <w:pPr>
        <w:spacing w:after="0" w:line="191" w:lineRule="exact"/>
        <w:rPr>
          <w:rFonts w:ascii="Arial" w:cs="Arial" w:eastAsia="Arial" w:hAnsi="Arial"/>
          <w:sz w:val="18"/>
          <w:szCs w:val="18"/>
          <w:color w:val="auto"/>
        </w:rPr>
      </w:pPr>
    </w:p>
    <w:p>
      <w:pPr>
        <w:ind w:left="1424" w:hanging="433"/>
        <w:spacing w:after="0"/>
        <w:tabs>
          <w:tab w:leader="none" w:pos="1424" w:val="left"/>
        </w:tabs>
        <w:numPr>
          <w:ilvl w:val="1"/>
          <w:numId w:val="187"/>
        </w:numPr>
        <w:rPr>
          <w:rFonts w:ascii="Arial" w:cs="Arial" w:eastAsia="Arial" w:hAnsi="Arial"/>
          <w:sz w:val="18"/>
          <w:szCs w:val="18"/>
          <w:u w:val="single" w:color="auto"/>
          <w:color w:val="0000E1"/>
        </w:rPr>
      </w:pPr>
      <w:r>
        <w:rPr>
          <w:rFonts w:ascii="Arial" w:cs="Arial" w:eastAsia="Arial" w:hAnsi="Arial"/>
          <w:sz w:val="18"/>
          <w:szCs w:val="18"/>
          <w:u w:val="single" w:color="auto"/>
          <w:color w:val="0000E1"/>
        </w:rPr>
        <w:t>indebtedness in respect of:</w:t>
      </w:r>
    </w:p>
    <w:p>
      <w:pPr>
        <w:spacing w:after="0" w:line="225" w:lineRule="exact"/>
        <w:rPr>
          <w:rFonts w:ascii="Arial" w:cs="Arial" w:eastAsia="Arial" w:hAnsi="Arial"/>
          <w:sz w:val="18"/>
          <w:szCs w:val="18"/>
          <w:u w:val="single" w:color="auto"/>
          <w:color w:val="0000E1"/>
        </w:rPr>
      </w:pPr>
    </w:p>
    <w:p>
      <w:pPr>
        <w:ind w:left="4" w:right="40" w:firstLine="1428"/>
        <w:spacing w:after="0" w:line="253" w:lineRule="auto"/>
        <w:tabs>
          <w:tab w:leader="none" w:pos="1786" w:val="left"/>
        </w:tabs>
        <w:numPr>
          <w:ilvl w:val="2"/>
          <w:numId w:val="187"/>
        </w:numPr>
        <w:rPr>
          <w:rFonts w:ascii="Arial" w:cs="Arial" w:eastAsia="Arial" w:hAnsi="Arial"/>
          <w:sz w:val="18"/>
          <w:szCs w:val="18"/>
          <w:u w:val="single" w:color="auto"/>
          <w:color w:val="0000E1"/>
        </w:rPr>
      </w:pPr>
      <w:r>
        <w:rPr>
          <w:rFonts w:ascii="Arial" w:cs="Arial" w:eastAsia="Arial" w:hAnsi="Arial"/>
          <w:sz w:val="18"/>
          <w:szCs w:val="18"/>
          <w:color w:val="FF0000"/>
          <w:strike w:val="1"/>
        </w:rPr>
        <w:t>(o)</w:t>
      </w:r>
      <w:r>
        <w:rPr>
          <w:rFonts w:ascii="Arial" w:cs="Arial" w:eastAsia="Arial" w:hAnsi="Arial"/>
          <w:sz w:val="18"/>
          <w:szCs w:val="18"/>
          <w:color w:val="FF0000"/>
        </w:rPr>
        <w:t xml:space="preserve"> </w:t>
      </w:r>
      <w:r>
        <w:rPr>
          <w:rFonts w:ascii="Arial" w:cs="Arial" w:eastAsia="Arial" w:hAnsi="Arial"/>
          <w:sz w:val="18"/>
          <w:szCs w:val="18"/>
          <w:u w:val="single" w:color="auto"/>
          <w:color w:val="0000E1"/>
        </w:rPr>
        <w:t>other than an incurrence thereof during the Basket Suspension Period,</w:t>
      </w:r>
      <w:r>
        <w:rPr>
          <w:rFonts w:ascii="Arial" w:cs="Arial" w:eastAsia="Arial" w:hAnsi="Arial"/>
          <w:sz w:val="18"/>
          <w:szCs w:val="18"/>
          <w:color w:val="FF0000"/>
        </w:rPr>
        <w:t xml:space="preserve"> </w:t>
      </w:r>
      <w:r>
        <w:rPr>
          <w:rFonts w:ascii="Arial" w:cs="Arial" w:eastAsia="Arial" w:hAnsi="Arial"/>
          <w:sz w:val="18"/>
          <w:szCs w:val="18"/>
          <w:color w:val="000000"/>
        </w:rPr>
        <w:t>secured or unsecured notes or junior secured or</w:t>
      </w:r>
      <w:r>
        <w:rPr>
          <w:rFonts w:ascii="Arial" w:cs="Arial" w:eastAsia="Arial" w:hAnsi="Arial"/>
          <w:sz w:val="18"/>
          <w:szCs w:val="18"/>
          <w:color w:val="FF0000"/>
        </w:rPr>
        <w:t xml:space="preserve"> </w:t>
      </w:r>
      <w:r>
        <w:rPr>
          <w:rFonts w:ascii="Arial" w:cs="Arial" w:eastAsia="Arial" w:hAnsi="Arial"/>
          <w:sz w:val="18"/>
          <w:szCs w:val="18"/>
          <w:color w:val="000000"/>
        </w:rPr>
        <w:t>unsecured loans issued by the Borrower (or a corporate co-issuer in addition thereto) in lieu of New Term Loans (such notes, “</w:t>
      </w:r>
      <w:r>
        <w:rPr>
          <w:rFonts w:ascii="Arial" w:cs="Arial" w:eastAsia="Arial" w:hAnsi="Arial"/>
          <w:sz w:val="18"/>
          <w:szCs w:val="18"/>
          <w:i w:val="1"/>
          <w:iCs w:val="1"/>
          <w:color w:val="000000"/>
        </w:rPr>
        <w:t>Incremental Equivalent</w:t>
      </w:r>
      <w:r>
        <w:rPr>
          <w:rFonts w:ascii="Arial" w:cs="Arial" w:eastAsia="Arial" w:hAnsi="Arial"/>
          <w:sz w:val="18"/>
          <w:szCs w:val="18"/>
          <w:color w:val="000000"/>
        </w:rPr>
        <w:t xml:space="preserve"> </w:t>
      </w:r>
      <w:r>
        <w:rPr>
          <w:rFonts w:ascii="Arial" w:cs="Arial" w:eastAsia="Arial" w:hAnsi="Arial"/>
          <w:sz w:val="18"/>
          <w:szCs w:val="18"/>
          <w:i w:val="1"/>
          <w:iCs w:val="1"/>
          <w:color w:val="000000"/>
        </w:rPr>
        <w:t>Debt</w:t>
      </w:r>
      <w:r>
        <w:rPr>
          <w:rFonts w:ascii="Arial" w:cs="Arial" w:eastAsia="Arial" w:hAnsi="Arial"/>
          <w:sz w:val="18"/>
          <w:szCs w:val="18"/>
          <w:color w:val="000000"/>
        </w:rPr>
        <w:t>”);</w:t>
      </w:r>
      <w:r>
        <w:rPr>
          <w:rFonts w:ascii="Arial" w:cs="Arial" w:eastAsia="Arial" w:hAnsi="Arial"/>
          <w:sz w:val="18"/>
          <w:szCs w:val="18"/>
          <w:i w:val="1"/>
          <w:iCs w:val="1"/>
          <w:color w:val="000000"/>
        </w:rPr>
        <w:t xml:space="preserve"> provided </w:t>
      </w:r>
      <w:r>
        <w:rPr>
          <w:rFonts w:ascii="Arial" w:cs="Arial" w:eastAsia="Arial" w:hAnsi="Arial"/>
          <w:sz w:val="18"/>
          <w:szCs w:val="18"/>
          <w:color w:val="000000"/>
        </w:rPr>
        <w:t>that (i) the aggregate outstanding principal amount of all Incremental Equivalent Debt, together with the aggregate outstanding</w:t>
      </w:r>
      <w:r>
        <w:rPr>
          <w:rFonts w:ascii="Arial" w:cs="Arial" w:eastAsia="Arial" w:hAnsi="Arial"/>
          <w:sz w:val="18"/>
          <w:szCs w:val="18"/>
          <w:i w:val="1"/>
          <w:iCs w:val="1"/>
          <w:color w:val="000000"/>
        </w:rPr>
        <w:t xml:space="preserve"> </w:t>
      </w:r>
      <w:r>
        <w:rPr>
          <w:rFonts w:ascii="Arial" w:cs="Arial" w:eastAsia="Arial" w:hAnsi="Arial"/>
          <w:sz w:val="18"/>
          <w:szCs w:val="18"/>
          <w:color w:val="000000"/>
        </w:rPr>
        <w:t xml:space="preserve">principal amount (or committed amount, if applicable) of all New Term Loans, New Revolving Loans, New Term Loan Commitments and New Revolving Credit Commitments provided pursuant to </w:t>
      </w:r>
      <w:r>
        <w:rPr>
          <w:rFonts w:ascii="Arial" w:cs="Arial" w:eastAsia="Arial" w:hAnsi="Arial"/>
          <w:sz w:val="18"/>
          <w:szCs w:val="18"/>
          <w:u w:val="single" w:color="auto"/>
          <w:color w:val="000000"/>
        </w:rPr>
        <w:t>Section 1.16</w:t>
      </w:r>
      <w:r>
        <w:rPr>
          <w:rFonts w:ascii="Arial" w:cs="Arial" w:eastAsia="Arial" w:hAnsi="Arial"/>
          <w:sz w:val="18"/>
          <w:szCs w:val="18"/>
          <w:color w:val="000000"/>
        </w:rPr>
        <w:t xml:space="preserve"> (other than those provided solely in reliance on </w:t>
      </w:r>
      <w:r>
        <w:rPr>
          <w:rFonts w:ascii="Arial" w:cs="Arial" w:eastAsia="Arial" w:hAnsi="Arial"/>
          <w:sz w:val="18"/>
          <w:szCs w:val="18"/>
          <w:u w:val="single" w:color="auto"/>
          <w:color w:val="000000"/>
        </w:rPr>
        <w:t>clause (i)(B)</w:t>
      </w:r>
      <w:r>
        <w:rPr>
          <w:rFonts w:ascii="Arial" w:cs="Arial" w:eastAsia="Arial" w:hAnsi="Arial"/>
          <w:sz w:val="18"/>
          <w:szCs w:val="18"/>
          <w:color w:val="000000"/>
        </w:rPr>
        <w:t xml:space="preserve"> to the proviso to </w:t>
      </w:r>
      <w:r>
        <w:rPr>
          <w:rFonts w:ascii="Arial" w:cs="Arial" w:eastAsia="Arial" w:hAnsi="Arial"/>
          <w:sz w:val="18"/>
          <w:szCs w:val="18"/>
          <w:u w:val="single" w:color="auto"/>
          <w:color w:val="000000"/>
        </w:rPr>
        <w:t>Section 1.16(a)</w:t>
      </w:r>
      <w:r>
        <w:rPr>
          <w:rFonts w:ascii="Arial" w:cs="Arial" w:eastAsia="Arial" w:hAnsi="Arial"/>
          <w:sz w:val="18"/>
          <w:szCs w:val="18"/>
          <w:color w:val="000000"/>
        </w:rPr>
        <w:t xml:space="preserve">), shall not exceed the sum of (x) the amount described in </w:t>
      </w:r>
      <w:r>
        <w:rPr>
          <w:rFonts w:ascii="Arial" w:cs="Arial" w:eastAsia="Arial" w:hAnsi="Arial"/>
          <w:sz w:val="18"/>
          <w:szCs w:val="18"/>
          <w:u w:val="single" w:color="auto"/>
          <w:color w:val="000000"/>
        </w:rPr>
        <w:t>clause (i)(A)</w:t>
      </w:r>
      <w:r>
        <w:rPr>
          <w:rFonts w:ascii="Arial" w:cs="Arial" w:eastAsia="Arial" w:hAnsi="Arial"/>
          <w:sz w:val="18"/>
          <w:szCs w:val="18"/>
          <w:color w:val="000000"/>
        </w:rPr>
        <w:t xml:space="preserve"> of the proviso to </w:t>
      </w:r>
      <w:r>
        <w:rPr>
          <w:rFonts w:ascii="Arial" w:cs="Arial" w:eastAsia="Arial" w:hAnsi="Arial"/>
          <w:sz w:val="18"/>
          <w:szCs w:val="18"/>
          <w:u w:val="single" w:color="auto"/>
          <w:color w:val="000000"/>
        </w:rPr>
        <w:t>Section 1.16(a)</w:t>
      </w:r>
      <w:r>
        <w:rPr>
          <w:rFonts w:ascii="Arial" w:cs="Arial" w:eastAsia="Arial" w:hAnsi="Arial"/>
          <w:sz w:val="18"/>
          <w:szCs w:val="18"/>
          <w:color w:val="000000"/>
        </w:rPr>
        <w:t xml:space="preserve"> </w:t>
      </w:r>
      <w:r>
        <w:rPr>
          <w:rFonts w:ascii="Arial" w:cs="Arial" w:eastAsia="Arial" w:hAnsi="Arial"/>
          <w:sz w:val="18"/>
          <w:szCs w:val="18"/>
          <w:i w:val="1"/>
          <w:iCs w:val="1"/>
          <w:color w:val="000000"/>
        </w:rPr>
        <w:t>plus</w:t>
      </w:r>
      <w:r>
        <w:rPr>
          <w:rFonts w:ascii="Arial" w:cs="Arial" w:eastAsia="Arial" w:hAnsi="Arial"/>
          <w:sz w:val="18"/>
          <w:szCs w:val="18"/>
          <w:color w:val="000000"/>
        </w:rPr>
        <w:t xml:space="preserve"> (y) the amount described in </w:t>
      </w:r>
      <w:r>
        <w:rPr>
          <w:rFonts w:ascii="Arial" w:cs="Arial" w:eastAsia="Arial" w:hAnsi="Arial"/>
          <w:sz w:val="18"/>
          <w:szCs w:val="18"/>
          <w:u w:val="single" w:color="auto"/>
          <w:color w:val="000000"/>
        </w:rPr>
        <w:t>clause (i)(C)</w:t>
      </w:r>
      <w:r>
        <w:rPr>
          <w:rFonts w:ascii="Arial" w:cs="Arial" w:eastAsia="Arial" w:hAnsi="Arial"/>
          <w:sz w:val="18"/>
          <w:szCs w:val="18"/>
          <w:color w:val="000000"/>
        </w:rPr>
        <w:t xml:space="preserve"> of the proviso to </w:t>
      </w:r>
      <w:r>
        <w:rPr>
          <w:rFonts w:ascii="Arial" w:cs="Arial" w:eastAsia="Arial" w:hAnsi="Arial"/>
          <w:sz w:val="18"/>
          <w:szCs w:val="18"/>
          <w:u w:val="single" w:color="auto"/>
          <w:color w:val="000000"/>
        </w:rPr>
        <w:t>Section 1.16(a)</w:t>
      </w:r>
      <w:r>
        <w:rPr>
          <w:rFonts w:ascii="Arial" w:cs="Arial" w:eastAsia="Arial" w:hAnsi="Arial"/>
          <w:sz w:val="18"/>
          <w:szCs w:val="18"/>
          <w:color w:val="000000"/>
        </w:rPr>
        <w:t xml:space="preserve">, (ii) the incurrence of such indebtedness shall be subject to </w:t>
      </w:r>
      <w:r>
        <w:rPr>
          <w:rFonts w:ascii="Arial" w:cs="Arial" w:eastAsia="Arial" w:hAnsi="Arial"/>
          <w:sz w:val="18"/>
          <w:szCs w:val="18"/>
          <w:u w:val="single" w:color="auto"/>
          <w:color w:val="000000"/>
        </w:rPr>
        <w:t>clauses (iv)(A)</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(iv)(B)</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(iv)(D)</w:t>
      </w:r>
      <w:r>
        <w:rPr>
          <w:rFonts w:ascii="Arial" w:cs="Arial" w:eastAsia="Arial" w:hAnsi="Arial"/>
          <w:sz w:val="18"/>
          <w:szCs w:val="18"/>
          <w:color w:val="000000"/>
        </w:rPr>
        <w:t xml:space="preserve"> of the proviso to </w:t>
      </w:r>
      <w:r>
        <w:rPr>
          <w:rFonts w:ascii="Arial" w:cs="Arial" w:eastAsia="Arial" w:hAnsi="Arial"/>
          <w:sz w:val="18"/>
          <w:szCs w:val="18"/>
          <w:u w:val="single" w:color="auto"/>
          <w:color w:val="000000"/>
        </w:rPr>
        <w:t>Section 1.16(a)</w:t>
      </w:r>
      <w:r>
        <w:rPr>
          <w:rFonts w:ascii="Arial" w:cs="Arial" w:eastAsia="Arial" w:hAnsi="Arial"/>
          <w:sz w:val="18"/>
          <w:szCs w:val="18"/>
          <w:color w:val="000000"/>
        </w:rPr>
        <w:t xml:space="preserve">, (iii) any such notes or loans that are secured shall be secured only by the Collateral, any such notes may be secured on a </w:t>
      </w:r>
      <w:r>
        <w:rPr>
          <w:rFonts w:ascii="Arial" w:cs="Arial" w:eastAsia="Arial" w:hAnsi="Arial"/>
          <w:sz w:val="18"/>
          <w:szCs w:val="18"/>
          <w:i w:val="1"/>
          <w:iCs w:val="1"/>
          <w:color w:val="000000"/>
        </w:rPr>
        <w:t>pari</w:t>
      </w:r>
      <w:r>
        <w:rPr>
          <w:rFonts w:ascii="Arial" w:cs="Arial" w:eastAsia="Arial" w:hAnsi="Arial"/>
          <w:sz w:val="18"/>
          <w:szCs w:val="18"/>
          <w:color w:val="000000"/>
        </w:rPr>
        <w:t xml:space="preserve"> </w:t>
      </w:r>
      <w:r>
        <w:rPr>
          <w:rFonts w:ascii="Arial" w:cs="Arial" w:eastAsia="Arial" w:hAnsi="Arial"/>
          <w:sz w:val="18"/>
          <w:szCs w:val="18"/>
          <w:i w:val="1"/>
          <w:iCs w:val="1"/>
          <w:color w:val="000000"/>
        </w:rPr>
        <w:t xml:space="preserve">passu </w:t>
      </w:r>
      <w:r>
        <w:rPr>
          <w:rFonts w:ascii="Arial" w:cs="Arial" w:eastAsia="Arial" w:hAnsi="Arial"/>
          <w:sz w:val="18"/>
          <w:szCs w:val="18"/>
          <w:color w:val="000000"/>
        </w:rPr>
        <w:t>or junior basis</w:t>
      </w:r>
      <w:r>
        <w:rPr>
          <w:rFonts w:ascii="Arial" w:cs="Arial" w:eastAsia="Arial" w:hAnsi="Arial"/>
          <w:sz w:val="18"/>
          <w:szCs w:val="18"/>
          <w:i w:val="1"/>
          <w:iCs w:val="1"/>
          <w:color w:val="000000"/>
        </w:rPr>
        <w:t xml:space="preserve"> </w:t>
      </w:r>
      <w:r>
        <w:rPr>
          <w:rFonts w:ascii="Arial" w:cs="Arial" w:eastAsia="Arial" w:hAnsi="Arial"/>
          <w:sz w:val="18"/>
          <w:szCs w:val="18"/>
          <w:color w:val="FF0000"/>
          <w:strike w:val="1"/>
        </w:rPr>
        <w:t>with</w:t>
      </w:r>
      <w:r>
        <w:rPr>
          <w:rFonts w:ascii="Arial" w:cs="Arial" w:eastAsia="Arial" w:hAnsi="Arial"/>
          <w:sz w:val="18"/>
          <w:szCs w:val="18"/>
          <w:u w:val="single" w:color="auto"/>
          <w:color w:val="0000E1"/>
        </w:rPr>
        <w:t>to</w:t>
      </w:r>
      <w:r>
        <w:rPr>
          <w:rFonts w:ascii="Arial" w:cs="Arial" w:eastAsia="Arial" w:hAnsi="Arial"/>
          <w:sz w:val="18"/>
          <w:szCs w:val="18"/>
          <w:i w:val="1"/>
          <w:iCs w:val="1"/>
          <w:color w:val="000000"/>
        </w:rPr>
        <w:t xml:space="preserve"> </w:t>
      </w:r>
      <w:r>
        <w:rPr>
          <w:rFonts w:ascii="Arial" w:cs="Arial" w:eastAsia="Arial" w:hAnsi="Arial"/>
          <w:sz w:val="18"/>
          <w:szCs w:val="18"/>
          <w:color w:val="000000"/>
        </w:rPr>
        <w:t>the Secured Obligations and any such loans may be secured on a junior basis</w:t>
      </w:r>
      <w:r>
        <w:rPr>
          <w:rFonts w:ascii="Arial" w:cs="Arial" w:eastAsia="Arial" w:hAnsi="Arial"/>
          <w:sz w:val="18"/>
          <w:szCs w:val="18"/>
          <w:i w:val="1"/>
          <w:iCs w:val="1"/>
          <w:color w:val="000000"/>
        </w:rPr>
        <w:t xml:space="preserve"> </w:t>
      </w:r>
      <w:r>
        <w:rPr>
          <w:rFonts w:ascii="Arial" w:cs="Arial" w:eastAsia="Arial" w:hAnsi="Arial"/>
          <w:sz w:val="18"/>
          <w:szCs w:val="18"/>
          <w:color w:val="FF0000"/>
          <w:strike w:val="1"/>
        </w:rPr>
        <w:t>with</w:t>
      </w:r>
      <w:r>
        <w:rPr>
          <w:rFonts w:ascii="Arial" w:cs="Arial" w:eastAsia="Arial" w:hAnsi="Arial"/>
          <w:sz w:val="18"/>
          <w:szCs w:val="18"/>
          <w:u w:val="single" w:color="auto"/>
          <w:color w:val="0000E1"/>
        </w:rPr>
        <w:t>to</w:t>
      </w:r>
      <w:r>
        <w:rPr>
          <w:rFonts w:ascii="Arial" w:cs="Arial" w:eastAsia="Arial" w:hAnsi="Arial"/>
          <w:sz w:val="18"/>
          <w:szCs w:val="18"/>
          <w:i w:val="1"/>
          <w:iCs w:val="1"/>
          <w:color w:val="000000"/>
        </w:rPr>
        <w:t xml:space="preserve"> </w:t>
      </w:r>
      <w:r>
        <w:rPr>
          <w:rFonts w:ascii="Arial" w:cs="Arial" w:eastAsia="Arial" w:hAnsi="Arial"/>
          <w:sz w:val="18"/>
          <w:szCs w:val="18"/>
          <w:color w:val="000000"/>
        </w:rPr>
        <w:t>the Secured Obligations, (iv) any such</w:t>
      </w:r>
      <w:r>
        <w:rPr>
          <w:rFonts w:ascii="Arial" w:cs="Arial" w:eastAsia="Arial" w:hAnsi="Arial"/>
          <w:sz w:val="18"/>
          <w:szCs w:val="18"/>
          <w:i w:val="1"/>
          <w:iCs w:val="1"/>
          <w:color w:val="000000"/>
        </w:rPr>
        <w:t xml:space="preserve"> </w:t>
      </w:r>
      <w:r>
        <w:rPr>
          <w:rFonts w:ascii="Arial" w:cs="Arial" w:eastAsia="Arial" w:hAnsi="Arial"/>
          <w:sz w:val="18"/>
          <w:szCs w:val="18"/>
          <w:color w:val="000000"/>
        </w:rPr>
        <w:t>indebtedness that ranks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-4247515</wp:posOffset>
            </wp:positionV>
            <wp:extent cx="319722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319722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-2738755</wp:posOffset>
            </wp:positionV>
            <wp:extent cx="319722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3197225"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-1504315</wp:posOffset>
            </wp:positionV>
            <wp:extent cx="1491615"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491615" cy="8890"/>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-1229995</wp:posOffset>
            </wp:positionV>
            <wp:extent cx="358330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3583305" cy="8255"/>
                    </a:xfrm>
                    <a:prstGeom prst="rect">
                      <a:avLst/>
                    </a:prstGeom>
                    <a:noFill/>
                  </pic:spPr>
                </pic:pic>
              </a:graphicData>
            </a:graphic>
          </wp:anchor>
        </w:drawing>
        <w:drawing>
          <wp:anchor simplePos="0" relativeHeight="251657728" behindDoc="1" locked="0" layoutInCell="0" allowOverlap="1">
            <wp:simplePos x="0" y="0"/>
            <wp:positionH relativeFrom="column">
              <wp:posOffset>1174115</wp:posOffset>
            </wp:positionH>
            <wp:positionV relativeFrom="paragraph">
              <wp:posOffset>-132715</wp:posOffset>
            </wp:positionV>
            <wp:extent cx="8572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5031740</wp:posOffset>
            </wp:positionH>
            <wp:positionV relativeFrom="paragraph">
              <wp:posOffset>-132715</wp:posOffset>
            </wp:positionV>
            <wp:extent cx="9398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84"/>
          </w:cols>
          <w:pgMar w:left="436" w:top="274" w:right="479" w:bottom="1440" w:gutter="0" w:footer="0" w:header="0"/>
        </w:sectPr>
      </w:pPr>
    </w:p>
    <w:bookmarkStart w:id="162" w:name="page163"/>
    <w:bookmarkEnd w:id="162"/>
    <w:p>
      <w:pPr>
        <w:ind w:left="4" w:right="100"/>
        <w:spacing w:after="0" w:line="34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pari passu </w:t>
      </w:r>
      <w:r>
        <w:rPr>
          <w:rFonts w:ascii="Arial" w:cs="Arial" w:eastAsia="Arial" w:hAnsi="Arial"/>
          <w:sz w:val="16"/>
          <w:szCs w:val="16"/>
          <w:color w:val="auto"/>
        </w:rPr>
        <w:t>in right of security or is subordinated in right of payment or security shall be subject to intercreditor arrangements reasonably satisfactory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Administrative Agent and (v) such Incremental Equivalent Debt shall not be guaranteed by any Person that is not a Loan Party; </w:t>
      </w:r>
      <w:r>
        <w:rPr>
          <w:rFonts w:ascii="Arial" w:cs="Arial" w:eastAsia="Arial" w:hAnsi="Arial"/>
          <w:sz w:val="16"/>
          <w:szCs w:val="16"/>
          <w:color w:val="0000E1"/>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5983605</wp:posOffset>
            </wp:positionH>
            <wp:positionV relativeFrom="paragraph">
              <wp:posOffset>-40640</wp:posOffset>
            </wp:positionV>
            <wp:extent cx="18859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5981065</wp:posOffset>
            </wp:positionH>
            <wp:positionV relativeFrom="paragraph">
              <wp:posOffset>-74930</wp:posOffset>
            </wp:positionV>
            <wp:extent cx="19367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04" w:lineRule="exact"/>
        <w:rPr>
          <w:sz w:val="20"/>
          <w:szCs w:val="20"/>
          <w:color w:val="auto"/>
        </w:rPr>
      </w:pPr>
    </w:p>
    <w:p>
      <w:pPr>
        <w:ind w:left="1884" w:hanging="452"/>
        <w:spacing w:after="0"/>
        <w:tabs>
          <w:tab w:leader="none" w:pos="1884" w:val="left"/>
        </w:tabs>
        <w:numPr>
          <w:ilvl w:val="2"/>
          <w:numId w:val="188"/>
        </w:numPr>
        <w:rPr>
          <w:rFonts w:ascii="Arial" w:cs="Arial" w:eastAsia="Arial" w:hAnsi="Arial"/>
          <w:sz w:val="17"/>
          <w:szCs w:val="17"/>
          <w:u w:val="single" w:color="auto"/>
          <w:color w:val="0000E1"/>
        </w:rPr>
      </w:pPr>
      <w:r>
        <w:rPr>
          <w:rFonts w:ascii="Arial" w:cs="Arial" w:eastAsia="Arial" w:hAnsi="Arial"/>
          <w:sz w:val="17"/>
          <w:szCs w:val="17"/>
          <w:u w:val="single" w:color="auto"/>
          <w:color w:val="0000E1"/>
        </w:rPr>
        <w:t>to the extent incurred during the Financial Covenant Suspension Period, up to $150,000,000, which may be incurred as:</w:t>
      </w:r>
    </w:p>
    <w:p>
      <w:pPr>
        <w:spacing w:after="0" w:line="128" w:lineRule="exact"/>
        <w:rPr>
          <w:rFonts w:ascii="Arial" w:cs="Arial" w:eastAsia="Arial" w:hAnsi="Arial"/>
          <w:sz w:val="17"/>
          <w:szCs w:val="17"/>
          <w:u w:val="single" w:color="auto"/>
          <w:color w:val="0000E1"/>
        </w:rPr>
      </w:pPr>
    </w:p>
    <w:p>
      <w:pPr>
        <w:ind w:left="984" w:right="20" w:firstLine="910"/>
        <w:spacing w:after="0" w:line="277" w:lineRule="auto"/>
        <w:tabs>
          <w:tab w:leader="none" w:pos="2361" w:val="left"/>
        </w:tabs>
        <w:numPr>
          <w:ilvl w:val="3"/>
          <w:numId w:val="188"/>
        </w:numPr>
        <w:rPr>
          <w:rFonts w:ascii="Arial" w:cs="Arial" w:eastAsia="Arial" w:hAnsi="Arial"/>
          <w:sz w:val="18"/>
          <w:szCs w:val="18"/>
          <w:u w:val="single" w:color="auto"/>
          <w:color w:val="0000E1"/>
        </w:rPr>
      </w:pPr>
      <w:r>
        <w:rPr>
          <w:rFonts w:ascii="Arial" w:cs="Arial" w:eastAsia="Arial" w:hAnsi="Arial"/>
          <w:sz w:val="18"/>
          <w:szCs w:val="18"/>
          <w:u w:val="single" w:color="auto"/>
          <w:color w:val="0000E1"/>
        </w:rPr>
        <w:t xml:space="preserve">term loans incurred under the Main Street Facility, on terms reasonably acceptable to the Required Lenders, which may be secured on a </w:t>
      </w:r>
      <w:r>
        <w:rPr>
          <w:rFonts w:ascii="Arial" w:cs="Arial" w:eastAsia="Arial" w:hAnsi="Arial"/>
          <w:sz w:val="18"/>
          <w:szCs w:val="18"/>
          <w:i w:val="1"/>
          <w:iCs w:val="1"/>
          <w:u w:val="single" w:color="auto"/>
          <w:color w:val="0000E1"/>
        </w:rPr>
        <w:t>pari passu</w:t>
      </w:r>
      <w:r>
        <w:rPr>
          <w:rFonts w:ascii="Arial" w:cs="Arial" w:eastAsia="Arial" w:hAnsi="Arial"/>
          <w:sz w:val="18"/>
          <w:szCs w:val="18"/>
          <w:u w:val="single" w:color="auto"/>
          <w:color w:val="0000E1"/>
        </w:rPr>
        <w:t xml:space="preserve"> basis with the Secured Obligations; or</w:t>
      </w:r>
    </w:p>
    <w:p>
      <w:pPr>
        <w:spacing w:after="0" w:line="62" w:lineRule="exact"/>
        <w:rPr>
          <w:rFonts w:ascii="Arial" w:cs="Arial" w:eastAsia="Arial" w:hAnsi="Arial"/>
          <w:sz w:val="18"/>
          <w:szCs w:val="18"/>
          <w:u w:val="single" w:color="auto"/>
          <w:color w:val="0000E1"/>
        </w:rPr>
      </w:pPr>
    </w:p>
    <w:p>
      <w:pPr>
        <w:ind w:left="984" w:right="40" w:firstLine="910"/>
        <w:spacing w:after="0" w:line="259" w:lineRule="auto"/>
        <w:tabs>
          <w:tab w:leader="none" w:pos="2306" w:val="left"/>
        </w:tabs>
        <w:numPr>
          <w:ilvl w:val="3"/>
          <w:numId w:val="188"/>
        </w:numPr>
        <w:rPr>
          <w:rFonts w:ascii="Arial" w:cs="Arial" w:eastAsia="Arial" w:hAnsi="Arial"/>
          <w:sz w:val="18"/>
          <w:szCs w:val="18"/>
          <w:u w:val="single" w:color="auto"/>
          <w:color w:val="0000E1"/>
        </w:rPr>
      </w:pPr>
      <w:r>
        <w:rPr>
          <w:rFonts w:ascii="Arial" w:cs="Arial" w:eastAsia="Arial" w:hAnsi="Arial"/>
          <w:sz w:val="18"/>
          <w:szCs w:val="18"/>
          <w:u w:val="single" w:color="auto"/>
          <w:color w:val="0000E1"/>
        </w:rPr>
        <w:t>indebtedness secured on a junior basis to the Secured Obligations or that is unsecured, the terms of which comply with the requirements set forth in clauses (ii), (iii), (iv) and (v) of the proviso to Section 8.7(o)( i), and the amount of cash interest payable with respect to such indebtedness shall not exceed the interest rate payable with respect to the Term Loans (assuming such interest rate is based on the Eurodollar Rate with a one-month Interest Period);</w:t>
      </w:r>
    </w:p>
    <w:p>
      <w:pPr>
        <w:spacing w:after="0" w:line="186" w:lineRule="exact"/>
        <w:rPr>
          <w:rFonts w:ascii="Arial" w:cs="Arial" w:eastAsia="Arial" w:hAnsi="Arial"/>
          <w:sz w:val="18"/>
          <w:szCs w:val="18"/>
          <w:u w:val="single" w:color="auto"/>
          <w:color w:val="0000E1"/>
        </w:rPr>
      </w:pPr>
    </w:p>
    <w:p>
      <w:pPr>
        <w:ind w:left="4" w:right="400" w:firstLine="987"/>
        <w:spacing w:after="0" w:line="263" w:lineRule="auto"/>
        <w:tabs>
          <w:tab w:leader="none" w:pos="138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indebtedness owed to current or former directors, officers, employees, members of management, consultants or any of their respective Investment Affiliates to finance the purchase or redemption of Equity Interests of Holdings or any direct or indirect parent thereof to the extent and in the amounts permitted by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right="60" w:firstLine="987"/>
        <w:spacing w:after="0" w:line="259" w:lineRule="auto"/>
        <w:tabs>
          <w:tab w:leader="none" w:pos="138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letters of credit, bank guarantees or similar items issued (i) in connection with (A) workers’ compensation, health, disability or unemployment insurance, (B) old age benefits, social security obligations, taxes, assessments, statutory obligations or other similar charges or (C) self-insurance and indemnity obligations or (ii) to secure liability for reimbursement or indemnification obligations of insurance carriers providing property, casualty, liability or other insurance to Restricted Group Company;</w:t>
      </w:r>
    </w:p>
    <w:p>
      <w:pPr>
        <w:spacing w:after="0" w:line="186" w:lineRule="exact"/>
        <w:rPr>
          <w:rFonts w:ascii="Arial" w:cs="Arial" w:eastAsia="Arial" w:hAnsi="Arial"/>
          <w:sz w:val="18"/>
          <w:szCs w:val="18"/>
          <w:color w:val="auto"/>
        </w:rPr>
      </w:pPr>
    </w:p>
    <w:p>
      <w:pPr>
        <w:ind w:left="4" w:right="420" w:firstLine="987"/>
        <w:spacing w:after="0" w:line="277" w:lineRule="auto"/>
        <w:tabs>
          <w:tab w:leader="none" w:pos="135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unfunded pension fund and other employee benefit plan obligations and liabilities to the extent that they are permitted to remain unfunded under applicable law;</w:t>
      </w:r>
    </w:p>
    <w:p>
      <w:pPr>
        <w:spacing w:after="0" w:line="170" w:lineRule="exact"/>
        <w:rPr>
          <w:rFonts w:ascii="Arial" w:cs="Arial" w:eastAsia="Arial" w:hAnsi="Arial"/>
          <w:sz w:val="18"/>
          <w:szCs w:val="18"/>
          <w:color w:val="auto"/>
        </w:rPr>
      </w:pPr>
    </w:p>
    <w:p>
      <w:pPr>
        <w:ind w:left="4" w:right="300" w:firstLine="987"/>
        <w:spacing w:after="0" w:line="287" w:lineRule="auto"/>
        <w:tabs>
          <w:tab w:leader="none" w:pos="1365" w:val="left"/>
        </w:tabs>
        <w:numPr>
          <w:ilvl w:val="1"/>
          <w:numId w:val="189"/>
        </w:numPr>
        <w:rPr>
          <w:rFonts w:ascii="Arial" w:cs="Arial" w:eastAsia="Arial" w:hAnsi="Arial"/>
          <w:sz w:val="16"/>
          <w:szCs w:val="16"/>
          <w:color w:val="auto"/>
        </w:rPr>
      </w:pPr>
      <w:r>
        <w:rPr>
          <w:rFonts w:ascii="Arial" w:cs="Arial" w:eastAsia="Arial" w:hAnsi="Arial"/>
          <w:sz w:val="16"/>
          <w:szCs w:val="16"/>
          <w:color w:val="auto"/>
        </w:rPr>
        <w:t xml:space="preserve">senior indebtedness, senior subordinated indebtedness or Subordinated Debt (including, in each case, one or more series of notes) incurred to consummate a Permitted Refinancing of the Obligations (or any obligations created under this </w:t>
      </w:r>
      <w:r>
        <w:rPr>
          <w:rFonts w:ascii="Arial" w:cs="Arial" w:eastAsia="Arial" w:hAnsi="Arial"/>
          <w:sz w:val="16"/>
          <w:szCs w:val="16"/>
          <w:u w:val="single" w:color="auto"/>
          <w:color w:val="auto"/>
        </w:rPr>
        <w:t>Section 8.7(s)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indebtedness shall rank pari passu or junior in right of payment and of security with the Loans and Commitments hereunder or shall be unsecured,</w:t>
      </w:r>
    </w:p>
    <w:p>
      <w:pPr>
        <w:spacing w:after="0" w:line="2" w:lineRule="exact"/>
        <w:rPr>
          <w:rFonts w:ascii="Arial" w:cs="Arial" w:eastAsia="Arial" w:hAnsi="Arial"/>
          <w:sz w:val="16"/>
          <w:szCs w:val="16"/>
          <w:color w:val="auto"/>
        </w:rPr>
      </w:pPr>
    </w:p>
    <w:p>
      <w:pPr>
        <w:ind w:left="4" w:right="100" w:hanging="4"/>
        <w:spacing w:after="0" w:line="252" w:lineRule="auto"/>
        <w:tabs>
          <w:tab w:leader="none" w:pos="26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other than interest rates, fees, discounts, premiums, optional prepayments and redemptions, such indebtedness shall have terms and conditions agreed to by the Borrower and the lenders providing such indebtedness, but shall be substantially the same (or, taken as a whole, no more favorable to, the lenders providing such indebtedness) as those applicable to the Loans and Commitments hereunder, except to the extent such covenants and other terms apply solely to any period after the final maturity of the Loans and Commitments hereunder or such terms shall be on current market terms for such type of indebtedness on the date of incurrence and (iii) the holders thereof, or a duly authorized agent on their behalf, agree in writing to be bound by the terms of an intercreditor or subordination agreement, as applicable, with customary market terms or otherwise reasonably acceptable to the Administrative Agent;</w:t>
      </w:r>
    </w:p>
    <w:p>
      <w:pPr>
        <w:spacing w:after="0" w:line="192" w:lineRule="exact"/>
        <w:rPr>
          <w:rFonts w:ascii="Arial" w:cs="Arial" w:eastAsia="Arial" w:hAnsi="Arial"/>
          <w:sz w:val="18"/>
          <w:szCs w:val="18"/>
          <w:color w:val="auto"/>
        </w:rPr>
      </w:pPr>
    </w:p>
    <w:p>
      <w:pPr>
        <w:jc w:val="both"/>
        <w:ind w:left="4" w:firstLine="987"/>
        <w:spacing w:after="0" w:line="263" w:lineRule="auto"/>
        <w:tabs>
          <w:tab w:leader="none" w:pos="134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 xml:space="preserve">(i) indebtedness in respect of any letter of credit issued in favor of any L/C Issuer or the Swing Line Lender to support any Defaulting Lender’s participation in Letters of Credit or Swing Loans, respectively, as contemplated by </w:t>
      </w: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and (ii) indebtedness in respect of any Existing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-4665980</wp:posOffset>
            </wp:positionV>
            <wp:extent cx="575183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5751830" cy="889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-4460240</wp:posOffset>
            </wp:positionV>
            <wp:extent cx="576072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-4323080</wp:posOffset>
            </wp:positionV>
            <wp:extent cx="2991485"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2991485" cy="889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-4117340</wp:posOffset>
            </wp:positionV>
            <wp:extent cx="569214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5692140"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-3980180</wp:posOffset>
            </wp:positionV>
            <wp:extent cx="6317615"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6317615"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-3843020</wp:posOffset>
            </wp:positionV>
            <wp:extent cx="6317615"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6317615" cy="8890"/>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-3705860</wp:posOffset>
            </wp:positionV>
            <wp:extent cx="264033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84"/>
          </w:cols>
          <w:pgMar w:left="436" w:top="274" w:right="479" w:bottom="1440" w:gutter="0" w:footer="0" w:header="0"/>
        </w:sectPr>
      </w:pPr>
    </w:p>
    <w:bookmarkStart w:id="163" w:name="page164"/>
    <w:bookmarkEnd w:id="163"/>
    <w:p>
      <w:pPr>
        <w:ind w:right="40" w:firstLine="987"/>
        <w:spacing w:after="0" w:line="275" w:lineRule="auto"/>
        <w:tabs>
          <w:tab w:leader="none" w:pos="1381" w:val="left"/>
        </w:tabs>
        <w:numPr>
          <w:ilvl w:val="0"/>
          <w:numId w:val="1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Capitalized Restaurant Lease Obligations of one or more Restricted Group Companies (other than any Capitalized Restaurant Lease Obligations acquired pursuant to an Acquisition permitted hereunder, which shall be governed by </w:t>
      </w:r>
      <w:r>
        <w:rPr>
          <w:rFonts w:ascii="Arial" w:cs="Arial" w:eastAsia="Arial" w:hAnsi="Arial"/>
          <w:sz w:val="17"/>
          <w:szCs w:val="17"/>
          <w:u w:val="single" w:color="auto"/>
          <w:color w:val="auto"/>
        </w:rPr>
        <w:t>Section 8.7(h)</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as of the date the underlying Restaurant Capital Lease for the applicable Capitalized Restaurant Lease Obligation is entered into, the Borrower shall be in compliance with a Total Leverage Ratio of 3.50:1.00 on a Pro Forma Basis as of the last day of the most recently ended fiscal quarter for which financial statements are available on or prior to the date such Restaurant Capital Lease was entered into;</w:t>
      </w:r>
    </w:p>
    <w:p>
      <w:pPr>
        <w:spacing w:after="0" w:line="176" w:lineRule="exact"/>
        <w:rPr>
          <w:rFonts w:ascii="Arial" w:cs="Arial" w:eastAsia="Arial" w:hAnsi="Arial"/>
          <w:sz w:val="17"/>
          <w:szCs w:val="17"/>
          <w:color w:val="auto"/>
        </w:rPr>
      </w:pPr>
    </w:p>
    <w:p>
      <w:pPr>
        <w:jc w:val="both"/>
        <w:ind w:right="40" w:firstLine="987"/>
        <w:spacing w:after="0" w:line="301" w:lineRule="auto"/>
        <w:tabs>
          <w:tab w:leader="none" w:pos="1381"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indebtedness (x) under Card Programs with the Administrative Agent, a Lender or any of their respective Affiliates in an unlimited amount and (y) under Card Programs with parties other than the Administrative Agent, a Lender or any of their respective Affiliates not exceeding an aggregate principal amount of the greater of $9,000,000 and 3.0% of EBITDA of the Restricted Group Companies determined on a Pro Forma Basis for the period of four consecutive fiscal quarters most recently ended for which financial statements are available, at any time outstanding;</w:t>
      </w:r>
    </w:p>
    <w:p>
      <w:pPr>
        <w:spacing w:after="0" w:line="157" w:lineRule="exact"/>
        <w:rPr>
          <w:rFonts w:ascii="Arial" w:cs="Arial" w:eastAsia="Arial" w:hAnsi="Arial"/>
          <w:sz w:val="16"/>
          <w:szCs w:val="16"/>
          <w:color w:val="auto"/>
        </w:rPr>
      </w:pPr>
    </w:p>
    <w:p>
      <w:pPr>
        <w:ind w:right="20" w:firstLine="987"/>
        <w:spacing w:after="0" w:line="293" w:lineRule="auto"/>
        <w:tabs>
          <w:tab w:leader="none" w:pos="1466"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0000E1"/>
        </w:rPr>
        <w:t>other than an incurrence thereof during the Basket Suspension Period,</w:t>
      </w:r>
      <w:r>
        <w:rPr>
          <w:rFonts w:ascii="Arial" w:cs="Arial" w:eastAsia="Arial" w:hAnsi="Arial"/>
          <w:sz w:val="16"/>
          <w:szCs w:val="16"/>
          <w:color w:val="0000E1"/>
        </w:rPr>
        <w:t xml:space="preserve"> </w:t>
      </w:r>
      <w:r>
        <w:rPr>
          <w:rFonts w:ascii="Arial" w:cs="Arial" w:eastAsia="Arial" w:hAnsi="Arial"/>
          <w:sz w:val="16"/>
          <w:szCs w:val="16"/>
          <w:color w:val="000000"/>
        </w:rPr>
        <w:t>indebtedness of any Foreign Subsidiary or any Disregarded</w:t>
      </w:r>
      <w:r>
        <w:rPr>
          <w:rFonts w:ascii="Arial" w:cs="Arial" w:eastAsia="Arial" w:hAnsi="Arial"/>
          <w:sz w:val="16"/>
          <w:szCs w:val="16"/>
          <w:color w:val="0000E1"/>
        </w:rPr>
        <w:t xml:space="preserve"> </w:t>
      </w:r>
      <w:r>
        <w:rPr>
          <w:rFonts w:ascii="Arial" w:cs="Arial" w:eastAsia="Arial" w:hAnsi="Arial"/>
          <w:sz w:val="16"/>
          <w:szCs w:val="16"/>
          <w:color w:val="000000"/>
        </w:rPr>
        <w:t xml:space="preserve">Domestic Person (including any Person that becomes a Foreign Subsidiary or a Disregarded Domestic Person), including under working capital lines, lines of credit or overdraft facilities in an aggregate principal amount at any time outstanding not to exceed the greater of $50,000,000 and 35.0% of EBITDA of the Restricted Group Companies determined on a Pro Forma Basis for the period of four consecutive fiscal quarters most recently ended for which financial statements are available;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any indebtedness incurred pursuant to this </w:t>
      </w:r>
      <w:r>
        <w:rPr>
          <w:rFonts w:ascii="Arial" w:cs="Arial" w:eastAsia="Arial" w:hAnsi="Arial"/>
          <w:sz w:val="16"/>
          <w:szCs w:val="16"/>
          <w:u w:val="single" w:color="auto"/>
          <w:color w:val="000000"/>
        </w:rPr>
        <w:t>clause (w)</w:t>
      </w:r>
      <w:r>
        <w:rPr>
          <w:rFonts w:ascii="Arial" w:cs="Arial" w:eastAsia="Arial" w:hAnsi="Arial"/>
          <w:sz w:val="16"/>
          <w:szCs w:val="16"/>
          <w:color w:val="000000"/>
        </w:rPr>
        <w:t xml:space="preserve"> shall not be (1) guaranteed in any respect by the Borrower or any of its Domestic Subsidiaries (other than any Disregarded Domestic Person) or (2) secured by any of the Collateral; and</w:t>
      </w:r>
    </w:p>
    <w:p>
      <w:pPr>
        <w:spacing w:after="0" w:line="164" w:lineRule="exact"/>
        <w:rPr>
          <w:rFonts w:ascii="Arial" w:cs="Arial" w:eastAsia="Arial" w:hAnsi="Arial"/>
          <w:sz w:val="16"/>
          <w:szCs w:val="16"/>
          <w:color w:val="auto"/>
        </w:rPr>
      </w:pPr>
    </w:p>
    <w:p>
      <w:pPr>
        <w:ind w:right="460" w:firstLine="987"/>
        <w:spacing w:after="0" w:line="277" w:lineRule="auto"/>
        <w:tabs>
          <w:tab w:leader="none" w:pos="138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fees, expenses, charges and additional or contingent interest on obligations described in each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-1108075</wp:posOffset>
            </wp:positionV>
            <wp:extent cx="319722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50"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i w:val="1"/>
          <w:iCs w:val="1"/>
          <w:color w:val="auto"/>
        </w:rPr>
        <w:t>Liens.</w:t>
      </w:r>
      <w:r>
        <w:rPr>
          <w:rFonts w:ascii="Arial" w:cs="Arial" w:eastAsia="Arial" w:hAnsi="Arial"/>
          <w:sz w:val="17"/>
          <w:szCs w:val="17"/>
          <w:color w:val="auto"/>
        </w:rPr>
        <w:t xml:space="preserve"> The Borrower shall not, nor shall it permit any of its Restricted Subsidiaries to, create, incur or permit to exist any Lien of any kind on any Property owned by any such Person;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foregoing shall not apply to nor operate to prevent:</w:t>
      </w:r>
    </w:p>
    <w:p>
      <w:pPr>
        <w:spacing w:after="0" w:line="146" w:lineRule="exact"/>
        <w:rPr>
          <w:sz w:val="20"/>
          <w:szCs w:val="20"/>
          <w:color w:val="auto"/>
        </w:rPr>
      </w:pPr>
    </w:p>
    <w:p>
      <w:pPr>
        <w:ind w:firstLine="987"/>
        <w:spacing w:after="0" w:line="293" w:lineRule="auto"/>
        <w:tabs>
          <w:tab w:leader="none" w:pos="1371"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Liens (i) arising in connection with worker’s compensation, unemployment insurance, old age benefits, social security obligations, taxes, assessments, statutory obligations or other similar charges, (ii) on deposits in connection with bids, tenders, trade contracts, governmental contracts, leases (other than, in each case, indebtedness representing borrowed money), statutory obligations, self-insurance or reinsurance obligations, surety, stay, customs and appeal bonds, performance bonds, completion guarantees and other obligations of a like nature (including those to secure health, safety and environmental obligations) and other similar obligations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each case that the obligation is not for borrowed money and (iii) in connection with any letters of credit, bank guarantee or similar instrument posted to support the foregoing;</w:t>
      </w:r>
    </w:p>
    <w:p>
      <w:pPr>
        <w:spacing w:after="0" w:line="164" w:lineRule="exact"/>
        <w:rPr>
          <w:rFonts w:ascii="Arial" w:cs="Arial" w:eastAsia="Arial" w:hAnsi="Arial"/>
          <w:sz w:val="16"/>
          <w:szCs w:val="16"/>
          <w:color w:val="auto"/>
        </w:rPr>
      </w:pPr>
    </w:p>
    <w:p>
      <w:pPr>
        <w:ind w:firstLine="987"/>
        <w:spacing w:after="0" w:line="284" w:lineRule="auto"/>
        <w:tabs>
          <w:tab w:leader="none" w:pos="1381"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statutory or common law Liens of mechanics’, workmen’s, materialmen’s, landlords’, carriers’ or other similar Liens arising in the ordinary course of business (i) with respect to obligations which are not yet overdue by more than </w:t>
      </w:r>
      <w:r>
        <w:rPr>
          <w:rFonts w:ascii="Arial" w:cs="Arial" w:eastAsia="Arial" w:hAnsi="Arial"/>
          <w:sz w:val="16"/>
          <w:szCs w:val="16"/>
          <w:u w:val="single" w:color="auto"/>
          <w:color w:val="0000E1"/>
        </w:rPr>
        <w:t>thirty (</w:t>
      </w:r>
      <w:r>
        <w:rPr>
          <w:rFonts w:ascii="Arial" w:cs="Arial" w:eastAsia="Arial" w:hAnsi="Arial"/>
          <w:sz w:val="16"/>
          <w:szCs w:val="16"/>
          <w:color w:val="auto"/>
        </w:rPr>
        <w:t xml:space="preserve">30 </w:t>
      </w:r>
      <w:r>
        <w:rPr>
          <w:rFonts w:ascii="Arial" w:cs="Arial" w:eastAsia="Arial" w:hAnsi="Arial"/>
          <w:sz w:val="16"/>
          <w:szCs w:val="16"/>
          <w:u w:val="single" w:color="auto"/>
          <w:color w:val="0000E1"/>
        </w:rPr>
        <w:t>)</w:t>
      </w:r>
      <w:r>
        <w:rPr>
          <w:rFonts w:ascii="Arial" w:cs="Arial" w:eastAsia="Arial" w:hAnsi="Arial"/>
          <w:sz w:val="16"/>
          <w:szCs w:val="16"/>
          <w:color w:val="auto"/>
        </w:rPr>
        <w:t xml:space="preserve"> days or (ii) if more than </w:t>
      </w:r>
      <w:r>
        <w:rPr>
          <w:rFonts w:ascii="Arial" w:cs="Arial" w:eastAsia="Arial" w:hAnsi="Arial"/>
          <w:sz w:val="16"/>
          <w:szCs w:val="16"/>
          <w:u w:val="single" w:color="auto"/>
          <w:color w:val="0000E1"/>
        </w:rPr>
        <w:t>thirty (</w:t>
      </w:r>
      <w:r>
        <w:rPr>
          <w:rFonts w:ascii="Arial" w:cs="Arial" w:eastAsia="Arial" w:hAnsi="Arial"/>
          <w:sz w:val="16"/>
          <w:szCs w:val="16"/>
          <w:color w:val="auto"/>
        </w:rPr>
        <w:t xml:space="preserve">30 </w:t>
      </w:r>
      <w:r>
        <w:rPr>
          <w:rFonts w:ascii="Arial" w:cs="Arial" w:eastAsia="Arial" w:hAnsi="Arial"/>
          <w:sz w:val="16"/>
          <w:szCs w:val="16"/>
          <w:u w:val="single" w:color="auto"/>
          <w:color w:val="0000E1"/>
        </w:rPr>
        <w:t>)</w:t>
      </w:r>
      <w:r>
        <w:rPr>
          <w:rFonts w:ascii="Arial" w:cs="Arial" w:eastAsia="Arial" w:hAnsi="Arial"/>
          <w:sz w:val="16"/>
          <w:szCs w:val="16"/>
          <w:color w:val="auto"/>
        </w:rPr>
        <w:t xml:space="preserve"> days overdue, (x) are being contested in good faith by appropriate proceedings, so long as such reserves or other appropriate provisions, if any, as shall be required by GAAP shall have been made for any such contested amounts or (y) would not reasonably be expected to cause a Material Adverse Effect; </w:t>
      </w:r>
      <w:r>
        <w:rPr>
          <w:rFonts w:ascii="Arial" w:cs="Arial" w:eastAsia="Arial" w:hAnsi="Arial"/>
          <w:sz w:val="16"/>
          <w:szCs w:val="16"/>
          <w:u w:val="single" w:color="auto"/>
          <w:color w:val="0000E1"/>
        </w:rPr>
        <w:t>provided that during the Financial Covenant Suspension Period, statutory and common law landlord liens (A) attributable to the failure to pay rent under store and office leases and (B) with respect to up to $25,000,000 of expenses in connection with uncompleted new store construction and refurbishment expenses, will in each case be disregarded for purposes of determining whether an Event of Default has occurred by virtue of a breach of this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0000E1"/>
        </w:rPr>
        <w:t>Section 8.8(b);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4497705</wp:posOffset>
            </wp:positionH>
            <wp:positionV relativeFrom="paragraph">
              <wp:posOffset>-807720</wp:posOffset>
            </wp:positionV>
            <wp:extent cx="3175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-885190</wp:posOffset>
            </wp:positionV>
            <wp:extent cx="2857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4960620</wp:posOffset>
            </wp:positionH>
            <wp:positionV relativeFrom="paragraph">
              <wp:posOffset>-807720</wp:posOffset>
            </wp:positionV>
            <wp:extent cx="3429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-807720</wp:posOffset>
            </wp:positionV>
            <wp:extent cx="30861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-807720</wp:posOffset>
            </wp:positionV>
            <wp:extent cx="4318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-396240</wp:posOffset>
            </wp:positionV>
            <wp:extent cx="6978015"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-259080</wp:posOffset>
            </wp:positionV>
            <wp:extent cx="693483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-121920</wp:posOffset>
            </wp:positionV>
            <wp:extent cx="644652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67691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80"/>
          </w:cols>
          <w:pgMar w:left="440" w:top="274" w:right="479" w:bottom="1440" w:gutter="0" w:footer="0" w:header="0"/>
        </w:sectPr>
      </w:pPr>
    </w:p>
    <w:bookmarkStart w:id="164" w:name="page165"/>
    <w:bookmarkEnd w:id="164"/>
    <w:p>
      <w:pPr>
        <w:ind w:right="20" w:firstLine="987"/>
        <w:spacing w:after="0" w:line="263" w:lineRule="auto"/>
        <w:tabs>
          <w:tab w:leader="none" w:pos="1371" w:val="left"/>
        </w:tabs>
        <w:numPr>
          <w:ilvl w:val="0"/>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 judgment liens and judicial attachment liens not constituting an Event of Default under </w:t>
      </w:r>
      <w:r>
        <w:rPr>
          <w:rFonts w:ascii="Arial" w:cs="Arial" w:eastAsia="Arial" w:hAnsi="Arial"/>
          <w:sz w:val="18"/>
          <w:szCs w:val="18"/>
          <w:u w:val="single" w:color="auto"/>
          <w:color w:val="auto"/>
        </w:rPr>
        <w:t>Section 9.1(g)</w:t>
      </w:r>
      <w:r>
        <w:rPr>
          <w:rFonts w:ascii="Arial" w:cs="Arial" w:eastAsia="Arial" w:hAnsi="Arial"/>
          <w:sz w:val="18"/>
          <w:szCs w:val="18"/>
          <w:color w:val="auto"/>
        </w:rPr>
        <w:t xml:space="preserve"> hereof and the pledge of assets for the purpose of securing an appeal, stay or discharge in the course of any legal proceeding and (ii) Liens imposed by the PBGC not constituting an Event of Default under </w:t>
      </w:r>
      <w:r>
        <w:rPr>
          <w:rFonts w:ascii="Arial" w:cs="Arial" w:eastAsia="Arial" w:hAnsi="Arial"/>
          <w:sz w:val="18"/>
          <w:szCs w:val="18"/>
          <w:u w:val="single" w:color="auto"/>
          <w:color w:val="auto"/>
        </w:rPr>
        <w:t>Section 9.1(h)</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987"/>
        <w:spacing w:after="0" w:line="270" w:lineRule="auto"/>
        <w:tabs>
          <w:tab w:leader="none" w:pos="1381"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Liens on Property of a Restricted Group Company securing (i) indebtedness permitted by </w:t>
      </w:r>
      <w:r>
        <w:rPr>
          <w:rFonts w:ascii="Arial" w:cs="Arial" w:eastAsia="Arial" w:hAnsi="Arial"/>
          <w:sz w:val="17"/>
          <w:szCs w:val="17"/>
          <w:u w:val="single" w:color="auto"/>
          <w:color w:val="auto"/>
        </w:rPr>
        <w:t>Section 8.7(b)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8.7(u)</w:t>
      </w:r>
      <w:r>
        <w:rPr>
          <w:rFonts w:ascii="Arial" w:cs="Arial" w:eastAsia="Arial" w:hAnsi="Arial"/>
          <w:sz w:val="17"/>
          <w:szCs w:val="17"/>
          <w:color w:val="auto"/>
        </w:rPr>
        <w:t xml:space="preserve"> </w:t>
      </w:r>
      <w:r>
        <w:rPr>
          <w:rFonts w:ascii="Arial" w:cs="Arial" w:eastAsia="Arial" w:hAnsi="Arial"/>
          <w:sz w:val="17"/>
          <w:szCs w:val="17"/>
          <w:color w:val="FF0000"/>
          <w:strike w:val="1"/>
        </w:rPr>
        <w:t>hereof</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no such Lien shall extend to or cover other Property any Restricted Group Company other than the respective Property so acquired, constructed, repaired, replaced or improved, replacements thereof and additions and accessions to such Property and the proceeds and the products thereof, (y) the principal amount of indebtedness secured by any such Lien shall at no time exceed the amount paid with respect to the foregoing (other than pursuant to, and as permitted by the definition of, Permitted Refinancing), and (z) with respect to Capital Leases, such Liens do not at any time extend to or cover any Property of any Restricted Group Company (except for additions and accessions to such assets, replacements thereof and additions and accessions to such Property and the proceeds and the products thereof) other than the respective Property subject to such Capital Leases;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individual financings of fixed or capital assets provided by one lender may be cross-collateralized to other financings of fixed or capital assets provided by such lender or its affiliates and (ii) Permitted Refinancings thereof;</w:t>
      </w:r>
    </w:p>
    <w:p>
      <w:pPr>
        <w:spacing w:after="0" w:line="180" w:lineRule="exact"/>
        <w:rPr>
          <w:rFonts w:ascii="Arial" w:cs="Arial" w:eastAsia="Arial" w:hAnsi="Arial"/>
          <w:sz w:val="17"/>
          <w:szCs w:val="17"/>
          <w:color w:val="auto"/>
        </w:rPr>
      </w:pPr>
    </w:p>
    <w:p>
      <w:pPr>
        <w:ind w:right="200" w:firstLine="987"/>
        <w:spacing w:after="0" w:line="286" w:lineRule="auto"/>
        <w:tabs>
          <w:tab w:leader="none" w:pos="1371"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to the extent constituting a Lien, the rights reserved or vested in any Person by the terms of any lease, sublease, license, sublicense, franchise, grant or permit held by a Restricted Group Company or by a statutory provision to terminate any such lease, sublease, license, sublicense, franchise, grant or permit or to permit or to require periodic payments as a condition to the continuance thereof;</w:t>
      </w:r>
    </w:p>
    <w:p>
      <w:pPr>
        <w:spacing w:after="0" w:line="165" w:lineRule="exact"/>
        <w:rPr>
          <w:rFonts w:ascii="Arial" w:cs="Arial" w:eastAsia="Arial" w:hAnsi="Arial"/>
          <w:sz w:val="17"/>
          <w:szCs w:val="17"/>
          <w:color w:val="auto"/>
        </w:rPr>
      </w:pPr>
    </w:p>
    <w:p>
      <w:pPr>
        <w:ind w:left="1340" w:hanging="353"/>
        <w:spacing w:after="0"/>
        <w:tabs>
          <w:tab w:leader="none" w:pos="13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interest or title of a lessor or sublessor under any operating lease;</w:t>
      </w:r>
    </w:p>
    <w:p>
      <w:pPr>
        <w:spacing w:after="0" w:line="225" w:lineRule="exact"/>
        <w:rPr>
          <w:rFonts w:ascii="Arial" w:cs="Arial" w:eastAsia="Arial" w:hAnsi="Arial"/>
          <w:sz w:val="18"/>
          <w:szCs w:val="18"/>
          <w:color w:val="auto"/>
        </w:rPr>
      </w:pPr>
    </w:p>
    <w:p>
      <w:pPr>
        <w:ind w:right="40" w:firstLine="987"/>
        <w:spacing w:after="0" w:line="311" w:lineRule="auto"/>
        <w:tabs>
          <w:tab w:leader="none" w:pos="138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easements, rights of way, zoning or similar restrictions, building codes, reservations, covenants, encroachments, restrictions, and other similar encumbrances or minor defects or other irregularities in title, against real property incurred in the ordinary course of business which do not and would not reasonably be anticipated to materially interfere with the ordinary conduct of the business of the Borrower or any Restricted Subsidiary;</w:t>
      </w:r>
    </w:p>
    <w:p>
      <w:pPr>
        <w:spacing w:after="0" w:line="148" w:lineRule="exact"/>
        <w:rPr>
          <w:rFonts w:ascii="Arial" w:cs="Arial" w:eastAsia="Arial" w:hAnsi="Arial"/>
          <w:sz w:val="16"/>
          <w:szCs w:val="16"/>
          <w:color w:val="auto"/>
        </w:rPr>
      </w:pPr>
    </w:p>
    <w:p>
      <w:pPr>
        <w:jc w:val="both"/>
        <w:ind w:firstLine="987"/>
        <w:spacing w:after="0" w:line="259" w:lineRule="auto"/>
        <w:tabs>
          <w:tab w:leader="none" w:pos="138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Liens (x) not encumbering Principal Owned Properties or Principal Owned Property Holdcos and (y) securing indebtedness and other obligations incurred pursuant to, and subject to the restrictions under </w:t>
      </w:r>
      <w:r>
        <w:rPr>
          <w:rFonts w:ascii="Arial" w:cs="Arial" w:eastAsia="Arial" w:hAnsi="Arial"/>
          <w:sz w:val="18"/>
          <w:szCs w:val="18"/>
          <w:u w:val="single" w:color="auto"/>
          <w:color w:val="auto"/>
        </w:rPr>
        <w:t>Section 8.7(a)</w:t>
      </w:r>
      <w:r>
        <w:rPr>
          <w:rFonts w:ascii="Arial" w:cs="Arial" w:eastAsia="Arial" w:hAnsi="Arial"/>
          <w:sz w:val="18"/>
          <w:szCs w:val="18"/>
          <w:color w:val="auto"/>
        </w:rPr>
        <w:t xml:space="preserve">, </w:t>
      </w:r>
      <w:r>
        <w:rPr>
          <w:rFonts w:ascii="Arial" w:cs="Arial" w:eastAsia="Arial" w:hAnsi="Arial"/>
          <w:sz w:val="18"/>
          <w:szCs w:val="18"/>
          <w:u w:val="single" w:color="auto"/>
          <w:color w:val="auto"/>
        </w:rPr>
        <w:t>8.7(o)</w:t>
      </w:r>
      <w:r>
        <w:rPr>
          <w:rFonts w:ascii="Arial" w:cs="Arial" w:eastAsia="Arial" w:hAnsi="Arial"/>
          <w:sz w:val="18"/>
          <w:szCs w:val="18"/>
          <w:color w:val="auto"/>
        </w:rPr>
        <w:t xml:space="preserve">, </w:t>
      </w:r>
      <w:r>
        <w:rPr>
          <w:rFonts w:ascii="Arial" w:cs="Arial" w:eastAsia="Arial" w:hAnsi="Arial"/>
          <w:sz w:val="18"/>
          <w:szCs w:val="18"/>
          <w:u w:val="single" w:color="auto"/>
          <w:color w:val="auto"/>
        </w:rPr>
        <w:t>8.7(v)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8.7(w)</w:t>
      </w:r>
      <w:r>
        <w:rPr>
          <w:rFonts w:ascii="Arial" w:cs="Arial" w:eastAsia="Arial" w:hAnsi="Arial"/>
          <w:sz w:val="18"/>
          <w:szCs w:val="18"/>
          <w:color w:val="auto"/>
        </w:rPr>
        <w:t xml:space="preserve">, but in the case of </w:t>
      </w:r>
      <w:r>
        <w:rPr>
          <w:rFonts w:ascii="Arial" w:cs="Arial" w:eastAsia="Arial" w:hAnsi="Arial"/>
          <w:sz w:val="18"/>
          <w:szCs w:val="18"/>
          <w:u w:val="single" w:color="auto"/>
          <w:color w:val="auto"/>
        </w:rPr>
        <w:t>Section 8.7(w)</w:t>
      </w:r>
      <w:r>
        <w:rPr>
          <w:rFonts w:ascii="Arial" w:cs="Arial" w:eastAsia="Arial" w:hAnsi="Arial"/>
          <w:sz w:val="18"/>
          <w:szCs w:val="18"/>
          <w:color w:val="auto"/>
        </w:rPr>
        <w:t>, solely to the extent such Lien attaches to the assets of Foreign Subsidiaries or Disregarded Domestic Persons (and not to the assets of any other member of the Restricted Group);</w:t>
      </w:r>
    </w:p>
    <w:p>
      <w:pPr>
        <w:spacing w:after="0" w:line="186" w:lineRule="exact"/>
        <w:rPr>
          <w:rFonts w:ascii="Arial" w:cs="Arial" w:eastAsia="Arial" w:hAnsi="Arial"/>
          <w:sz w:val="18"/>
          <w:szCs w:val="18"/>
          <w:color w:val="auto"/>
        </w:rPr>
      </w:pPr>
    </w:p>
    <w:p>
      <w:pPr>
        <w:ind w:right="100" w:firstLine="987"/>
        <w:spacing w:after="0" w:line="277" w:lineRule="auto"/>
        <w:tabs>
          <w:tab w:leader="none" w:pos="134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non-exclusive licenses of Intellectual Property, licenses (other than of Intellectual Property), sublicenses, leases, or subleases granted to third parties in the ordinary course of business;</w:t>
      </w:r>
    </w:p>
    <w:p>
      <w:pPr>
        <w:spacing w:after="0" w:line="170" w:lineRule="exact"/>
        <w:rPr>
          <w:rFonts w:ascii="Arial" w:cs="Arial" w:eastAsia="Arial" w:hAnsi="Arial"/>
          <w:sz w:val="18"/>
          <w:szCs w:val="18"/>
          <w:color w:val="auto"/>
        </w:rPr>
      </w:pPr>
    </w:p>
    <w:p>
      <w:pPr>
        <w:ind w:right="220" w:firstLine="987"/>
        <w:spacing w:after="0" w:line="301" w:lineRule="auto"/>
        <w:tabs>
          <w:tab w:leader="none" w:pos="134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(i) rights of setoff or bankers’ Liens upon deposits of cash (including those relating to netting services, overdraft protection, pooled deposit or sweep accounts and similar arrangements), (ii) broker’s Liens upon securities accounts in favor of financial institutions, banks, or other depository institutions, (iii) repurchase agreements permitted by </w:t>
      </w:r>
      <w:r>
        <w:rPr>
          <w:rFonts w:ascii="Arial" w:cs="Arial" w:eastAsia="Arial" w:hAnsi="Arial"/>
          <w:sz w:val="16"/>
          <w:szCs w:val="16"/>
          <w:u w:val="single" w:color="auto"/>
          <w:color w:val="auto"/>
        </w:rPr>
        <w:t>Section 8.9(d)</w:t>
      </w:r>
      <w:r>
        <w:rPr>
          <w:rFonts w:ascii="Arial" w:cs="Arial" w:eastAsia="Arial" w:hAnsi="Arial"/>
          <w:sz w:val="16"/>
          <w:szCs w:val="16"/>
          <w:color w:val="auto"/>
        </w:rPr>
        <w:t>; and (iv) contractual rights of set off and rights of set off arising by operation of law relating to purchase orders or other agreements entered into with customers in the ordinary course of business;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0"/>
          </w:cols>
          <w:pgMar w:left="440" w:top="274" w:right="459" w:bottom="1440" w:gutter="0" w:footer="0" w:header="0"/>
        </w:sectPr>
      </w:pPr>
    </w:p>
    <w:bookmarkStart w:id="165" w:name="page166"/>
    <w:bookmarkEnd w:id="165"/>
    <w:p>
      <w:pPr>
        <w:ind w:left="4" w:right="40" w:firstLine="987"/>
        <w:spacing w:after="0" w:line="287" w:lineRule="auto"/>
        <w:tabs>
          <w:tab w:leader="none" w:pos="1385" w:val="left"/>
        </w:tabs>
        <w:numPr>
          <w:ilvl w:val="1"/>
          <w:numId w:val="1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Liens (i) on insurance policies and the proceeds thereof securing the financing of the premiums or reimbursement obligations with respect thereto and Liens arising out of deposits of cash and Cash Equivalents at any time securing deductibles, self-insurance, co-payment, co insurance, indemnification obligations, reimbursement, retentions and similar obligations to providers of insurance in the ordinary cause of business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connection with letters of credits, bank guarantees and similar instruments in support of the foregoing;</w:t>
      </w:r>
    </w:p>
    <w:p>
      <w:pPr>
        <w:spacing w:after="0" w:line="210" w:lineRule="exact"/>
        <w:rPr>
          <w:rFonts w:ascii="Arial" w:cs="Arial" w:eastAsia="Arial" w:hAnsi="Arial"/>
          <w:sz w:val="18"/>
          <w:szCs w:val="18"/>
          <w:color w:val="auto"/>
        </w:rPr>
      </w:pPr>
    </w:p>
    <w:p>
      <w:pPr>
        <w:ind w:left="4" w:right="980" w:firstLine="987"/>
        <w:spacing w:after="0" w:line="277" w:lineRule="auto"/>
        <w:tabs>
          <w:tab w:leader="none" w:pos="1345"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filing of precautionary financing statements in connection with operating leases, consignment arrangements or bailee arrangements entered into in the ordinary course of business;</w:t>
      </w:r>
    </w:p>
    <w:p>
      <w:pPr>
        <w:spacing w:after="0" w:line="170" w:lineRule="exact"/>
        <w:rPr>
          <w:rFonts w:ascii="Arial" w:cs="Arial" w:eastAsia="Arial" w:hAnsi="Arial"/>
          <w:sz w:val="18"/>
          <w:szCs w:val="18"/>
          <w:color w:val="auto"/>
        </w:rPr>
      </w:pPr>
    </w:p>
    <w:p>
      <w:pPr>
        <w:ind w:left="1424" w:hanging="433"/>
        <w:spacing w:after="0"/>
        <w:tabs>
          <w:tab w:leader="none" w:pos="1424" w:val="left"/>
        </w:tabs>
        <w:numPr>
          <w:ilvl w:val="1"/>
          <w:numId w:val="195"/>
        </w:numPr>
        <w:rPr>
          <w:rFonts w:ascii="Arial" w:cs="Arial" w:eastAsia="Arial" w:hAnsi="Arial"/>
          <w:sz w:val="16"/>
          <w:szCs w:val="16"/>
          <w:color w:val="auto"/>
        </w:rPr>
      </w:pPr>
      <w:r>
        <w:rPr>
          <w:rFonts w:ascii="Arial" w:cs="Arial" w:eastAsia="Arial" w:hAnsi="Arial"/>
          <w:sz w:val="16"/>
          <w:szCs w:val="16"/>
          <w:color w:val="auto"/>
        </w:rPr>
        <w:t>Liens in favor of customs and revenues authorities which secure payment of customs duties in connection with the importation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property;</w:t>
      </w:r>
    </w:p>
    <w:p>
      <w:pPr>
        <w:spacing w:after="0" w:line="210" w:lineRule="exact"/>
        <w:rPr>
          <w:rFonts w:ascii="Arial" w:cs="Arial" w:eastAsia="Arial" w:hAnsi="Arial"/>
          <w:sz w:val="16"/>
          <w:szCs w:val="16"/>
          <w:color w:val="auto"/>
        </w:rPr>
      </w:pPr>
    </w:p>
    <w:p>
      <w:pPr>
        <w:ind w:left="1384" w:hanging="393"/>
        <w:spacing w:after="0"/>
        <w:tabs>
          <w:tab w:leader="none" w:pos="1384" w:val="left"/>
        </w:tabs>
        <w:numPr>
          <w:ilvl w:val="1"/>
          <w:numId w:val="195"/>
        </w:numPr>
        <w:rPr>
          <w:rFonts w:ascii="Arial" w:cs="Arial" w:eastAsia="Arial" w:hAnsi="Arial"/>
          <w:sz w:val="16"/>
          <w:szCs w:val="16"/>
          <w:color w:val="auto"/>
        </w:rPr>
      </w:pPr>
      <w:r>
        <w:rPr>
          <w:rFonts w:ascii="Arial" w:cs="Arial" w:eastAsia="Arial" w:hAnsi="Arial"/>
          <w:sz w:val="16"/>
          <w:szCs w:val="16"/>
          <w:color w:val="auto"/>
        </w:rPr>
        <w:t>Liens which arise under Article 4 of the UCC and similar foreign laws on items in collection and documents and proceeds related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ind w:left="4" w:right="180" w:firstLine="987"/>
        <w:spacing w:after="0" w:line="279" w:lineRule="auto"/>
        <w:tabs>
          <w:tab w:leader="none" w:pos="1385" w:val="left"/>
        </w:tabs>
        <w:numPr>
          <w:ilvl w:val="1"/>
          <w:numId w:val="195"/>
        </w:numPr>
        <w:rPr>
          <w:rFonts w:ascii="Arial" w:cs="Arial" w:eastAsia="Arial" w:hAnsi="Arial"/>
          <w:sz w:val="17"/>
          <w:szCs w:val="17"/>
          <w:color w:val="auto"/>
        </w:rPr>
      </w:pPr>
      <w:r>
        <w:rPr>
          <w:rFonts w:ascii="Arial" w:cs="Arial" w:eastAsia="Arial" w:hAnsi="Arial"/>
          <w:sz w:val="17"/>
          <w:szCs w:val="17"/>
          <w:color w:val="auto"/>
        </w:rPr>
        <w:t xml:space="preserve">other </w:t>
      </w:r>
      <w:r>
        <w:rPr>
          <w:rFonts w:ascii="Arial" w:cs="Arial" w:eastAsia="Arial" w:hAnsi="Arial"/>
          <w:sz w:val="17"/>
          <w:szCs w:val="17"/>
          <w:u w:val="single" w:color="auto"/>
          <w:color w:val="0000E1"/>
        </w:rPr>
        <w:t>than an incurrence thereof during the Basket Suspension Period, other</w:t>
      </w:r>
      <w:r>
        <w:rPr>
          <w:rFonts w:ascii="Arial" w:cs="Arial" w:eastAsia="Arial" w:hAnsi="Arial"/>
          <w:sz w:val="17"/>
          <w:szCs w:val="17"/>
          <w:color w:val="auto"/>
        </w:rPr>
        <w:t xml:space="preserve"> Liens (x) not encumbering Principal Owned Properties or Principal Owned Property Holdcos and (y) securing indebtedness and other liabilities in an aggregate amount not to exceed the greater of (i) $20,000,000 and (ii) 10.0% of EBITDA of the Restricted Group Companies determined on a Pro Forma Basis for the period of four consecutive fiscal quarters most recently ended for which financial statements are available, at any time outstanding;</w:t>
      </w:r>
    </w:p>
    <w:p>
      <w:pPr>
        <w:spacing w:after="0" w:line="171" w:lineRule="exact"/>
        <w:rPr>
          <w:rFonts w:ascii="Arial" w:cs="Arial" w:eastAsia="Arial" w:hAnsi="Arial"/>
          <w:sz w:val="17"/>
          <w:szCs w:val="17"/>
          <w:color w:val="auto"/>
        </w:rPr>
      </w:pPr>
    </w:p>
    <w:p>
      <w:pPr>
        <w:ind w:left="4" w:firstLine="987"/>
        <w:spacing w:after="0" w:line="285" w:lineRule="auto"/>
        <w:tabs>
          <w:tab w:leader="none" w:pos="1385" w:val="left"/>
        </w:tabs>
        <w:numPr>
          <w:ilvl w:val="1"/>
          <w:numId w:val="195"/>
        </w:numPr>
        <w:rPr>
          <w:rFonts w:ascii="Arial" w:cs="Arial" w:eastAsia="Arial" w:hAnsi="Arial"/>
          <w:sz w:val="16"/>
          <w:szCs w:val="16"/>
          <w:color w:val="auto"/>
        </w:rPr>
      </w:pPr>
      <w:r>
        <w:rPr>
          <w:rFonts w:ascii="Arial" w:cs="Arial" w:eastAsia="Arial" w:hAnsi="Arial"/>
          <w:sz w:val="16"/>
          <w:szCs w:val="16"/>
          <w:color w:val="auto"/>
        </w:rPr>
        <w:t xml:space="preserve">Liens (i) assumed in connection with an Acquisition permitted hereunder in existence at the time of such Acquisition, not created in contemplation of such event and securing indebtedness of the type described in </w:t>
      </w:r>
      <w:r>
        <w:rPr>
          <w:rFonts w:ascii="Arial" w:cs="Arial" w:eastAsia="Arial" w:hAnsi="Arial"/>
          <w:sz w:val="16"/>
          <w:szCs w:val="16"/>
          <w:u w:val="single" w:color="auto"/>
          <w:color w:val="auto"/>
        </w:rPr>
        <w:t>Section 8.7(h)(i)</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(ii) securing indebtedness of the type described under </w:t>
      </w:r>
      <w:r>
        <w:rPr>
          <w:rFonts w:ascii="Arial" w:cs="Arial" w:eastAsia="Arial" w:hAnsi="Arial"/>
          <w:sz w:val="16"/>
          <w:szCs w:val="16"/>
          <w:u w:val="single" w:color="auto"/>
          <w:color w:val="auto"/>
        </w:rPr>
        <w:t>Section 8.7(h)(ii)</w:t>
      </w:r>
      <w:r>
        <w:rPr>
          <w:rFonts w:ascii="Arial" w:cs="Arial" w:eastAsia="Arial" w:hAnsi="Arial"/>
          <w:sz w:val="16"/>
          <w:szCs w:val="16"/>
          <w:color w:val="auto"/>
        </w:rPr>
        <w:t xml:space="preserve"> </w:t>
      </w:r>
      <w:r>
        <w:rPr>
          <w:rFonts w:ascii="Arial" w:cs="Arial" w:eastAsia="Arial" w:hAnsi="Arial"/>
          <w:sz w:val="16"/>
          <w:szCs w:val="16"/>
          <w:color w:val="FF0000"/>
          <w:strike w:val="1"/>
        </w:rPr>
        <w:t>so long as, in the case of this clause</w:t>
      </w:r>
      <w:r>
        <w:rPr>
          <w:rFonts w:ascii="Arial" w:cs="Arial" w:eastAsia="Arial" w:hAnsi="Arial"/>
          <w:sz w:val="16"/>
          <w:szCs w:val="16"/>
          <w:color w:val="auto"/>
        </w:rPr>
        <w:t xml:space="preserve"> </w:t>
      </w:r>
      <w:r>
        <w:rPr>
          <w:rFonts w:ascii="Arial" w:cs="Arial" w:eastAsia="Arial" w:hAnsi="Arial"/>
          <w:sz w:val="16"/>
          <w:szCs w:val="16"/>
          <w:color w:val="008000"/>
        </w:rPr>
        <w:t>(ii), as of the date of the definitive documentation of such Acquisition, the Borrower shall</w:t>
      </w:r>
      <w:r>
        <w:rPr>
          <w:rFonts w:ascii="Arial" w:cs="Arial" w:eastAsia="Arial" w:hAnsi="Arial"/>
          <w:sz w:val="16"/>
          <w:szCs w:val="16"/>
          <w:color w:val="auto"/>
        </w:rPr>
        <w:t xml:space="preserve"> </w:t>
      </w:r>
      <w:r>
        <w:rPr>
          <w:rFonts w:ascii="Arial" w:cs="Arial" w:eastAsia="Arial" w:hAnsi="Arial"/>
          <w:sz w:val="16"/>
          <w:szCs w:val="16"/>
          <w:color w:val="008000"/>
          <w:strike w:val="1"/>
        </w:rPr>
        <w:t xml:space="preserve">have delivered to the Administrative Agent evidence reasonably satisfactory to the Administrative Agent that the Borrower would have a Total Leverage Ratio on a Pro Forma Basis of not greater 3.25:1.00 and </w:t>
      </w:r>
      <w:r>
        <w:rPr>
          <w:rFonts w:ascii="Arial" w:cs="Arial" w:eastAsia="Arial" w:hAnsi="Arial"/>
          <w:sz w:val="16"/>
          <w:szCs w:val="16"/>
          <w:color w:val="000000"/>
          <w:strike w:val="1"/>
        </w:rPr>
        <w:t>(iii) securing any Permitted Refinancing of the indebtedness permitted by the foregoing</w:t>
      </w:r>
      <w:r>
        <w:rPr>
          <w:rFonts w:ascii="Arial" w:cs="Arial" w:eastAsia="Arial" w:hAnsi="Arial"/>
          <w:sz w:val="16"/>
          <w:szCs w:val="16"/>
          <w:color w:val="008000"/>
          <w:strike w:val="1"/>
        </w:rPr>
        <w:t xml:space="preserve"> </w:t>
      </w:r>
      <w:r>
        <w:rPr>
          <w:rFonts w:ascii="Arial" w:cs="Arial" w:eastAsia="Arial" w:hAnsi="Arial"/>
          <w:sz w:val="16"/>
          <w:szCs w:val="16"/>
          <w:u w:val="single" w:color="auto"/>
          <w:color w:val="000000"/>
          <w:strike w:val="1"/>
        </w:rPr>
        <w:t>clauses</w:t>
      </w:r>
    </w:p>
    <w:p>
      <w:pPr>
        <w:spacing w:after="0" w:line="1" w:lineRule="exact"/>
        <w:rPr>
          <w:rFonts w:ascii="Arial" w:cs="Arial" w:eastAsia="Arial" w:hAnsi="Arial"/>
          <w:sz w:val="16"/>
          <w:szCs w:val="16"/>
          <w:color w:val="auto"/>
        </w:rPr>
      </w:pPr>
    </w:p>
    <w:p>
      <w:pPr>
        <w:ind w:left="4" w:right="100" w:hanging="4"/>
        <w:spacing w:after="0" w:line="281" w:lineRule="auto"/>
        <w:tabs>
          <w:tab w:leader="none" w:pos="219" w:val="left"/>
        </w:tabs>
        <w:numPr>
          <w:ilvl w:val="0"/>
          <w:numId w:val="196"/>
        </w:numPr>
        <w:rPr>
          <w:rFonts w:ascii="Arial" w:cs="Arial" w:eastAsia="Arial" w:hAnsi="Arial"/>
          <w:sz w:val="16"/>
          <w:szCs w:val="16"/>
          <w:u w:val="single" w:color="auto"/>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no such Lien shall extend to or cover other Property not covered by the Lien on the date of acquisition and replacements thereof and additions thereto and the proceeds and products thereof and accessions thereto and assets financed by the same counterparty or its affiliate;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w:t>
      </w:r>
      <w:r>
        <w:rPr>
          <w:rFonts w:ascii="Arial" w:cs="Arial" w:eastAsia="Arial" w:hAnsi="Arial"/>
          <w:sz w:val="16"/>
          <w:szCs w:val="16"/>
          <w:color w:val="0000E1"/>
        </w:rPr>
        <w:t>in the case of clauses (i</w:t>
      </w:r>
      <w:r>
        <w:rPr>
          <w:rFonts w:ascii="Arial" w:cs="Arial" w:eastAsia="Arial" w:hAnsi="Arial"/>
          <w:sz w:val="16"/>
          <w:szCs w:val="16"/>
          <w:u w:val="single" w:color="auto"/>
          <w:color w:val="0000E1"/>
        </w:rPr>
        <w:t>) and</w:t>
      </w:r>
      <w:r>
        <w:rPr>
          <w:rFonts w:ascii="Arial" w:cs="Arial" w:eastAsia="Arial" w:hAnsi="Arial"/>
          <w:sz w:val="16"/>
          <w:szCs w:val="16"/>
          <w:color w:val="auto"/>
        </w:rPr>
        <w:t xml:space="preserve"> </w:t>
      </w:r>
      <w:r>
        <w:rPr>
          <w:rFonts w:ascii="Arial" w:cs="Arial" w:eastAsia="Arial" w:hAnsi="Arial"/>
          <w:sz w:val="16"/>
          <w:szCs w:val="16"/>
          <w:u w:val="single" w:color="auto"/>
          <w:color w:val="008000"/>
        </w:rPr>
        <w:t>(ii), as of the date of the definitive documentation of</w:t>
      </w:r>
      <w:r>
        <w:rPr>
          <w:rFonts w:ascii="Arial" w:cs="Arial" w:eastAsia="Arial" w:hAnsi="Arial"/>
          <w:sz w:val="16"/>
          <w:szCs w:val="16"/>
          <w:color w:val="auto"/>
        </w:rPr>
        <w:t xml:space="preserve"> </w:t>
      </w:r>
      <w:r>
        <w:rPr>
          <w:rFonts w:ascii="Arial" w:cs="Arial" w:eastAsia="Arial" w:hAnsi="Arial"/>
          <w:sz w:val="16"/>
          <w:szCs w:val="16"/>
          <w:u w:val="single" w:color="auto"/>
          <w:color w:val="0000E1"/>
        </w:rPr>
        <w:t>any</w:t>
      </w:r>
      <w:r>
        <w:rPr>
          <w:rFonts w:ascii="Arial" w:cs="Arial" w:eastAsia="Arial" w:hAnsi="Arial"/>
          <w:sz w:val="16"/>
          <w:szCs w:val="16"/>
          <w:color w:val="auto"/>
        </w:rPr>
        <w:t xml:space="preserve"> </w:t>
      </w:r>
      <w:r>
        <w:rPr>
          <w:rFonts w:ascii="Arial" w:cs="Arial" w:eastAsia="Arial" w:hAnsi="Arial"/>
          <w:sz w:val="16"/>
          <w:szCs w:val="16"/>
          <w:u w:val="single" w:color="auto"/>
          <w:color w:val="008000"/>
        </w:rPr>
        <w:t>such</w:t>
      </w:r>
      <w:r>
        <w:rPr>
          <w:rFonts w:ascii="Arial" w:cs="Arial" w:eastAsia="Arial" w:hAnsi="Arial"/>
          <w:sz w:val="16"/>
          <w:szCs w:val="16"/>
          <w:color w:val="auto"/>
        </w:rPr>
        <w:t xml:space="preserve"> </w:t>
      </w:r>
      <w:r>
        <w:rPr>
          <w:rFonts w:ascii="Arial" w:cs="Arial" w:eastAsia="Arial" w:hAnsi="Arial"/>
          <w:sz w:val="16"/>
          <w:szCs w:val="16"/>
          <w:u w:val="single" w:color="auto"/>
          <w:color w:val="008000"/>
        </w:rPr>
        <w:t>Acquisition, the Borrower shall have delivered to the Administrative Agent evidence reasonably satisfactory to the Administrative Agent that the Borrower would have a Total Leverage Ratio on a Pro Forma Basis of not greater 3.25:1.00</w:t>
      </w:r>
      <w:r>
        <w:rPr>
          <w:rFonts w:ascii="Arial" w:cs="Arial" w:eastAsia="Arial" w:hAnsi="Arial"/>
          <w:sz w:val="16"/>
          <w:szCs w:val="16"/>
          <w:u w:val="single" w:color="auto"/>
          <w:color w:val="0000E1"/>
        </w:rPr>
        <w:t>;</w:t>
      </w:r>
      <w:r>
        <w:rPr>
          <w:rFonts w:ascii="Arial" w:cs="Arial" w:eastAsia="Arial" w:hAnsi="Arial"/>
          <w:sz w:val="16"/>
          <w:szCs w:val="16"/>
          <w:color w:val="008000"/>
        </w:rPr>
        <w:t xml:space="preserve"> </w:t>
      </w:r>
      <w:r>
        <w:rPr>
          <w:rFonts w:ascii="Arial" w:cs="Arial" w:eastAsia="Arial" w:hAnsi="Arial"/>
          <w:sz w:val="16"/>
          <w:szCs w:val="16"/>
          <w:i w:val="1"/>
          <w:iCs w:val="1"/>
          <w:u w:val="single" w:color="auto"/>
          <w:color w:val="0000E1"/>
        </w:rPr>
        <w:t>provided,</w:t>
      </w:r>
      <w:r>
        <w:rPr>
          <w:rFonts w:ascii="Arial" w:cs="Arial" w:eastAsia="Arial" w:hAnsi="Arial"/>
          <w:sz w:val="16"/>
          <w:szCs w:val="16"/>
          <w:color w:val="008000"/>
        </w:rPr>
        <w:t xml:space="preserve"> </w:t>
      </w:r>
      <w:r>
        <w:rPr>
          <w:rFonts w:ascii="Arial" w:cs="Arial" w:eastAsia="Arial" w:hAnsi="Arial"/>
          <w:sz w:val="16"/>
          <w:szCs w:val="16"/>
          <w:u w:val="single" w:color="auto"/>
          <w:color w:val="0000E1"/>
        </w:rPr>
        <w:t>further, that</w:t>
      </w:r>
      <w:r>
        <w:rPr>
          <w:rFonts w:ascii="Arial" w:cs="Arial" w:eastAsia="Arial" w:hAnsi="Arial"/>
          <w:sz w:val="16"/>
          <w:szCs w:val="16"/>
          <w:color w:val="000000"/>
        </w:rPr>
        <w:t>, in each case of</w:t>
      </w:r>
      <w:r>
        <w:rPr>
          <w:rFonts w:ascii="Arial" w:cs="Arial" w:eastAsia="Arial" w:hAnsi="Arial"/>
          <w:sz w:val="16"/>
          <w:szCs w:val="16"/>
          <w:color w:val="008000"/>
        </w:rPr>
        <w:t xml:space="preserve"> </w:t>
      </w:r>
      <w:r>
        <w:rPr>
          <w:rFonts w:ascii="Arial" w:cs="Arial" w:eastAsia="Arial" w:hAnsi="Arial"/>
          <w:sz w:val="16"/>
          <w:szCs w:val="16"/>
          <w:u w:val="single" w:color="auto"/>
          <w:color w:val="000000"/>
        </w:rPr>
        <w:t>clauses (i)</w:t>
      </w:r>
      <w:r>
        <w:rPr>
          <w:rFonts w:ascii="Arial" w:cs="Arial" w:eastAsia="Arial" w:hAnsi="Arial"/>
          <w:sz w:val="16"/>
          <w:szCs w:val="16"/>
          <w:color w:val="000000"/>
        </w:rPr>
        <w:t>,</w:t>
      </w:r>
      <w:r>
        <w:rPr>
          <w:rFonts w:ascii="Arial" w:cs="Arial" w:eastAsia="Arial" w:hAnsi="Arial"/>
          <w:sz w:val="16"/>
          <w:szCs w:val="16"/>
          <w:color w:val="008000"/>
        </w:rPr>
        <w:t xml:space="preserve"> </w:t>
      </w:r>
      <w:r>
        <w:rPr>
          <w:rFonts w:ascii="Arial" w:cs="Arial" w:eastAsia="Arial" w:hAnsi="Arial"/>
          <w:sz w:val="16"/>
          <w:szCs w:val="16"/>
          <w:u w:val="single" w:color="auto"/>
          <w:color w:val="000000"/>
        </w:rPr>
        <w:t>(ii)</w:t>
      </w:r>
      <w:r>
        <w:rPr>
          <w:rFonts w:ascii="Arial" w:cs="Arial" w:eastAsia="Arial" w:hAnsi="Arial"/>
          <w:sz w:val="16"/>
          <w:szCs w:val="16"/>
          <w:color w:val="008000"/>
        </w:rPr>
        <w:t xml:space="preserve"> </w:t>
      </w:r>
      <w:r>
        <w:rPr>
          <w:rFonts w:ascii="Arial" w:cs="Arial" w:eastAsia="Arial" w:hAnsi="Arial"/>
          <w:sz w:val="16"/>
          <w:szCs w:val="16"/>
          <w:color w:val="000000"/>
        </w:rPr>
        <w:t>and</w:t>
      </w:r>
    </w:p>
    <w:p>
      <w:pPr>
        <w:spacing w:after="0" w:line="2" w:lineRule="exact"/>
        <w:rPr>
          <w:rFonts w:ascii="Arial" w:cs="Arial" w:eastAsia="Arial" w:hAnsi="Arial"/>
          <w:sz w:val="16"/>
          <w:szCs w:val="16"/>
          <w:u w:val="single" w:color="auto"/>
          <w:color w:val="auto"/>
        </w:rPr>
      </w:pPr>
    </w:p>
    <w:p>
      <w:pPr>
        <w:ind w:left="324" w:hanging="324"/>
        <w:spacing w:after="0"/>
        <w:tabs>
          <w:tab w:leader="none" w:pos="324" w:val="left"/>
        </w:tabs>
        <w:numPr>
          <w:ilvl w:val="0"/>
          <w:numId w:val="197"/>
        </w:numPr>
        <w:rPr>
          <w:rFonts w:ascii="Arial" w:cs="Arial" w:eastAsia="Arial" w:hAnsi="Arial"/>
          <w:sz w:val="16"/>
          <w:szCs w:val="16"/>
          <w:u w:val="single" w:color="auto"/>
          <w:color w:val="auto"/>
        </w:rPr>
      </w:pPr>
      <w:r>
        <w:rPr>
          <w:rFonts w:ascii="Arial" w:cs="Arial" w:eastAsia="Arial" w:hAnsi="Arial"/>
          <w:sz w:val="16"/>
          <w:szCs w:val="16"/>
          <w:color w:val="auto"/>
        </w:rPr>
        <w:t>the individual financings of property provided by one lender may be cross-collateralized to other financings provided by such lender or its affiliates;</w:t>
      </w:r>
    </w:p>
    <w:p>
      <w:pPr>
        <w:spacing w:after="0" w:line="233" w:lineRule="exact"/>
        <w:rPr>
          <w:rFonts w:ascii="Arial" w:cs="Arial" w:eastAsia="Arial" w:hAnsi="Arial"/>
          <w:sz w:val="16"/>
          <w:szCs w:val="16"/>
          <w:u w:val="single" w:color="auto"/>
          <w:color w:val="auto"/>
        </w:rPr>
      </w:pPr>
    </w:p>
    <w:p>
      <w:pPr>
        <w:ind w:left="4" w:right="120" w:firstLine="987"/>
        <w:spacing w:after="0" w:line="263" w:lineRule="auto"/>
        <w:tabs>
          <w:tab w:leader="none" w:pos="138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Liens for taxes, assessments, fees or governmental charges or levies (i) not yet due, (ii) being contested in good faith and by appropriate proceedings for which adequate reserves have been established in accordance with GAAP or (iii) as to which the underlying obligations do not exceed $5,000,000 in the aggregate;</w:t>
      </w:r>
    </w:p>
    <w:p>
      <w:pPr>
        <w:spacing w:after="0" w:line="183" w:lineRule="exact"/>
        <w:rPr>
          <w:rFonts w:ascii="Arial" w:cs="Arial" w:eastAsia="Arial" w:hAnsi="Arial"/>
          <w:sz w:val="18"/>
          <w:szCs w:val="18"/>
          <w:color w:val="auto"/>
        </w:rPr>
      </w:pPr>
    </w:p>
    <w:p>
      <w:pPr>
        <w:ind w:left="4" w:right="40" w:firstLine="987"/>
        <w:spacing w:after="0" w:line="257" w:lineRule="auto"/>
        <w:tabs>
          <w:tab w:leader="none" w:pos="135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 xml:space="preserve">Liens in existence on the Closing Date which are listed in </w:t>
      </w:r>
      <w:r>
        <w:rPr>
          <w:rFonts w:ascii="Arial" w:cs="Arial" w:eastAsia="Arial" w:hAnsi="Arial"/>
          <w:sz w:val="18"/>
          <w:szCs w:val="18"/>
          <w:u w:val="single" w:color="auto"/>
          <w:color w:val="auto"/>
        </w:rPr>
        <w:t>Schedule 8.8</w:t>
      </w:r>
      <w:r>
        <w:rPr>
          <w:rFonts w:ascii="Arial" w:cs="Arial" w:eastAsia="Arial" w:hAnsi="Arial"/>
          <w:sz w:val="18"/>
          <w:szCs w:val="18"/>
          <w:color w:val="auto"/>
        </w:rPr>
        <w:t xml:space="preserve">, but only to the respective date, if any, set forth in such </w:t>
      </w:r>
      <w:r>
        <w:rPr>
          <w:rFonts w:ascii="Arial" w:cs="Arial" w:eastAsia="Arial" w:hAnsi="Arial"/>
          <w:sz w:val="18"/>
          <w:szCs w:val="18"/>
          <w:u w:val="single" w:color="auto"/>
          <w:color w:val="auto"/>
        </w:rPr>
        <w:t>Schedule 8.8</w:t>
      </w:r>
      <w:r>
        <w:rPr>
          <w:rFonts w:ascii="Arial" w:cs="Arial" w:eastAsia="Arial" w:hAnsi="Arial"/>
          <w:sz w:val="18"/>
          <w:szCs w:val="18"/>
          <w:color w:val="auto"/>
        </w:rPr>
        <w:t xml:space="preserve"> for the removal, replacement and termination of any such Liens, </w:t>
      </w:r>
      <w:r>
        <w:rPr>
          <w:rFonts w:ascii="Arial" w:cs="Arial" w:eastAsia="Arial" w:hAnsi="Arial"/>
          <w:sz w:val="18"/>
          <w:szCs w:val="18"/>
          <w:i w:val="1"/>
          <w:iCs w:val="1"/>
          <w:color w:val="auto"/>
        </w:rPr>
        <w:t>plus</w:t>
      </w:r>
      <w:r>
        <w:rPr>
          <w:rFonts w:ascii="Arial" w:cs="Arial" w:eastAsia="Arial" w:hAnsi="Arial"/>
          <w:sz w:val="18"/>
          <w:szCs w:val="18"/>
          <w:color w:val="auto"/>
        </w:rPr>
        <w:t xml:space="preserve"> modifications, renewals, replacements and extensions of such Liens;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the aggregate principal amount of the indebtedness, if any, secured by such Liens does not increase from that amount outstanding at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time of any such modification, renewal, replacement or extension (other than as permitted by </w:t>
      </w:r>
      <w:r>
        <w:rPr>
          <w:rFonts w:ascii="Arial" w:cs="Arial" w:eastAsia="Arial" w:hAnsi="Arial"/>
          <w:sz w:val="18"/>
          <w:szCs w:val="18"/>
          <w:u w:val="single" w:color="auto"/>
          <w:color w:val="auto"/>
        </w:rPr>
        <w:t>Section 8.7</w:t>
      </w:r>
      <w:r>
        <w:rPr>
          <w:rFonts w:ascii="Arial" w:cs="Arial" w:eastAsia="Arial" w:hAnsi="Arial"/>
          <w:sz w:val="18"/>
          <w:szCs w:val="18"/>
          <w:color w:val="auto"/>
        </w:rPr>
        <w:t xml:space="preserve"> or in connection with any Permitted Refinancing of such indebtedness) and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-3428365</wp:posOffset>
            </wp:positionV>
            <wp:extent cx="3197225"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3197225" cy="8890"/>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-2545715</wp:posOffset>
            </wp:positionV>
            <wp:extent cx="412750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4127500" cy="8255"/>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-1816735</wp:posOffset>
            </wp:positionV>
            <wp:extent cx="109093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090930" cy="825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-1782445</wp:posOffset>
            </wp:positionV>
            <wp:extent cx="1379855"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379855" cy="8890"/>
                    </a:xfrm>
                    <a:prstGeom prst="rect">
                      <a:avLst/>
                    </a:prstGeom>
                    <a:noFill/>
                  </pic:spPr>
                </pic:pic>
              </a:graphicData>
            </a:graphic>
          </wp:anchor>
        </w:drawing>
        <w:drawing>
          <wp:anchor simplePos="0" relativeHeight="251657728" behindDoc="1" locked="0" layoutInCell="0" allowOverlap="1">
            <wp:simplePos x="0" y="0"/>
            <wp:positionH relativeFrom="column">
              <wp:posOffset>6086475</wp:posOffset>
            </wp:positionH>
            <wp:positionV relativeFrom="paragraph">
              <wp:posOffset>-1782445</wp:posOffset>
            </wp:positionV>
            <wp:extent cx="16256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-1508125</wp:posOffset>
            </wp:positionV>
            <wp:extent cx="105410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4"/>
          </w:cols>
          <w:pgMar w:left="436" w:top="274" w:right="459" w:bottom="1440" w:gutter="0" w:footer="0" w:header="0"/>
        </w:sectPr>
      </w:pPr>
    </w:p>
    <w:bookmarkStart w:id="166" w:name="page167"/>
    <w:bookmarkEnd w:id="166"/>
    <w:p>
      <w:pPr>
        <w:jc w:val="both"/>
        <w:ind w:left="4" w:right="4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such modification, renewal, replacement or extension does not encumber any additional assets or properties of any Restricted Group Company (other than after-acquired property that is affixed or incorporated into the property covered by such Lien or any proceeds and products thereof and accessions thereto and assets financed by the same counterparty or its affiliate);</w:t>
      </w:r>
    </w:p>
    <w:p>
      <w:pPr>
        <w:spacing w:after="0" w:line="184" w:lineRule="exact"/>
        <w:rPr>
          <w:sz w:val="20"/>
          <w:szCs w:val="20"/>
          <w:color w:val="auto"/>
        </w:rPr>
      </w:pPr>
    </w:p>
    <w:p>
      <w:pPr>
        <w:jc w:val="both"/>
        <w:ind w:left="4" w:right="60" w:firstLine="987"/>
        <w:spacing w:after="0" w:line="259" w:lineRule="auto"/>
        <w:tabs>
          <w:tab w:leader="none" w:pos="1365"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Liens (i) consisting of an agreement to dispose of any Property in a transaction permitted under </w:t>
      </w:r>
      <w:r>
        <w:rPr>
          <w:rFonts w:ascii="Arial" w:cs="Arial" w:eastAsia="Arial" w:hAnsi="Arial"/>
          <w:sz w:val="18"/>
          <w:szCs w:val="18"/>
          <w:u w:val="single" w:color="auto"/>
          <w:color w:val="auto"/>
        </w:rPr>
        <w:t>Section 8.10</w:t>
      </w:r>
      <w:r>
        <w:rPr>
          <w:rFonts w:ascii="Arial" w:cs="Arial" w:eastAsia="Arial" w:hAnsi="Arial"/>
          <w:sz w:val="18"/>
          <w:szCs w:val="18"/>
          <w:color w:val="auto"/>
        </w:rPr>
        <w:t xml:space="preserve">, (ii) attaching to earnest money deposits of cash or Cash Equivalents made by the a Restricted Group Company in connection with any letter of intent or purchase agreement in respect of a Permitted Acquisition or investment permitted under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and (iii) on cash or Cash Equivalents securing indebtedness in respect of any Existing Letter of Credit;</w:t>
      </w:r>
    </w:p>
    <w:p>
      <w:pPr>
        <w:spacing w:after="0" w:line="186" w:lineRule="exact"/>
        <w:rPr>
          <w:rFonts w:ascii="Arial" w:cs="Arial" w:eastAsia="Arial" w:hAnsi="Arial"/>
          <w:sz w:val="18"/>
          <w:szCs w:val="18"/>
          <w:color w:val="auto"/>
        </w:rPr>
      </w:pPr>
    </w:p>
    <w:p>
      <w:pPr>
        <w:ind w:left="1344" w:hanging="353"/>
        <w:spacing w:after="0"/>
        <w:tabs>
          <w:tab w:leader="none" w:pos="1344" w:val="left"/>
        </w:tabs>
        <w:numPr>
          <w:ilvl w:val="1"/>
          <w:numId w:val="198"/>
        </w:numPr>
        <w:rPr>
          <w:rFonts w:ascii="Arial" w:cs="Arial" w:eastAsia="Arial" w:hAnsi="Arial"/>
          <w:sz w:val="17"/>
          <w:szCs w:val="17"/>
          <w:color w:val="auto"/>
        </w:rPr>
      </w:pPr>
      <w:r>
        <w:rPr>
          <w:rFonts w:ascii="Arial" w:cs="Arial" w:eastAsia="Arial" w:hAnsi="Arial"/>
          <w:sz w:val="17"/>
          <w:szCs w:val="17"/>
          <w:color w:val="auto"/>
        </w:rPr>
        <w:t xml:space="preserve">(i) Liens in favor of a Restricted Group Company that is a Guarantor securing indebtedness permitted under </w:t>
      </w:r>
      <w:r>
        <w:rPr>
          <w:rFonts w:ascii="Arial" w:cs="Arial" w:eastAsia="Arial" w:hAnsi="Arial"/>
          <w:sz w:val="17"/>
          <w:szCs w:val="17"/>
          <w:u w:val="single" w:color="auto"/>
          <w:color w:val="auto"/>
        </w:rPr>
        <w:t>Section 8.7(e)</w:t>
      </w:r>
      <w:r>
        <w:rPr>
          <w:rFonts w:ascii="Arial" w:cs="Arial" w:eastAsia="Arial" w:hAnsi="Arial"/>
          <w:sz w:val="17"/>
          <w:szCs w:val="17"/>
          <w:color w:val="auto"/>
        </w:rPr>
        <w:t xml:space="preserve"> and</w:t>
      </w:r>
    </w:p>
    <w:p>
      <w:pPr>
        <w:spacing w:after="0" w:line="34" w:lineRule="exact"/>
        <w:rPr>
          <w:rFonts w:ascii="Arial" w:cs="Arial" w:eastAsia="Arial" w:hAnsi="Arial"/>
          <w:sz w:val="17"/>
          <w:szCs w:val="17"/>
          <w:color w:val="auto"/>
        </w:rPr>
      </w:pPr>
    </w:p>
    <w:p>
      <w:pPr>
        <w:ind w:left="4" w:right="660" w:hanging="4"/>
        <w:spacing w:after="0" w:line="260" w:lineRule="auto"/>
        <w:tabs>
          <w:tab w:leader="none" w:pos="26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Liens in favor of a Restricted Subsidiary that is not a Subsidiary Guarantor granted by another Restricted Subsidiary that is not a Subsidiary Guarantor;</w:t>
      </w:r>
    </w:p>
    <w:p>
      <w:pPr>
        <w:spacing w:after="0" w:line="185" w:lineRule="exact"/>
        <w:rPr>
          <w:rFonts w:ascii="Arial" w:cs="Arial" w:eastAsia="Arial" w:hAnsi="Arial"/>
          <w:sz w:val="18"/>
          <w:szCs w:val="18"/>
          <w:color w:val="auto"/>
        </w:rPr>
      </w:pPr>
    </w:p>
    <w:p>
      <w:pPr>
        <w:ind w:left="4" w:right="340" w:firstLine="987"/>
        <w:spacing w:after="0" w:line="263" w:lineRule="auto"/>
        <w:tabs>
          <w:tab w:leader="none" w:pos="1385"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 Liens arising out of conditional sale, title retention, consignment or similar arrangements for sale of goods entered into by a Restricted Group Company in the ordinary course of business and not prohibited by this Agreement and (ii) Liens arising by operation of law under Article 2 of the UCC or similar foreign laws in favor of a seller or buyer of goods;</w:t>
      </w:r>
    </w:p>
    <w:p>
      <w:pPr>
        <w:spacing w:after="0" w:line="183" w:lineRule="exact"/>
        <w:rPr>
          <w:rFonts w:ascii="Arial" w:cs="Arial" w:eastAsia="Arial" w:hAnsi="Arial"/>
          <w:sz w:val="18"/>
          <w:szCs w:val="18"/>
          <w:color w:val="auto"/>
        </w:rPr>
      </w:pPr>
    </w:p>
    <w:p>
      <w:pPr>
        <w:ind w:left="1384" w:hanging="393"/>
        <w:spacing w:after="0"/>
        <w:tabs>
          <w:tab w:leader="none" w:pos="1384" w:val="left"/>
        </w:tabs>
        <w:numPr>
          <w:ilvl w:val="1"/>
          <w:numId w:val="199"/>
        </w:numPr>
        <w:rPr>
          <w:rFonts w:ascii="Arial" w:cs="Arial" w:eastAsia="Arial" w:hAnsi="Arial"/>
          <w:sz w:val="17"/>
          <w:szCs w:val="17"/>
          <w:color w:val="auto"/>
        </w:rPr>
      </w:pPr>
      <w:r>
        <w:rPr>
          <w:rFonts w:ascii="Arial" w:cs="Arial" w:eastAsia="Arial" w:hAnsi="Arial"/>
          <w:sz w:val="17"/>
          <w:szCs w:val="17"/>
          <w:color w:val="auto"/>
        </w:rPr>
        <w:t xml:space="preserve">to the extent constituting Liens, (i) sales, leases, transfers or other dispositions expressly permitted under </w:t>
      </w:r>
      <w:r>
        <w:rPr>
          <w:rFonts w:ascii="Arial" w:cs="Arial" w:eastAsia="Arial" w:hAnsi="Arial"/>
          <w:sz w:val="17"/>
          <w:szCs w:val="17"/>
          <w:u w:val="single" w:color="auto"/>
          <w:color w:val="auto"/>
        </w:rPr>
        <w:t>Section 8.10</w:t>
      </w:r>
      <w:r>
        <w:rPr>
          <w:rFonts w:ascii="Arial" w:cs="Arial" w:eastAsia="Arial" w:hAnsi="Arial"/>
          <w:sz w:val="17"/>
          <w:szCs w:val="17"/>
          <w:color w:val="auto"/>
        </w:rPr>
        <w:t xml:space="preserve"> and</w:t>
      </w:r>
    </w:p>
    <w:p>
      <w:pPr>
        <w:spacing w:after="0" w:line="35" w:lineRule="exact"/>
        <w:rPr>
          <w:sz w:val="20"/>
          <w:szCs w:val="20"/>
          <w:color w:val="auto"/>
        </w:rPr>
      </w:pPr>
    </w:p>
    <w:p>
      <w:pPr>
        <w:ind w:left="4" w:right="840" w:hanging="4"/>
        <w:spacing w:after="0" w:line="260" w:lineRule="auto"/>
        <w:tabs>
          <w:tab w:leader="none" w:pos="26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customary transfer restrictions, purchase options, calls, puts, rights of first offer or refusal and tag, drag and similar rights in joint venture agreements;</w:t>
      </w:r>
    </w:p>
    <w:p>
      <w:pPr>
        <w:spacing w:after="0" w:line="185" w:lineRule="exact"/>
        <w:rPr>
          <w:rFonts w:ascii="Arial" w:cs="Arial" w:eastAsia="Arial" w:hAnsi="Arial"/>
          <w:sz w:val="18"/>
          <w:szCs w:val="18"/>
          <w:color w:val="auto"/>
        </w:rPr>
      </w:pPr>
    </w:p>
    <w:p>
      <w:pPr>
        <w:ind w:left="4" w:right="100" w:firstLine="987"/>
        <w:spacing w:after="0" w:line="277" w:lineRule="auto"/>
        <w:tabs>
          <w:tab w:leader="none" w:pos="142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Liens on cash or Cash Equivalents used to defease or to satisfy or discharge indebtedness and any interest, penalties or fees relating to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defeasance or satisfaction and discharge is not prohibited hereunder;</w:t>
      </w:r>
    </w:p>
    <w:p>
      <w:pPr>
        <w:spacing w:after="0" w:line="170" w:lineRule="exact"/>
        <w:rPr>
          <w:rFonts w:ascii="Arial" w:cs="Arial" w:eastAsia="Arial" w:hAnsi="Arial"/>
          <w:sz w:val="18"/>
          <w:szCs w:val="18"/>
          <w:color w:val="auto"/>
        </w:rPr>
      </w:pPr>
    </w:p>
    <w:p>
      <w:pPr>
        <w:jc w:val="both"/>
        <w:ind w:left="4" w:right="40" w:firstLine="987"/>
        <w:spacing w:after="0" w:line="301" w:lineRule="auto"/>
        <w:tabs>
          <w:tab w:leader="none" w:pos="1385" w:val="left"/>
        </w:tabs>
        <w:numPr>
          <w:ilvl w:val="1"/>
          <w:numId w:val="200"/>
        </w:numPr>
        <w:rPr>
          <w:rFonts w:ascii="Arial" w:cs="Arial" w:eastAsia="Arial" w:hAnsi="Arial"/>
          <w:sz w:val="16"/>
          <w:szCs w:val="16"/>
          <w:color w:val="auto"/>
        </w:rPr>
      </w:pPr>
      <w:r>
        <w:rPr>
          <w:rFonts w:ascii="Arial" w:cs="Arial" w:eastAsia="Arial" w:hAnsi="Arial"/>
          <w:sz w:val="16"/>
          <w:szCs w:val="16"/>
          <w:color w:val="auto"/>
        </w:rPr>
        <w:t xml:space="preserve">Liens on Property (i) of </w:t>
      </w:r>
      <w:r>
        <w:rPr>
          <w:rFonts w:ascii="Arial" w:cs="Arial" w:eastAsia="Arial" w:hAnsi="Arial"/>
          <w:sz w:val="16"/>
          <w:szCs w:val="16"/>
          <w:color w:val="FF0000"/>
          <w:strike w:val="1"/>
        </w:rPr>
        <w:t>(and Equity Interests in) any Foreign Subsidiary or any Disregarded Domestic Person (including any Person</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that becomes a Foreign Subsidiary or a Disregarded Domestic Person) or any of their respective Restricted Subsidiaries securing indebtedness and other obligations pursuant to Section 8.7(h)(iii), (ii) of </w:t>
      </w:r>
      <w:r>
        <w:rPr>
          <w:rFonts w:ascii="Arial" w:cs="Arial" w:eastAsia="Arial" w:hAnsi="Arial"/>
          <w:sz w:val="16"/>
          <w:szCs w:val="16"/>
          <w:color w:val="000000"/>
          <w:strike w:val="1"/>
        </w:rPr>
        <w:t>any Restricted Subsidiary that is not a Guarantor securing indebtedness of the Borrower or any of its</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Restricted Subsidiaries permitted under </w:t>
      </w:r>
      <w:r>
        <w:rPr>
          <w:rFonts w:ascii="Arial" w:cs="Arial" w:eastAsia="Arial" w:hAnsi="Arial"/>
          <w:sz w:val="16"/>
          <w:szCs w:val="16"/>
          <w:u w:val="single" w:color="auto"/>
          <w:color w:val="000000"/>
          <w:strike w:val="1"/>
        </w:rPr>
        <w:t>Section 8.7</w:t>
      </w:r>
      <w:r>
        <w:rPr>
          <w:rFonts w:ascii="Arial" w:cs="Arial" w:eastAsia="Arial" w:hAnsi="Arial"/>
          <w:sz w:val="16"/>
          <w:szCs w:val="16"/>
          <w:color w:val="000000"/>
          <w:strike w:val="1"/>
        </w:rPr>
        <w:t xml:space="preserve"> and (ii</w:t>
      </w:r>
      <w:r>
        <w:rPr>
          <w:rFonts w:ascii="Arial" w:cs="Arial" w:eastAsia="Arial" w:hAnsi="Arial"/>
          <w:sz w:val="16"/>
          <w:szCs w:val="16"/>
          <w:color w:val="FF0000"/>
          <w:strike w:val="1"/>
        </w:rPr>
        <w:t>i</w:t>
      </w:r>
      <w:r>
        <w:rPr>
          <w:rFonts w:ascii="Arial" w:cs="Arial" w:eastAsia="Arial" w:hAnsi="Arial"/>
          <w:sz w:val="16"/>
          <w:szCs w:val="16"/>
          <w:color w:val="000000"/>
          <w:strike w:val="1"/>
        </w:rPr>
        <w:t xml:space="preserve">) securing Permitted Refinancings in respect of the foregoing </w:t>
      </w:r>
      <w:r>
        <w:rPr>
          <w:rFonts w:ascii="Arial" w:cs="Arial" w:eastAsia="Arial" w:hAnsi="Arial"/>
          <w:sz w:val="16"/>
          <w:szCs w:val="16"/>
          <w:u w:val="single" w:color="auto"/>
          <w:color w:val="000000"/>
          <w:strike w:val="1"/>
        </w:rPr>
        <w:t>clause</w:t>
      </w:r>
      <w:r>
        <w:rPr>
          <w:rFonts w:ascii="Arial" w:cs="Arial" w:eastAsia="Arial" w:hAnsi="Arial"/>
          <w:sz w:val="16"/>
          <w:szCs w:val="16"/>
          <w:color w:val="FF0000"/>
          <w:strike w:val="1"/>
        </w:rPr>
        <w:t>s</w:t>
      </w:r>
      <w:r>
        <w:rPr>
          <w:rFonts w:ascii="Arial" w:cs="Arial" w:eastAsia="Arial" w:hAnsi="Arial"/>
          <w:sz w:val="16"/>
          <w:szCs w:val="16"/>
          <w:color w:val="000000"/>
          <w:strike w:val="1"/>
        </w:rPr>
        <w:t xml:space="preserve"> (i</w:t>
      </w:r>
      <w:r>
        <w:rPr>
          <w:rFonts w:ascii="Arial" w:cs="Arial" w:eastAsia="Arial" w:hAnsi="Arial"/>
          <w:sz w:val="16"/>
          <w:szCs w:val="16"/>
          <w:u w:val="single" w:color="auto"/>
          <w:color w:val="000000"/>
          <w:strike w:val="1"/>
        </w:rPr>
        <w:t>)</w:t>
      </w:r>
      <w:r>
        <w:rPr>
          <w:rFonts w:ascii="Arial" w:cs="Arial" w:eastAsia="Arial" w:hAnsi="Arial"/>
          <w:sz w:val="16"/>
          <w:szCs w:val="16"/>
          <w:color w:val="000000"/>
          <w:strike w:val="1"/>
        </w:rPr>
        <w:t xml:space="preserve"> </w:t>
      </w:r>
      <w:r>
        <w:rPr>
          <w:rFonts w:ascii="Arial" w:cs="Arial" w:eastAsia="Arial" w:hAnsi="Arial"/>
          <w:sz w:val="16"/>
          <w:szCs w:val="16"/>
          <w:color w:val="FF0000"/>
          <w:strike w:val="1"/>
        </w:rPr>
        <w:t>and (ii)</w:t>
      </w:r>
      <w:r>
        <w:rPr>
          <w:rFonts w:ascii="Arial" w:cs="Arial" w:eastAsia="Arial" w:hAnsi="Arial"/>
          <w:sz w:val="16"/>
          <w:szCs w:val="16"/>
          <w:color w:val="000000"/>
          <w:strike w:val="1"/>
        </w:rPr>
        <w:t>; and</w:t>
      </w:r>
    </w:p>
    <w:p>
      <w:pPr>
        <w:spacing w:after="0" w:line="157" w:lineRule="exact"/>
        <w:rPr>
          <w:rFonts w:ascii="Arial" w:cs="Arial" w:eastAsia="Arial" w:hAnsi="Arial"/>
          <w:sz w:val="16"/>
          <w:szCs w:val="16"/>
          <w:color w:val="auto"/>
        </w:rPr>
      </w:pPr>
    </w:p>
    <w:p>
      <w:pPr>
        <w:ind w:left="1384" w:hanging="393"/>
        <w:spacing w:after="0"/>
        <w:tabs>
          <w:tab w:leader="none" w:pos="1384"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Liens on the Collateral securing indebtedness and other obligations pursuant to </w:t>
      </w:r>
      <w:r>
        <w:rPr>
          <w:rFonts w:ascii="Arial" w:cs="Arial" w:eastAsia="Arial" w:hAnsi="Arial"/>
          <w:sz w:val="18"/>
          <w:szCs w:val="18"/>
          <w:u w:val="single" w:color="auto"/>
          <w:color w:val="auto"/>
        </w:rPr>
        <w:t>Section 8.7(s)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5853430</wp:posOffset>
            </wp:positionH>
            <wp:positionV relativeFrom="paragraph">
              <wp:posOffset>-284480</wp:posOffset>
            </wp:positionV>
            <wp:extent cx="9842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9842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-327660</wp:posOffset>
            </wp:positionV>
            <wp:extent cx="36195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361950" cy="8255"/>
                    </a:xfrm>
                    <a:prstGeom prst="rect">
                      <a:avLst/>
                    </a:prstGeom>
                    <a:noFill/>
                  </pic:spPr>
                </pic:pic>
              </a:graphicData>
            </a:graphic>
          </wp:anchor>
        </w:drawing>
      </w:r>
    </w:p>
    <w:p>
      <w:pPr>
        <w:spacing w:after="0" w:line="20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For the avoidance of doubt, except as permitted by this </w:t>
      </w:r>
      <w:r>
        <w:rPr>
          <w:rFonts w:ascii="Arial" w:cs="Arial" w:eastAsia="Arial" w:hAnsi="Arial"/>
          <w:sz w:val="18"/>
          <w:szCs w:val="18"/>
          <w:u w:val="single" w:color="auto"/>
          <w:color w:val="auto"/>
        </w:rPr>
        <w:t>Section 8.8</w:t>
      </w:r>
      <w:r>
        <w:rPr>
          <w:rFonts w:ascii="Arial" w:cs="Arial" w:eastAsia="Arial" w:hAnsi="Arial"/>
          <w:sz w:val="18"/>
          <w:szCs w:val="18"/>
          <w:color w:val="auto"/>
        </w:rPr>
        <w:t>, the Borrower shall not, nor shall it permit any of its Restricted Subsidiaries to, create, incur or permit to exist any Lien of any kind in favor of any Person on any leasehold interest of the Borrower or any Restricted Subsidiary as lessee of any Unit.</w:t>
      </w:r>
    </w:p>
    <w:p>
      <w:pPr>
        <w:spacing w:after="0" w:line="184" w:lineRule="exact"/>
        <w:rPr>
          <w:sz w:val="20"/>
          <w:szCs w:val="20"/>
          <w:color w:val="auto"/>
        </w:rPr>
      </w:pPr>
    </w:p>
    <w:p>
      <w:pPr>
        <w:ind w:left="4" w:right="180" w:firstLine="440"/>
        <w:spacing w:after="0" w:line="275" w:lineRule="auto"/>
        <w:rPr>
          <w:sz w:val="20"/>
          <w:szCs w:val="20"/>
          <w:color w:val="auto"/>
        </w:rPr>
      </w:pPr>
      <w:r>
        <w:rPr>
          <w:rFonts w:ascii="Arial" w:cs="Arial" w:eastAsia="Arial" w:hAnsi="Arial"/>
          <w:sz w:val="17"/>
          <w:szCs w:val="17"/>
          <w:color w:val="auto"/>
        </w:rPr>
        <w:t xml:space="preserve">Section 8.9 </w:t>
      </w:r>
      <w:r>
        <w:rPr>
          <w:rFonts w:ascii="Arial" w:cs="Arial" w:eastAsia="Arial" w:hAnsi="Arial"/>
          <w:sz w:val="17"/>
          <w:szCs w:val="17"/>
          <w:i w:val="1"/>
          <w:iCs w:val="1"/>
          <w:color w:val="auto"/>
        </w:rPr>
        <w:t>Investments, Acquisitions, Loans and Advances</w:t>
      </w:r>
      <w:r>
        <w:rPr>
          <w:rFonts w:ascii="Arial" w:cs="Arial" w:eastAsia="Arial" w:hAnsi="Arial"/>
          <w:sz w:val="17"/>
          <w:szCs w:val="17"/>
          <w:color w:val="auto"/>
        </w:rPr>
        <w:t xml:space="preserve">. The Borrower shall not, nor shall it permit any of its Restricted Subsidiaries to, directly or indirectly, make, retain or have outstanding any investments (whether through purchase of stock or obligations or otherwise) in, or loans or advances to (other than for travel or entertainment advances and other similar cash advances made to directors, officers, employees, members of management or consultants in the ordinary course of business), any other Person, or acquire all or any substantial part of the assets or business of any other Person or division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foregoing shall not apply to nor operate to prevent:</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84"/>
          </w:cols>
          <w:pgMar w:left="436" w:top="274" w:right="479" w:bottom="1440" w:gutter="0" w:footer="0" w:header="0"/>
        </w:sectPr>
      </w:pPr>
    </w:p>
    <w:bookmarkStart w:id="167" w:name="page168"/>
    <w:bookmarkEnd w:id="167"/>
    <w:p>
      <w:pPr>
        <w:ind w:left="-20" w:firstLine="987"/>
        <w:spacing w:after="0" w:line="301" w:lineRule="auto"/>
        <w:tabs>
          <w:tab w:leader="none" w:pos="1351" w:val="left"/>
        </w:tabs>
        <w:numPr>
          <w:ilvl w:val="0"/>
          <w:numId w:val="2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investments in direct obligations of the United States of America or of any agency or instrumentality thereof whose obligations constitute full faith and credit obligations of the United States of America, or, for any Foreign Subsidiary, investments in direct obligations of the national government of the countries where such Foreign Subsidiary is located or any agency or instrumentality thereof whose obligations constitute full faith and credit obligations of such government;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obligations shall mature within one year of the date of issuance thereof;</w:t>
      </w:r>
    </w:p>
    <w:p>
      <w:pPr>
        <w:spacing w:after="0" w:line="157" w:lineRule="exact"/>
        <w:rPr>
          <w:rFonts w:ascii="Arial" w:cs="Arial" w:eastAsia="Arial" w:hAnsi="Arial"/>
          <w:sz w:val="16"/>
          <w:szCs w:val="16"/>
          <w:color w:val="auto"/>
        </w:rPr>
      </w:pPr>
    </w:p>
    <w:p>
      <w:pPr>
        <w:ind w:left="-20" w:right="40" w:firstLine="987"/>
        <w:spacing w:after="0" w:line="277" w:lineRule="auto"/>
        <w:tabs>
          <w:tab w:leader="none" w:pos="136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investments in commercial paper not issued by the Borrower or any of its Affiliates rated at least P 1 by Moody’s and at least A-1 by S&amp;P maturing within one year of the date of issuance thereof and/or in cash;</w:t>
      </w:r>
    </w:p>
    <w:p>
      <w:pPr>
        <w:spacing w:after="0" w:line="170" w:lineRule="exact"/>
        <w:rPr>
          <w:rFonts w:ascii="Arial" w:cs="Arial" w:eastAsia="Arial" w:hAnsi="Arial"/>
          <w:sz w:val="18"/>
          <w:szCs w:val="18"/>
          <w:color w:val="auto"/>
        </w:rPr>
      </w:pPr>
    </w:p>
    <w:p>
      <w:pPr>
        <w:ind w:left="-20" w:right="80" w:firstLine="987"/>
        <w:spacing w:after="0" w:line="259" w:lineRule="auto"/>
        <w:tabs>
          <w:tab w:leader="none" w:pos="135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investments in demand deposit accounts, checking accounts and certificates of deposit issued by any Lender or by any United States commercial bank having capital and surplus of not less than $500,000,000 or, for any Foreign Subsidiary, issued by any bank located in the countries where such Foreign Subsidiary is located and which has capital and surplus of not less than $500,000,000 (or its equivalent), in each case which have a maturity of one year or less;</w:t>
      </w:r>
    </w:p>
    <w:p>
      <w:pPr>
        <w:spacing w:after="0" w:line="186" w:lineRule="exact"/>
        <w:rPr>
          <w:rFonts w:ascii="Arial" w:cs="Arial" w:eastAsia="Arial" w:hAnsi="Arial"/>
          <w:sz w:val="18"/>
          <w:szCs w:val="18"/>
          <w:color w:val="auto"/>
        </w:rPr>
      </w:pPr>
    </w:p>
    <w:p>
      <w:pPr>
        <w:ind w:left="-20" w:right="100" w:firstLine="987"/>
        <w:spacing w:after="0" w:line="259" w:lineRule="auto"/>
        <w:tabs>
          <w:tab w:leader="none" w:pos="136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investments in repurchase obligations with a term of not more than seven (7) days for underlying securities of the types described in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above entered into with any bank meeting the qualifications specified in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such agreements require physical delivery of the securities securing such repurchase agreement, except those delivered through the Federal Reserve Book Entry System (or equivalent systems for any jurisdiction of any Foreign Subsidiary);</w:t>
      </w:r>
    </w:p>
    <w:p>
      <w:pPr>
        <w:spacing w:after="0" w:line="186" w:lineRule="exact"/>
        <w:rPr>
          <w:rFonts w:ascii="Arial" w:cs="Arial" w:eastAsia="Arial" w:hAnsi="Arial"/>
          <w:sz w:val="18"/>
          <w:szCs w:val="18"/>
          <w:color w:val="auto"/>
        </w:rPr>
      </w:pPr>
    </w:p>
    <w:p>
      <w:pPr>
        <w:ind w:left="-20" w:right="800" w:firstLine="987"/>
        <w:spacing w:after="0" w:line="277" w:lineRule="auto"/>
        <w:tabs>
          <w:tab w:leader="none" w:pos="135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investments in any money market fund that invests substantially all of its assets in investments of the type described in the immediately preceding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FF0000"/>
          <w:strike w:val="1"/>
        </w:rPr>
        <w: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w:t>
      </w:r>
    </w:p>
    <w:p>
      <w:pPr>
        <w:spacing w:after="0" w:line="170" w:lineRule="exact"/>
        <w:rPr>
          <w:rFonts w:ascii="Arial" w:cs="Arial" w:eastAsia="Arial" w:hAnsi="Arial"/>
          <w:sz w:val="18"/>
          <w:szCs w:val="18"/>
          <w:color w:val="auto"/>
        </w:rPr>
      </w:pPr>
    </w:p>
    <w:p>
      <w:pPr>
        <w:jc w:val="both"/>
        <w:ind w:left="-20" w:firstLine="987"/>
        <w:spacing w:after="0" w:line="259" w:lineRule="auto"/>
        <w:tabs>
          <w:tab w:leader="none" w:pos="133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the Borrower and the Subsidiary Guarantors’ direct or indirect investments (whether in cash or assets) existing on the Closing Date in such amounts or with respect to such assets as set forth on </w:t>
      </w:r>
      <w:r>
        <w:rPr>
          <w:rFonts w:ascii="Arial" w:cs="Arial" w:eastAsia="Arial" w:hAnsi="Arial"/>
          <w:sz w:val="18"/>
          <w:szCs w:val="18"/>
          <w:u w:val="single" w:color="auto"/>
          <w:color w:val="auto"/>
        </w:rPr>
        <w:t>Schedule 8.9</w:t>
      </w:r>
      <w:r>
        <w:rPr>
          <w:rFonts w:ascii="Arial" w:cs="Arial" w:eastAsia="Arial" w:hAnsi="Arial"/>
          <w:sz w:val="18"/>
          <w:szCs w:val="18"/>
          <w:color w:val="auto"/>
        </w:rPr>
        <w:t xml:space="preserve"> and, to the extent any such investments is a loan or advance, any modifications, replacements, renewals and extensions (but not, in the case of investments in Restricted Subsidiaries that are not Subsidiary Guarantors, increase in the aggregate amount) of such investment;</w:t>
      </w:r>
    </w:p>
    <w:p>
      <w:pPr>
        <w:spacing w:after="0" w:line="186" w:lineRule="exact"/>
        <w:rPr>
          <w:rFonts w:ascii="Arial" w:cs="Arial" w:eastAsia="Arial" w:hAnsi="Arial"/>
          <w:sz w:val="18"/>
          <w:szCs w:val="18"/>
          <w:color w:val="auto"/>
        </w:rPr>
      </w:pPr>
    </w:p>
    <w:p>
      <w:pPr>
        <w:ind w:left="-20" w:right="200" w:firstLine="987"/>
        <w:spacing w:after="0" w:line="286" w:lineRule="auto"/>
        <w:tabs>
          <w:tab w:leader="none" w:pos="1361"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investments made from time to time by (i) the Borrower, by a Subsidiary Guarantor in the Borrower or by the Borrower or another Subsidiary Guarantor in a Subsidiary Guarantor, (ii) a Restricted Subsidiary that is not a Subsidiary Guarantor in the Borrower or any Restricted Subsidiary of the Borrower and (iii) the Borrower or any Restricted Subsidiary in Holdings, to the extent permitted by </w:t>
      </w:r>
      <w:r>
        <w:rPr>
          <w:rFonts w:ascii="Arial" w:cs="Arial" w:eastAsia="Arial" w:hAnsi="Arial"/>
          <w:sz w:val="17"/>
          <w:szCs w:val="17"/>
          <w:u w:val="single" w:color="auto"/>
          <w:color w:val="auto"/>
        </w:rPr>
        <w:t>Section 8.12</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1360" w:hanging="393"/>
        <w:spacing w:after="0"/>
        <w:tabs>
          <w:tab w:leader="none" w:pos="136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0000E1"/>
        </w:rPr>
        <w:t>other than during the Basket Suspension Period,</w:t>
      </w:r>
      <w:r>
        <w:rPr>
          <w:rFonts w:ascii="Arial" w:cs="Arial" w:eastAsia="Arial" w:hAnsi="Arial"/>
          <w:sz w:val="18"/>
          <w:szCs w:val="18"/>
          <w:color w:val="0000E1"/>
        </w:rPr>
        <w:t xml:space="preserve"> </w:t>
      </w:r>
      <w:r>
        <w:rPr>
          <w:rFonts w:ascii="Arial" w:cs="Arial" w:eastAsia="Arial" w:hAnsi="Arial"/>
          <w:sz w:val="18"/>
          <w:szCs w:val="18"/>
          <w:color w:val="000000"/>
        </w:rPr>
        <w:t>Permitted Acquisitions;</w:t>
      </w:r>
    </w:p>
    <w:p>
      <w:pPr>
        <w:spacing w:after="0" w:line="225" w:lineRule="exact"/>
        <w:rPr>
          <w:rFonts w:ascii="Arial" w:cs="Arial" w:eastAsia="Arial" w:hAnsi="Arial"/>
          <w:sz w:val="18"/>
          <w:szCs w:val="18"/>
          <w:color w:val="auto"/>
        </w:rPr>
      </w:pPr>
    </w:p>
    <w:p>
      <w:pPr>
        <w:ind w:left="1320" w:hanging="353"/>
        <w:spacing w:after="0"/>
        <w:tabs>
          <w:tab w:leader="none" w:pos="13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guarantees and deposits permitted under </w:t>
      </w:r>
      <w:r>
        <w:rPr>
          <w:rFonts w:ascii="Arial" w:cs="Arial" w:eastAsia="Arial" w:hAnsi="Arial"/>
          <w:sz w:val="18"/>
          <w:szCs w:val="18"/>
          <w:u w:val="single" w:color="auto"/>
          <w:color w:val="auto"/>
        </w:rPr>
        <w:t>Section 8.7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300" w:firstLine="987"/>
        <w:spacing w:after="0" w:line="342" w:lineRule="auto"/>
        <w:tabs>
          <w:tab w:leader="none" w:pos="132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investments (including indebtedness obligations) received in connection with the bankruptcy or reorganization of suppliers and customers and in settlement of delinquent obligations of, and other disputes with, customers and suppliers arising in the ordinary course of business;</w:t>
      </w:r>
    </w:p>
    <w:p>
      <w:pPr>
        <w:spacing w:after="0" w:line="123" w:lineRule="exact"/>
        <w:rPr>
          <w:rFonts w:ascii="Arial" w:cs="Arial" w:eastAsia="Arial" w:hAnsi="Arial"/>
          <w:sz w:val="16"/>
          <w:szCs w:val="16"/>
          <w:color w:val="auto"/>
        </w:rPr>
      </w:pPr>
    </w:p>
    <w:p>
      <w:pPr>
        <w:ind w:left="-20" w:right="80" w:firstLine="987"/>
        <w:spacing w:after="0" w:line="263" w:lineRule="auto"/>
        <w:tabs>
          <w:tab w:leader="none" w:pos="136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transfers of assets among the Restricted Group Companies, in accordance with </w:t>
      </w:r>
      <w:r>
        <w:rPr>
          <w:rFonts w:ascii="Arial" w:cs="Arial" w:eastAsia="Arial" w:hAnsi="Arial"/>
          <w:sz w:val="18"/>
          <w:szCs w:val="18"/>
          <w:u w:val="single" w:color="auto"/>
          <w:color w:val="auto"/>
        </w:rPr>
        <w:t>Section 8.10</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transfer of assets among the Borrower and Subsidiary Guarantors shall be made expressly subject to the security interest granted to the Administrative Agent pursuant to the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-1236980</wp:posOffset>
            </wp:positionV>
            <wp:extent cx="220281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60"/>
          </w:cols>
          <w:pgMar w:left="460" w:top="274" w:right="479" w:bottom="1440" w:gutter="0" w:footer="0" w:header="0"/>
        </w:sectPr>
      </w:pPr>
    </w:p>
    <w:bookmarkStart w:id="168" w:name="page169"/>
    <w:bookmarkEnd w:id="168"/>
    <w:p>
      <w:pPr>
        <w:ind w:left="4" w:right="220" w:firstLine="987"/>
        <w:spacing w:after="0" w:line="263" w:lineRule="auto"/>
        <w:tabs>
          <w:tab w:leader="none" w:pos="1345" w:val="left"/>
        </w:tabs>
        <w:numPr>
          <w:ilvl w:val="1"/>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acquired in connection with the satisfaction or enforcement of indebtedness or claims due or owing or as security for any such indebtedness or claim, so long as the same are pledged to the Collateral Agent to secure the Obligations if required pursuant to the Collateral Documents;</w:t>
      </w:r>
    </w:p>
    <w:p>
      <w:pPr>
        <w:spacing w:after="0" w:line="183" w:lineRule="exact"/>
        <w:rPr>
          <w:rFonts w:ascii="Arial" w:cs="Arial" w:eastAsia="Arial" w:hAnsi="Arial"/>
          <w:sz w:val="18"/>
          <w:szCs w:val="18"/>
          <w:color w:val="auto"/>
        </w:rPr>
      </w:pPr>
    </w:p>
    <w:p>
      <w:pPr>
        <w:ind w:left="1484" w:hanging="493"/>
        <w:spacing w:after="0"/>
        <w:tabs>
          <w:tab w:leader="none" w:pos="1484" w:val="left"/>
        </w:tabs>
        <w:numPr>
          <w:ilvl w:val="1"/>
          <w:numId w:val="202"/>
        </w:numPr>
        <w:rPr>
          <w:rFonts w:ascii="Arial" w:cs="Arial" w:eastAsia="Arial" w:hAnsi="Arial"/>
          <w:sz w:val="16"/>
          <w:szCs w:val="16"/>
          <w:color w:val="auto"/>
        </w:rPr>
      </w:pPr>
      <w:r>
        <w:rPr>
          <w:rFonts w:ascii="Arial" w:cs="Arial" w:eastAsia="Arial" w:hAnsi="Arial"/>
          <w:sz w:val="16"/>
          <w:szCs w:val="16"/>
          <w:u w:val="single" w:color="auto"/>
          <w:color w:val="0000E1"/>
        </w:rPr>
        <w:t>other than the making thereof during the Basket Suspension Period,</w:t>
      </w:r>
      <w:r>
        <w:rPr>
          <w:rFonts w:ascii="Arial" w:cs="Arial" w:eastAsia="Arial" w:hAnsi="Arial"/>
          <w:sz w:val="16"/>
          <w:szCs w:val="16"/>
          <w:color w:val="0000E1"/>
        </w:rPr>
        <w:t xml:space="preserve"> </w:t>
      </w:r>
      <w:r>
        <w:rPr>
          <w:rFonts w:ascii="Arial" w:cs="Arial" w:eastAsia="Arial" w:hAnsi="Arial"/>
          <w:sz w:val="16"/>
          <w:szCs w:val="16"/>
          <w:color w:val="000000"/>
        </w:rPr>
        <w:t>in addition to investments permitted under</w:t>
      </w:r>
      <w:r>
        <w:rPr>
          <w:rFonts w:ascii="Arial" w:cs="Arial" w:eastAsia="Arial" w:hAnsi="Arial"/>
          <w:sz w:val="16"/>
          <w:szCs w:val="16"/>
          <w:color w:val="0000E1"/>
        </w:rPr>
        <w:t xml:space="preserve"> </w:t>
      </w:r>
      <w:r>
        <w:rPr>
          <w:rFonts w:ascii="Arial" w:cs="Arial" w:eastAsia="Arial" w:hAnsi="Arial"/>
          <w:sz w:val="16"/>
          <w:szCs w:val="16"/>
          <w:u w:val="single" w:color="auto"/>
          <w:color w:val="000000"/>
        </w:rPr>
        <w:t>clause (g)</w:t>
      </w:r>
      <w:r>
        <w:rPr>
          <w:rFonts w:ascii="Arial" w:cs="Arial" w:eastAsia="Arial" w:hAnsi="Arial"/>
          <w:sz w:val="16"/>
          <w:szCs w:val="16"/>
          <w:color w:val="0000E1"/>
        </w:rPr>
        <w:t xml:space="preserve"> </w:t>
      </w:r>
      <w:r>
        <w:rPr>
          <w:rFonts w:ascii="Arial" w:cs="Arial" w:eastAsia="Arial" w:hAnsi="Arial"/>
          <w:sz w:val="16"/>
          <w:szCs w:val="16"/>
          <w:color w:val="000000"/>
        </w:rPr>
        <w:t>above,</w:t>
      </w:r>
    </w:p>
    <w:p>
      <w:pPr>
        <w:spacing w:after="0" w:line="46" w:lineRule="exact"/>
        <w:rPr>
          <w:rFonts w:ascii="Arial" w:cs="Arial" w:eastAsia="Arial" w:hAnsi="Arial"/>
          <w:sz w:val="16"/>
          <w:szCs w:val="16"/>
          <w:color w:val="auto"/>
        </w:rPr>
      </w:pPr>
    </w:p>
    <w:p>
      <w:pPr>
        <w:ind w:left="224" w:hanging="224"/>
        <w:spacing w:after="0"/>
        <w:tabs>
          <w:tab w:leader="none" w:pos="22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investments made from time to time by the Borrower or any Subsidiary Guarantor in (x) Restricted Subsidiaries that are not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-121920</wp:posOffset>
            </wp:positionV>
            <wp:extent cx="3094355"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ind w:left="4" w:hanging="4"/>
        <w:spacing w:after="0" w:line="281" w:lineRule="auto"/>
        <w:tabs>
          <w:tab w:leader="none" w:pos="259"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Unrestricted Subsidiaries and (z) joint ventures, (ii) investments made from time to time by the Borrower or any Restricted Subsidiary in any Foreign Subsidiary or any Statutory Subsidiary, to the extent consisting of contributions or other sales, transfers or other dispositions of Equity Interests in Foreign Subsidiaries or Statutory Subsidiaries and (iii) consisting of any amount required to permit any such Restricted Subsidiary to consummate a Permitted Acquisition, in an aggregate amount at any one time outstanding under this </w:t>
      </w:r>
      <w:r>
        <w:rPr>
          <w:rFonts w:ascii="Arial" w:cs="Arial" w:eastAsia="Arial" w:hAnsi="Arial"/>
          <w:sz w:val="16"/>
          <w:szCs w:val="16"/>
          <w:u w:val="single" w:color="auto"/>
          <w:color w:val="auto"/>
        </w:rPr>
        <w:t>clause (m)</w:t>
      </w:r>
      <w:r>
        <w:rPr>
          <w:rFonts w:ascii="Arial" w:cs="Arial" w:eastAsia="Arial" w:hAnsi="Arial"/>
          <w:sz w:val="16"/>
          <w:szCs w:val="16"/>
          <w:color w:val="auto"/>
        </w:rPr>
        <w:t xml:space="preserve"> not to exceed the greater of (i) $75,000,000 and (ii)</w:t>
      </w:r>
    </w:p>
    <w:p>
      <w:pPr>
        <w:spacing w:after="0" w:line="2" w:lineRule="exact"/>
        <w:rPr>
          <w:rFonts w:ascii="Arial" w:cs="Arial" w:eastAsia="Arial" w:hAnsi="Arial"/>
          <w:sz w:val="16"/>
          <w:szCs w:val="16"/>
          <w:color w:val="auto"/>
        </w:rPr>
      </w:pPr>
    </w:p>
    <w:p>
      <w:pPr>
        <w:ind w:left="4" w:right="180"/>
        <w:spacing w:after="0" w:line="260" w:lineRule="auto"/>
        <w:rPr>
          <w:rFonts w:ascii="Arial" w:cs="Arial" w:eastAsia="Arial" w:hAnsi="Arial"/>
          <w:sz w:val="16"/>
          <w:szCs w:val="16"/>
          <w:color w:val="auto"/>
        </w:rPr>
      </w:pPr>
      <w:r>
        <w:rPr>
          <w:rFonts w:ascii="Arial" w:cs="Arial" w:eastAsia="Arial" w:hAnsi="Arial"/>
          <w:sz w:val="18"/>
          <w:szCs w:val="18"/>
          <w:color w:val="auto"/>
        </w:rPr>
        <w:t>35.0% of EBITDA of the Restricted Group determined on a Pro Forma Basis for the period of four consecutive fiscal quarters most recently ended for which financial statements are available;</w:t>
      </w:r>
    </w:p>
    <w:p>
      <w:pPr>
        <w:spacing w:after="0" w:line="185" w:lineRule="exact"/>
        <w:rPr>
          <w:rFonts w:ascii="Arial" w:cs="Arial" w:eastAsia="Arial" w:hAnsi="Arial"/>
          <w:sz w:val="16"/>
          <w:szCs w:val="16"/>
          <w:color w:val="auto"/>
        </w:rPr>
      </w:pPr>
    </w:p>
    <w:p>
      <w:pPr>
        <w:ind w:left="4" w:firstLine="987"/>
        <w:spacing w:after="0" w:line="291" w:lineRule="auto"/>
        <w:tabs>
          <w:tab w:leader="none" w:pos="1385" w:val="left"/>
        </w:tabs>
        <w:numPr>
          <w:ilvl w:val="1"/>
          <w:numId w:val="204"/>
        </w:numPr>
        <w:rPr>
          <w:rFonts w:ascii="Arial" w:cs="Arial" w:eastAsia="Arial" w:hAnsi="Arial"/>
          <w:sz w:val="16"/>
          <w:szCs w:val="16"/>
          <w:color w:val="auto"/>
        </w:rPr>
      </w:pPr>
      <w:r>
        <w:rPr>
          <w:rFonts w:ascii="Arial" w:cs="Arial" w:eastAsia="Arial" w:hAnsi="Arial"/>
          <w:sz w:val="16"/>
          <w:szCs w:val="16"/>
          <w:color w:val="auto"/>
        </w:rPr>
        <w:t xml:space="preserve">other </w:t>
      </w:r>
      <w:r>
        <w:rPr>
          <w:rFonts w:ascii="Arial" w:cs="Arial" w:eastAsia="Arial" w:hAnsi="Arial"/>
          <w:sz w:val="16"/>
          <w:szCs w:val="16"/>
          <w:u w:val="single" w:color="auto"/>
          <w:color w:val="0000E1"/>
        </w:rPr>
        <w:t>than the making thereof during the Basket Suspension Period, other</w:t>
      </w:r>
      <w:r>
        <w:rPr>
          <w:rFonts w:ascii="Arial" w:cs="Arial" w:eastAsia="Arial" w:hAnsi="Arial"/>
          <w:sz w:val="16"/>
          <w:szCs w:val="16"/>
          <w:color w:val="auto"/>
        </w:rPr>
        <w:t xml:space="preserve"> investments, loans, and advances in addition to those otherwise permitted by this </w:t>
      </w:r>
      <w:r>
        <w:rPr>
          <w:rFonts w:ascii="Arial" w:cs="Arial" w:eastAsia="Arial" w:hAnsi="Arial"/>
          <w:sz w:val="16"/>
          <w:szCs w:val="16"/>
          <w:u w:val="single" w:color="auto"/>
          <w:color w:val="auto"/>
        </w:rPr>
        <w:t>Section 8.9</w:t>
      </w:r>
      <w:r>
        <w:rPr>
          <w:rFonts w:ascii="Arial" w:cs="Arial" w:eastAsia="Arial" w:hAnsi="Arial"/>
          <w:sz w:val="16"/>
          <w:szCs w:val="16"/>
          <w:color w:val="auto"/>
        </w:rPr>
        <w:t xml:space="preserve"> in an amount not to exceed in the aggregate at any one time outstanding (i) the greater of (x) $35,000,000 and (y) 15.0% of EBITDA of the Restricted Group determined on a Pro Forma Basis for the period of four consecutive fiscal quarters most recently ended for which financial statements are available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portion, if any of the Cumulative Credit on the date of such election that the Borrower elects to apply to this </w:t>
      </w:r>
      <w:r>
        <w:rPr>
          <w:rFonts w:ascii="Arial" w:cs="Arial" w:eastAsia="Arial" w:hAnsi="Arial"/>
          <w:sz w:val="16"/>
          <w:szCs w:val="16"/>
          <w:u w:val="single" w:color="auto"/>
          <w:color w:val="auto"/>
        </w:rPr>
        <w:t>Section 8.9(n)</w:t>
      </w:r>
      <w:r>
        <w:rPr>
          <w:rFonts w:ascii="Arial" w:cs="Arial" w:eastAsia="Arial" w:hAnsi="Arial"/>
          <w:sz w:val="16"/>
          <w:szCs w:val="16"/>
          <w:color w:val="auto"/>
        </w:rPr>
        <w:t xml:space="preserv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the portion, if any, of the amounts available to make Restricted Payments pursuant to </w:t>
      </w:r>
      <w:r>
        <w:rPr>
          <w:rFonts w:ascii="Arial" w:cs="Arial" w:eastAsia="Arial" w:hAnsi="Arial"/>
          <w:sz w:val="16"/>
          <w:szCs w:val="16"/>
          <w:u w:val="single" w:color="auto"/>
          <w:color w:val="auto"/>
        </w:rPr>
        <w:t>Section 8.12(</w:t>
      </w:r>
      <w:r>
        <w:rPr>
          <w:rFonts w:ascii="Arial" w:cs="Arial" w:eastAsia="Arial" w:hAnsi="Arial"/>
          <w:sz w:val="16"/>
          <w:szCs w:val="16"/>
          <w:color w:val="FF0000"/>
          <w:strike w:val="1"/>
        </w:rPr>
        <w:t>xii</w:t>
      </w:r>
      <w:r>
        <w:rPr>
          <w:rFonts w:ascii="Arial" w:cs="Arial" w:eastAsia="Arial" w:hAnsi="Arial"/>
          <w:sz w:val="16"/>
          <w:szCs w:val="16"/>
          <w:u w:val="single" w:color="auto"/>
          <w:color w:val="0000E1"/>
        </w:rPr>
        <w:t>l</w:t>
      </w:r>
      <w:r>
        <w:rPr>
          <w:rFonts w:ascii="Arial" w:cs="Arial" w:eastAsia="Arial" w:hAnsi="Arial"/>
          <w:sz w:val="16"/>
          <w:szCs w:val="16"/>
          <w:u w:val="single" w:color="auto"/>
          <w:color w:val="auto"/>
        </w:rPr>
        <w:t>)</w:t>
      </w:r>
      <w:r>
        <w:rPr>
          <w:rFonts w:ascii="Arial" w:cs="Arial" w:eastAsia="Arial" w:hAnsi="Arial"/>
          <w:sz w:val="16"/>
          <w:szCs w:val="16"/>
          <w:color w:val="auto"/>
        </w:rPr>
        <w:t xml:space="preserve"> on the date of such election that the Borrower elects to apply to this </w:t>
      </w:r>
      <w:r>
        <w:rPr>
          <w:rFonts w:ascii="Arial" w:cs="Arial" w:eastAsia="Arial" w:hAnsi="Arial"/>
          <w:sz w:val="16"/>
          <w:szCs w:val="16"/>
          <w:u w:val="single" w:color="auto"/>
          <w:color w:val="auto"/>
        </w:rPr>
        <w:t>Section 8.9(n)</w:t>
      </w:r>
      <w:r>
        <w:rPr>
          <w:rFonts w:ascii="Arial" w:cs="Arial" w:eastAsia="Arial" w:hAnsi="Arial"/>
          <w:sz w:val="16"/>
          <w:szCs w:val="16"/>
          <w:color w:val="auto"/>
        </w:rPr>
        <w:t xml:space="preserve"> </w:t>
      </w:r>
      <w:r>
        <w:rPr>
          <w:rFonts w:ascii="Arial" w:cs="Arial" w:eastAsia="Arial" w:hAnsi="Arial"/>
          <w:sz w:val="16"/>
          <w:szCs w:val="16"/>
          <w:i w:val="1"/>
          <w:iCs w:val="1"/>
          <w:color w:val="auto"/>
        </w:rPr>
        <w:t>plus</w:t>
      </w:r>
      <w:r>
        <w:rPr>
          <w:rFonts w:ascii="Arial" w:cs="Arial" w:eastAsia="Arial" w:hAnsi="Arial"/>
          <w:sz w:val="16"/>
          <w:szCs w:val="16"/>
          <w:color w:val="auto"/>
        </w:rPr>
        <w:t xml:space="preserve"> (iv) the portion, if any, of the amounts available to make prepayments or redemptions pursuant to </w:t>
      </w:r>
      <w:r>
        <w:rPr>
          <w:rFonts w:ascii="Arial" w:cs="Arial" w:eastAsia="Arial" w:hAnsi="Arial"/>
          <w:sz w:val="16"/>
          <w:szCs w:val="16"/>
          <w:u w:val="single" w:color="auto"/>
          <w:color w:val="auto"/>
        </w:rPr>
        <w:t>Section 8.21(b)(vi)</w:t>
      </w:r>
      <w:r>
        <w:rPr>
          <w:rFonts w:ascii="Arial" w:cs="Arial" w:eastAsia="Arial" w:hAnsi="Arial"/>
          <w:sz w:val="16"/>
          <w:szCs w:val="16"/>
          <w:color w:val="auto"/>
        </w:rPr>
        <w:t xml:space="preserve"> on the date of such election that the Borrower elects to apply to this </w:t>
      </w:r>
      <w:r>
        <w:rPr>
          <w:rFonts w:ascii="Arial" w:cs="Arial" w:eastAsia="Arial" w:hAnsi="Arial"/>
          <w:sz w:val="16"/>
          <w:szCs w:val="16"/>
          <w:u w:val="single" w:color="auto"/>
          <w:color w:val="auto"/>
        </w:rPr>
        <w:t>Section 8.9(n)</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1384" w:hanging="393"/>
        <w:spacing w:after="0"/>
        <w:tabs>
          <w:tab w:leader="none" w:pos="1384"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investments to the extent reflecting an increase in the value of investments otherwise permitted by this </w:t>
      </w:r>
      <w:r>
        <w:rPr>
          <w:rFonts w:ascii="Arial" w:cs="Arial" w:eastAsia="Arial" w:hAnsi="Arial"/>
          <w:sz w:val="18"/>
          <w:szCs w:val="18"/>
          <w:u w:val="single" w:color="auto"/>
          <w:color w:val="auto"/>
        </w:rPr>
        <w:t>Section 8.9</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1"/>
          <w:numId w:val="204"/>
        </w:numPr>
        <w:rPr>
          <w:rFonts w:ascii="Arial" w:cs="Arial" w:eastAsia="Arial" w:hAnsi="Arial"/>
          <w:sz w:val="17"/>
          <w:szCs w:val="17"/>
          <w:color w:val="auto"/>
        </w:rPr>
      </w:pPr>
      <w:r>
        <w:rPr>
          <w:rFonts w:ascii="Arial" w:cs="Arial" w:eastAsia="Arial" w:hAnsi="Arial"/>
          <w:sz w:val="17"/>
          <w:szCs w:val="17"/>
          <w:color w:val="auto"/>
        </w:rPr>
        <w:t xml:space="preserve">loans, notes or investments (i) that could otherwise be made as a distribution permitted under </w:t>
      </w:r>
      <w:r>
        <w:rPr>
          <w:rFonts w:ascii="Arial" w:cs="Arial" w:eastAsia="Arial" w:hAnsi="Arial"/>
          <w:sz w:val="17"/>
          <w:szCs w:val="17"/>
          <w:u w:val="single" w:color="auto"/>
          <w:color w:val="auto"/>
        </w:rPr>
        <w:t>Section 8.12</w:t>
      </w:r>
      <w:r>
        <w:rPr>
          <w:rFonts w:ascii="Arial" w:cs="Arial" w:eastAsia="Arial" w:hAnsi="Arial"/>
          <w:sz w:val="17"/>
          <w:szCs w:val="17"/>
          <w:color w:val="auto"/>
        </w:rPr>
        <w:t xml:space="preserve"> or (ii) received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-1340485</wp:posOffset>
            </wp:positionV>
            <wp:extent cx="3094355"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3094355" cy="889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-791845</wp:posOffset>
            </wp:positionV>
            <wp:extent cx="342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non-cash consideration in connection with a sale, transfer, lease or other disposition permitted by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211" w:lineRule="exact"/>
        <w:rPr>
          <w:sz w:val="20"/>
          <w:szCs w:val="20"/>
          <w:color w:val="auto"/>
        </w:rPr>
      </w:pPr>
    </w:p>
    <w:p>
      <w:pPr>
        <w:ind w:left="4" w:right="240" w:firstLine="987"/>
        <w:spacing w:after="0" w:line="342" w:lineRule="auto"/>
        <w:tabs>
          <w:tab w:leader="none" w:pos="138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purchases of inventory in the ordinary course of business and investments necessary to comply with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or which result from the reinvestment of proceeds of a sale, transfer, lease of other disposition or Event of Loss as permitted under this Agreement;</w:t>
      </w:r>
    </w:p>
    <w:p>
      <w:pPr>
        <w:spacing w:after="0" w:line="123" w:lineRule="exact"/>
        <w:rPr>
          <w:rFonts w:ascii="Arial" w:cs="Arial" w:eastAsia="Arial" w:hAnsi="Arial"/>
          <w:sz w:val="16"/>
          <w:szCs w:val="16"/>
          <w:color w:val="auto"/>
        </w:rPr>
      </w:pPr>
    </w:p>
    <w:p>
      <w:pPr>
        <w:ind w:left="1344" w:hanging="353"/>
        <w:spacing w:after="0"/>
        <w:tabs>
          <w:tab w:leader="none" w:pos="1344"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prepaid expenses or lease, utility and other similar deposits, in each case made in the ordinary course of business;</w:t>
      </w:r>
    </w:p>
    <w:p>
      <w:pPr>
        <w:spacing w:after="0" w:line="225" w:lineRule="exact"/>
        <w:rPr>
          <w:rFonts w:ascii="Arial" w:cs="Arial" w:eastAsia="Arial" w:hAnsi="Arial"/>
          <w:sz w:val="18"/>
          <w:szCs w:val="18"/>
          <w:color w:val="auto"/>
        </w:rPr>
      </w:pPr>
    </w:p>
    <w:p>
      <w:pPr>
        <w:ind w:left="4" w:right="220" w:firstLine="987"/>
        <w:spacing w:after="0" w:line="277" w:lineRule="auto"/>
        <w:tabs>
          <w:tab w:leader="none" w:pos="136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Borrower and the Restricted Subsidiaries may hold accounts receivable or notes owing to any of them in the ordinary course of business or acquired in connection with any Acquisition permitted hereunder;</w:t>
      </w:r>
    </w:p>
    <w:p>
      <w:pPr>
        <w:spacing w:after="0" w:line="170" w:lineRule="exact"/>
        <w:rPr>
          <w:rFonts w:ascii="Arial" w:cs="Arial" w:eastAsia="Arial" w:hAnsi="Arial"/>
          <w:sz w:val="18"/>
          <w:szCs w:val="18"/>
          <w:color w:val="auto"/>
        </w:rPr>
      </w:pPr>
    </w:p>
    <w:p>
      <w:pPr>
        <w:ind w:left="4" w:right="20" w:firstLine="987"/>
        <w:spacing w:after="0" w:line="259" w:lineRule="auto"/>
        <w:tabs>
          <w:tab w:leader="none" w:pos="1345"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0000E1"/>
        </w:rPr>
        <w:t>other than the making thereof during the Basket Suspension Period,</w:t>
      </w:r>
      <w:r>
        <w:rPr>
          <w:rFonts w:ascii="Arial" w:cs="Arial" w:eastAsia="Arial" w:hAnsi="Arial"/>
          <w:sz w:val="18"/>
          <w:szCs w:val="18"/>
          <w:color w:val="0000E1"/>
        </w:rPr>
        <w:t xml:space="preserve"> </w:t>
      </w:r>
      <w:r>
        <w:rPr>
          <w:rFonts w:ascii="Arial" w:cs="Arial" w:eastAsia="Arial" w:hAnsi="Arial"/>
          <w:sz w:val="18"/>
          <w:szCs w:val="18"/>
          <w:color w:val="000000"/>
        </w:rPr>
        <w:t>the Borrower and the Restricted Subsidiaries may make</w:t>
      </w:r>
      <w:r>
        <w:rPr>
          <w:rFonts w:ascii="Arial" w:cs="Arial" w:eastAsia="Arial" w:hAnsi="Arial"/>
          <w:sz w:val="18"/>
          <w:szCs w:val="18"/>
          <w:color w:val="0000E1"/>
        </w:rPr>
        <w:t xml:space="preserve"> </w:t>
      </w:r>
      <w:r>
        <w:rPr>
          <w:rFonts w:ascii="Arial" w:cs="Arial" w:eastAsia="Arial" w:hAnsi="Arial"/>
          <w:sz w:val="18"/>
          <w:szCs w:val="18"/>
          <w:color w:val="000000"/>
        </w:rPr>
        <w:t xml:space="preserve">additional </w:t>
      </w:r>
      <w:r>
        <w:rPr>
          <w:rFonts w:ascii="Arial" w:cs="Arial" w:eastAsia="Arial" w:hAnsi="Arial"/>
          <w:sz w:val="18"/>
          <w:szCs w:val="18"/>
          <w:color w:val="FF0000"/>
          <w:strike w:val="1"/>
        </w:rPr>
        <w:t>I</w:t>
      </w:r>
      <w:r>
        <w:rPr>
          <w:rFonts w:ascii="Arial" w:cs="Arial" w:eastAsia="Arial" w:hAnsi="Arial"/>
          <w:sz w:val="18"/>
          <w:szCs w:val="18"/>
          <w:u w:val="single" w:color="auto"/>
          <w:color w:val="0000E1"/>
        </w:rPr>
        <w:t>i</w:t>
      </w:r>
      <w:r>
        <w:rPr>
          <w:rFonts w:ascii="Arial" w:cs="Arial" w:eastAsia="Arial" w:hAnsi="Arial"/>
          <w:sz w:val="18"/>
          <w:szCs w:val="18"/>
          <w:color w:val="000000"/>
        </w:rPr>
        <w:t xml:space="preserve">nvestments so long as, as of the date of the definitive documentation of such </w:t>
      </w:r>
      <w:r>
        <w:rPr>
          <w:rFonts w:ascii="Arial" w:cs="Arial" w:eastAsia="Arial" w:hAnsi="Arial"/>
          <w:sz w:val="18"/>
          <w:szCs w:val="18"/>
          <w:color w:val="FF0000"/>
          <w:strike w:val="1"/>
        </w:rPr>
        <w:t>I</w:t>
      </w:r>
      <w:r>
        <w:rPr>
          <w:rFonts w:ascii="Arial" w:cs="Arial" w:eastAsia="Arial" w:hAnsi="Arial"/>
          <w:sz w:val="18"/>
          <w:szCs w:val="18"/>
          <w:u w:val="single" w:color="auto"/>
          <w:color w:val="0000E1"/>
        </w:rPr>
        <w:t>i</w:t>
      </w:r>
      <w:r>
        <w:rPr>
          <w:rFonts w:ascii="Arial" w:cs="Arial" w:eastAsia="Arial" w:hAnsi="Arial"/>
          <w:sz w:val="18"/>
          <w:szCs w:val="18"/>
          <w:color w:val="000000"/>
        </w:rPr>
        <w:t xml:space="preserve">nvestment, the Borrower shall be in compliance with a Total Leverage Ratio of 2.50:1.00 on a Pro Forma Basis as of the last day of the most recently ended fiscal quarter for which financial statements are available on or prior to the date of the definitive documentation of such </w:t>
      </w:r>
      <w:r>
        <w:rPr>
          <w:rFonts w:ascii="Arial" w:cs="Arial" w:eastAsia="Arial" w:hAnsi="Arial"/>
          <w:sz w:val="18"/>
          <w:szCs w:val="18"/>
          <w:color w:val="FF0000"/>
          <w:strike w:val="1"/>
        </w:rPr>
        <w:t>I</w:t>
      </w:r>
      <w:r>
        <w:rPr>
          <w:rFonts w:ascii="Arial" w:cs="Arial" w:eastAsia="Arial" w:hAnsi="Arial"/>
          <w:sz w:val="18"/>
          <w:szCs w:val="18"/>
          <w:u w:val="single" w:color="auto"/>
          <w:color w:val="0000E1"/>
        </w:rPr>
        <w:t>i</w:t>
      </w:r>
      <w:r>
        <w:rPr>
          <w:rFonts w:ascii="Arial" w:cs="Arial" w:eastAsia="Arial" w:hAnsi="Arial"/>
          <w:sz w:val="18"/>
          <w:szCs w:val="18"/>
          <w:color w:val="000000"/>
        </w:rPr>
        <w:t>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-412115</wp:posOffset>
            </wp:positionV>
            <wp:extent cx="3094355"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3094355" cy="8890"/>
                    </a:xfrm>
                    <a:prstGeom prst="rect">
                      <a:avLst/>
                    </a:prstGeom>
                    <a:noFill/>
                  </pic:spPr>
                </pic:pic>
              </a:graphicData>
            </a:graphic>
          </wp:anchor>
        </w:drawing>
        <w:drawing>
          <wp:anchor simplePos="0" relativeHeight="251657728" behindDoc="1" locked="0" layoutInCell="0" allowOverlap="1">
            <wp:simplePos x="0" y="0"/>
            <wp:positionH relativeFrom="column">
              <wp:posOffset>522605</wp:posOffset>
            </wp:positionH>
            <wp:positionV relativeFrom="paragraph">
              <wp:posOffset>-274955</wp:posOffset>
            </wp:positionV>
            <wp:extent cx="3429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-274955</wp:posOffset>
            </wp:positionV>
            <wp:extent cx="2540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2888615</wp:posOffset>
            </wp:positionH>
            <wp:positionV relativeFrom="paragraph">
              <wp:posOffset>-635</wp:posOffset>
            </wp:positionV>
            <wp:extent cx="254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4"/>
          </w:cols>
          <w:pgMar w:left="436" w:top="274" w:right="459" w:bottom="1440" w:gutter="0" w:footer="0" w:header="0"/>
        </w:sectPr>
      </w:pPr>
    </w:p>
    <w:bookmarkStart w:id="169" w:name="page170"/>
    <w:bookmarkEnd w:id="169"/>
    <w:p>
      <w:pPr>
        <w:ind w:right="180" w:firstLine="987"/>
        <w:spacing w:after="0" w:line="301" w:lineRule="auto"/>
        <w:tabs>
          <w:tab w:leader="none" w:pos="1381" w:val="left"/>
        </w:tabs>
        <w:numPr>
          <w:ilvl w:val="0"/>
          <w:numId w:val="2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investments constituting obligations of one or more directors, officers, employees, members of management or consultants of Holdings and its Restricted Subsidiaries in connection with such directors’, officers’ or employees’ acquisition of Equity Interests of Holdings or any Restricted Subsidiary (or any direct or indirect parent company), so long as no cash is actually advanced by Holdings, the Borrower or any Restricted Subsidiary to such directors, officers employees, members of management or consultants in connection with the acquisition of any such obligations;</w:t>
      </w:r>
    </w:p>
    <w:p>
      <w:pPr>
        <w:spacing w:after="0" w:line="157" w:lineRule="exact"/>
        <w:rPr>
          <w:rFonts w:ascii="Arial" w:cs="Arial" w:eastAsia="Arial" w:hAnsi="Arial"/>
          <w:sz w:val="16"/>
          <w:szCs w:val="16"/>
          <w:color w:val="auto"/>
        </w:rPr>
      </w:pPr>
    </w:p>
    <w:p>
      <w:pPr>
        <w:ind w:right="20" w:firstLine="987"/>
        <w:spacing w:after="0" w:line="301" w:lineRule="auto"/>
        <w:tabs>
          <w:tab w:leader="none" w:pos="1381"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(a) investments resulting from pledges and deposits made in connection with any applicable Permitted Lien and (b) to the extent constituting an investment, (i) the creation of Permitted Liens, (ii) Indebtedness for Borrowed Money permitted under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8.7(e)</w:t>
      </w:r>
      <w:r>
        <w:rPr>
          <w:rFonts w:ascii="Arial" w:cs="Arial" w:eastAsia="Arial" w:hAnsi="Arial"/>
          <w:sz w:val="16"/>
          <w:szCs w:val="16"/>
          <w:color w:val="auto"/>
        </w:rPr>
        <w:t xml:space="preserve">); (iii) the consummation of sales, transfers, leases or other dispositions permitted under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8.10(n)</w:t>
      </w:r>
      <w:r>
        <w:rPr>
          <w:rFonts w:ascii="Arial" w:cs="Arial" w:eastAsia="Arial" w:hAnsi="Arial"/>
          <w:sz w:val="16"/>
          <w:szCs w:val="16"/>
          <w:color w:val="auto"/>
        </w:rPr>
        <w:t xml:space="preserve">), (iv) the making of Restricted Payments permitted under </w:t>
      </w:r>
      <w:r>
        <w:rPr>
          <w:rFonts w:ascii="Arial" w:cs="Arial" w:eastAsia="Arial" w:hAnsi="Arial"/>
          <w:sz w:val="16"/>
          <w:szCs w:val="16"/>
          <w:u w:val="single" w:color="auto"/>
          <w:color w:val="auto"/>
        </w:rPr>
        <w:t>Section 8.12</w:t>
      </w:r>
      <w:r>
        <w:rPr>
          <w:rFonts w:ascii="Arial" w:cs="Arial" w:eastAsia="Arial" w:hAnsi="Arial"/>
          <w:sz w:val="16"/>
          <w:szCs w:val="16"/>
          <w:color w:val="auto"/>
        </w:rPr>
        <w:t xml:space="preserve"> </w:t>
      </w:r>
      <w:r>
        <w:rPr>
          <w:rFonts w:ascii="Arial" w:cs="Arial" w:eastAsia="Arial" w:hAnsi="Arial"/>
          <w:sz w:val="16"/>
          <w:szCs w:val="16"/>
          <w:u w:val="single" w:color="auto"/>
          <w:color w:val="0000E1"/>
        </w:rPr>
        <w:t>(other than Section 8.12(j))</w:t>
      </w:r>
      <w:r>
        <w:rPr>
          <w:rFonts w:ascii="Arial" w:cs="Arial" w:eastAsia="Arial" w:hAnsi="Arial"/>
          <w:sz w:val="16"/>
          <w:szCs w:val="16"/>
          <w:color w:val="auto"/>
        </w:rPr>
        <w:t xml:space="preserve"> and (v) the making of payments permitted by </w:t>
      </w:r>
      <w:r>
        <w:rPr>
          <w:rFonts w:ascii="Arial" w:cs="Arial" w:eastAsia="Arial" w:hAnsi="Arial"/>
          <w:sz w:val="16"/>
          <w:szCs w:val="16"/>
          <w:u w:val="single" w:color="auto"/>
          <w:color w:val="auto"/>
        </w:rPr>
        <w:t>Section 8.21</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right="20" w:firstLine="987"/>
        <w:spacing w:after="0" w:line="263" w:lineRule="auto"/>
        <w:tabs>
          <w:tab w:leader="none" w:pos="142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loans and advances to Holdings in lieu of, and not in excess of the amount of (after giving effect to any other loans, advances or Restricted Payments in respect thereof), Restricted Payments to the extent permitted to be made in cash to Holdings (or such parent) in accordance with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investments made in connection with the Transactions;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advances of payroll to directors, officers, employees, members of management or consultants in the ordinary course of business;</w:t>
      </w:r>
    </w:p>
    <w:p>
      <w:pPr>
        <w:spacing w:after="0" w:line="248" w:lineRule="exact"/>
        <w:rPr>
          <w:rFonts w:ascii="Arial" w:cs="Arial" w:eastAsia="Arial" w:hAnsi="Arial"/>
          <w:sz w:val="16"/>
          <w:szCs w:val="16"/>
          <w:color w:val="auto"/>
        </w:rPr>
      </w:pPr>
    </w:p>
    <w:p>
      <w:pPr>
        <w:ind w:right="300" w:firstLine="987"/>
        <w:spacing w:after="0" w:line="277" w:lineRule="auto"/>
        <w:tabs>
          <w:tab w:leader="none" w:pos="137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 investments in the ordinary course of business consisting of endorsements for collection or deposit; and (ii) extension of trade credit in the ordinary course of business or consistent with past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-1519555</wp:posOffset>
            </wp:positionV>
            <wp:extent cx="1276985"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150" w:lineRule="exact"/>
        <w:rPr>
          <w:sz w:val="20"/>
          <w:szCs w:val="20"/>
          <w:color w:val="auto"/>
        </w:rPr>
      </w:pPr>
    </w:p>
    <w:p>
      <w:pPr>
        <w:ind w:right="80" w:firstLine="987"/>
        <w:spacing w:after="0" w:line="259" w:lineRule="auto"/>
        <w:tabs>
          <w:tab w:leader="none" w:pos="145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investments held (or committed to be made) by a Person that becomes a Restricted Subsidiary (or is merged, amalgamated or consolidated with or into the Borrower or a Restricted Subsidiary) in connection with a Permitted Acquisition or investment otherwise permitted under this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to the extent such investments were not made in contemplation of or in connection with such acquisition, merger, amalgamation or consolidation;</w:t>
      </w:r>
    </w:p>
    <w:p>
      <w:pPr>
        <w:spacing w:after="0" w:line="186" w:lineRule="exact"/>
        <w:rPr>
          <w:rFonts w:ascii="Arial" w:cs="Arial" w:eastAsia="Arial" w:hAnsi="Arial"/>
          <w:sz w:val="18"/>
          <w:szCs w:val="18"/>
          <w:color w:val="auto"/>
        </w:rPr>
      </w:pPr>
    </w:p>
    <w:p>
      <w:pPr>
        <w:ind w:right="360" w:firstLine="987"/>
        <w:spacing w:after="0" w:line="277" w:lineRule="auto"/>
        <w:tabs>
          <w:tab w:leader="none" w:pos="147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investments to the extent the consideration paid therefor consists solely of Equity Interests of the applicable Person (other than Disqualified Stock) or any direct or indirect parent thereof or contributions to such Person; and</w:t>
      </w:r>
    </w:p>
    <w:p>
      <w:pPr>
        <w:spacing w:after="0" w:line="170" w:lineRule="exact"/>
        <w:rPr>
          <w:rFonts w:ascii="Arial" w:cs="Arial" w:eastAsia="Arial" w:hAnsi="Arial"/>
          <w:sz w:val="18"/>
          <w:szCs w:val="18"/>
          <w:color w:val="auto"/>
        </w:rPr>
      </w:pPr>
    </w:p>
    <w:p>
      <w:pPr>
        <w:ind w:left="1500" w:hanging="513"/>
        <w:spacing w:after="0"/>
        <w:tabs>
          <w:tab w:leader="none" w:pos="15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investments in Principal Owned Properties owned by (x) the Borrower and (y) Guarantors that are Restricted Subsidiaries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determining the amount of investments, acquisitions, loans, and advances permitted under this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investments and acquisitions shall always be taken at the original cost thereof (regardless of any subsequent appreciation or depreciation therein), and loans and advances shall be taken at the principal amount thereof then remaining unpaid, </w:t>
      </w:r>
      <w:r>
        <w:rPr>
          <w:rFonts w:ascii="Arial" w:cs="Arial" w:eastAsia="Arial" w:hAnsi="Arial"/>
          <w:sz w:val="18"/>
          <w:szCs w:val="18"/>
          <w:i w:val="1"/>
          <w:iCs w:val="1"/>
          <w:color w:val="auto"/>
        </w:rPr>
        <w:t>less</w:t>
      </w:r>
      <w:r>
        <w:rPr>
          <w:rFonts w:ascii="Arial" w:cs="Arial" w:eastAsia="Arial" w:hAnsi="Arial"/>
          <w:sz w:val="18"/>
          <w:szCs w:val="18"/>
          <w:color w:val="auto"/>
        </w:rPr>
        <w:t xml:space="preserve"> any distribution in the nature of a return on or return of investment, including the principal amount of any loan or advance or any similar payment, in respect of any such investment.</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Mergers, Consolidations and Sales.</w:t>
      </w:r>
      <w:r>
        <w:rPr>
          <w:rFonts w:ascii="Arial" w:cs="Arial" w:eastAsia="Arial" w:hAnsi="Arial"/>
          <w:sz w:val="18"/>
          <w:szCs w:val="18"/>
          <w:color w:val="auto"/>
        </w:rPr>
        <w:t xml:space="preserve"> The Borrower shall not, nor shall it permit any of its Restricted Subsidiaries to, consummate any merger or consolidation, or sell, transfer, lease or otherwise dispose of all or any part of its Property, including any disposition of Property as part of a Sale/Leaseback Transaction </w:t>
      </w:r>
      <w:r>
        <w:rPr>
          <w:rFonts w:ascii="Arial" w:cs="Arial" w:eastAsia="Arial" w:hAnsi="Arial"/>
          <w:sz w:val="18"/>
          <w:szCs w:val="18"/>
          <w:color w:val="0000E1"/>
        </w:rPr>
        <w:t>or pursuant to a Division</w:t>
      </w:r>
      <w:r>
        <w:rPr>
          <w:rFonts w:ascii="Arial" w:cs="Arial" w:eastAsia="Arial" w:hAnsi="Arial"/>
          <w:sz w:val="18"/>
          <w:szCs w:val="18"/>
          <w:color w:val="auto"/>
        </w:rPr>
        <w:t>, or in any event sell or discount (with or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-2540</wp:posOffset>
            </wp:positionV>
            <wp:extent cx="116586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165860"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-36830</wp:posOffset>
            </wp:positionV>
            <wp:extent cx="116459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40"/>
          </w:cols>
          <w:pgMar w:left="440" w:top="274" w:right="51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recourse) any of its notes or accounts receivable;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8.10</w:t>
      </w:r>
      <w:r>
        <w:rPr>
          <w:rFonts w:ascii="Arial" w:cs="Arial" w:eastAsia="Arial" w:hAnsi="Arial"/>
          <w:sz w:val="18"/>
          <w:szCs w:val="18"/>
          <w:color w:val="auto"/>
        </w:rPr>
        <w:t xml:space="preserve"> shall not apply to nor operate to prevent:</w:t>
      </w:r>
    </w:p>
    <w:p>
      <w:pPr>
        <w:spacing w:after="0" w:line="225" w:lineRule="exact"/>
        <w:rPr>
          <w:sz w:val="20"/>
          <w:szCs w:val="20"/>
          <w:color w:val="auto"/>
        </w:rPr>
      </w:pPr>
    </w:p>
    <w:p>
      <w:pPr>
        <w:ind w:left="1360" w:hanging="373"/>
        <w:spacing w:after="0"/>
        <w:tabs>
          <w:tab w:leader="none" w:pos="136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sale or lease or licensing of inventory and the sale or other disposition of cash or Cash Equivalents, in each case in the ordinary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business;</w:t>
      </w:r>
    </w:p>
    <w:p>
      <w:pPr>
        <w:spacing w:after="0" w:line="210" w:lineRule="exact"/>
        <w:rPr>
          <w:rFonts w:ascii="Arial" w:cs="Arial" w:eastAsia="Arial" w:hAnsi="Arial"/>
          <w:sz w:val="16"/>
          <w:szCs w:val="16"/>
          <w:color w:val="auto"/>
        </w:rPr>
      </w:pPr>
    </w:p>
    <w:p>
      <w:pPr>
        <w:ind w:firstLine="987"/>
        <w:spacing w:after="0" w:line="259" w:lineRule="auto"/>
        <w:tabs>
          <w:tab w:leader="none" w:pos="138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the sale, transfer, lease or other disposition of Property of the Borrower and the </w:t>
      </w:r>
      <w:r>
        <w:rPr>
          <w:rFonts w:ascii="Arial" w:cs="Arial" w:eastAsia="Arial" w:hAnsi="Arial"/>
          <w:sz w:val="18"/>
          <w:szCs w:val="18"/>
          <w:u w:val="single" w:color="auto"/>
          <w:color w:val="0000E1"/>
        </w:rPr>
        <w:t>Subsidiary</w:t>
      </w:r>
      <w:r>
        <w:rPr>
          <w:rFonts w:ascii="Arial" w:cs="Arial" w:eastAsia="Arial" w:hAnsi="Arial"/>
          <w:sz w:val="18"/>
          <w:szCs w:val="18"/>
          <w:color w:val="auto"/>
        </w:rPr>
        <w:t xml:space="preserve"> Guarantors to one another in the ordinary course of its business or to a Restricted Subsidiary that is not a Guarantor (x) if permitted by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8.9(</w:t>
      </w:r>
      <w:r>
        <w:rPr>
          <w:rFonts w:ascii="Arial" w:cs="Arial" w:eastAsia="Arial" w:hAnsi="Arial"/>
          <w:sz w:val="18"/>
          <w:szCs w:val="18"/>
          <w:color w:val="FF0000"/>
          <w:strike w:val="1"/>
        </w:rPr>
        <w:t>p</w:t>
      </w:r>
      <w:r>
        <w:rPr>
          <w:rFonts w:ascii="Arial" w:cs="Arial" w:eastAsia="Arial" w:hAnsi="Arial"/>
          <w:sz w:val="18"/>
          <w:szCs w:val="18"/>
          <w:u w:val="single" w:color="auto"/>
          <w:color w:val="0000E1"/>
        </w:rPr>
        <w:t>v</w:t>
      </w:r>
      <w:r>
        <w:rPr>
          <w:rFonts w:ascii="Arial" w:cs="Arial" w:eastAsia="Arial" w:hAnsi="Arial"/>
          <w:sz w:val="18"/>
          <w:szCs w:val="18"/>
          <w:u w:val="single" w:color="auto"/>
          <w:color w:val="auto"/>
        </w:rPr>
        <w:t>)</w:t>
      </w:r>
      <w:r>
        <w:rPr>
          <w:rFonts w:ascii="Arial" w:cs="Arial" w:eastAsia="Arial" w:hAnsi="Arial"/>
          <w:sz w:val="18"/>
          <w:szCs w:val="18"/>
          <w:color w:val="auto"/>
        </w:rPr>
        <w:t>) or (y) for fair market value (as determined in good faith by such Person) and at least 75% of the consideration for such sale, transfer, lease or other disposition consists of cash or Cash Equivalents;</w:t>
      </w:r>
    </w:p>
    <w:p>
      <w:pPr>
        <w:spacing w:after="0" w:line="186" w:lineRule="exact"/>
        <w:rPr>
          <w:rFonts w:ascii="Arial" w:cs="Arial" w:eastAsia="Arial" w:hAnsi="Arial"/>
          <w:sz w:val="18"/>
          <w:szCs w:val="18"/>
          <w:color w:val="auto"/>
        </w:rPr>
      </w:pPr>
    </w:p>
    <w:p>
      <w:pPr>
        <w:ind w:right="80" w:firstLine="987"/>
        <w:spacing w:after="0" w:line="291" w:lineRule="auto"/>
        <w:tabs>
          <w:tab w:leader="none" w:pos="1371"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merger or consolidation of any Restricted Subsidiary into the Borrower or with any other Restricted Subsidiary or the liquidation or dissolution of any Restricted Subsidiary (if, in the case of any such dissolution or liquidation, the assets of such Restricted Subsidiary shall be distributed to its equityholders on a ratable basis)</w:t>
      </w:r>
      <w:r>
        <w:rPr>
          <w:rFonts w:ascii="Arial" w:cs="Arial" w:eastAsia="Arial" w:hAnsi="Arial"/>
          <w:sz w:val="16"/>
          <w:szCs w:val="16"/>
          <w:color w:val="FF0000"/>
          <w:strike w:val="1"/>
        </w:rPr>
        <w:t>,</w:t>
      </w:r>
      <w:r>
        <w:rPr>
          <w:rFonts w:ascii="Arial" w:cs="Arial" w:eastAsia="Arial" w:hAnsi="Arial"/>
          <w:sz w:val="16"/>
          <w:szCs w:val="16"/>
          <w:u w:val="single" w:color="auto"/>
          <w:color w:val="0000E1"/>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merger or consolidation (i) involving the Borrower and a Restricted Subsidiary, the Borrower is the entity surviving the merger or (ii) of any Restricted Subsidiary which is not a Subsidiary Guarantor with a Restricted Subsidiary which is a Subsidiary Guarantor, (x) the Subsidiary Guarantor is the surviving entity, (y) the survivor expressly assumes the obligations of the Subsidiary Guarantor in a manner reasonably satisfactory to the Administrative Agent or (z) the merger or consolidation is effected in order to consummate an investment permitted by </w:t>
      </w:r>
      <w:r>
        <w:rPr>
          <w:rFonts w:ascii="Arial" w:cs="Arial" w:eastAsia="Arial" w:hAnsi="Arial"/>
          <w:sz w:val="16"/>
          <w:szCs w:val="16"/>
          <w:u w:val="single" w:color="auto"/>
          <w:color w:val="auto"/>
        </w:rPr>
        <w:t>Section 8.9</w:t>
      </w:r>
      <w:r>
        <w:rPr>
          <w:rFonts w:ascii="Arial" w:cs="Arial" w:eastAsia="Arial" w:hAnsi="Arial"/>
          <w:sz w:val="16"/>
          <w:szCs w:val="16"/>
          <w:color w:val="auto"/>
        </w:rPr>
        <w:t xml:space="preserve"> or a sale, transfer, lease or other disposition otherwise permitted under this </w:t>
      </w:r>
      <w:r>
        <w:rPr>
          <w:rFonts w:ascii="Arial" w:cs="Arial" w:eastAsia="Arial" w:hAnsi="Arial"/>
          <w:sz w:val="16"/>
          <w:szCs w:val="16"/>
          <w:u w:val="single" w:color="auto"/>
          <w:color w:val="auto"/>
        </w:rPr>
        <w:t>Section 8.10</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right="240" w:firstLine="987"/>
        <w:spacing w:after="0" w:line="277" w:lineRule="auto"/>
        <w:tabs>
          <w:tab w:leader="none" w:pos="138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sale, forgiveness or discount or other transfer of notes or accounts receivable in the ordinary course of business for purposes of collection or compromise only (and not for the purpose of any bulk sale or securitization transaction);</w:t>
      </w:r>
    </w:p>
    <w:p>
      <w:pPr>
        <w:spacing w:after="0" w:line="170" w:lineRule="exact"/>
        <w:rPr>
          <w:rFonts w:ascii="Arial" w:cs="Arial" w:eastAsia="Arial" w:hAnsi="Arial"/>
          <w:sz w:val="18"/>
          <w:szCs w:val="18"/>
          <w:color w:val="auto"/>
        </w:rPr>
      </w:pPr>
    </w:p>
    <w:p>
      <w:pPr>
        <w:ind w:right="160" w:firstLine="987"/>
        <w:spacing w:after="0" w:line="263" w:lineRule="auto"/>
        <w:tabs>
          <w:tab w:leader="none" w:pos="137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sale, transfer, lease or other disposition of any tangible personal property that, in the reasonable business judgment of the Borrower, any Guarantor or any Restricted Subsidiary, has become obsolete, worn out, surplus, uneconomical or no longer used or useful and which is sold, transferred, leased or otherwise disposed of in the ordinary course of business;</w:t>
      </w:r>
    </w:p>
    <w:p>
      <w:pPr>
        <w:spacing w:after="0" w:line="183" w:lineRule="exact"/>
        <w:rPr>
          <w:rFonts w:ascii="Arial" w:cs="Arial" w:eastAsia="Arial" w:hAnsi="Arial"/>
          <w:sz w:val="18"/>
          <w:szCs w:val="18"/>
          <w:color w:val="auto"/>
        </w:rPr>
      </w:pPr>
    </w:p>
    <w:p>
      <w:pPr>
        <w:ind w:right="100" w:firstLine="987"/>
        <w:spacing w:after="0" w:line="308" w:lineRule="auto"/>
        <w:tabs>
          <w:tab w:leader="none" w:pos="1351"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Borrower and any of its Restricted Subsidiaries may grant non-exclusive licenses or sublicenses of Intellectual Property or leases or subleases to other Persons in the ordinary course of business or in connection with Acquisitions permitted hereunder;</w:t>
      </w:r>
    </w:p>
    <w:p>
      <w:pPr>
        <w:spacing w:after="0" w:line="146" w:lineRule="exact"/>
        <w:rPr>
          <w:rFonts w:ascii="Arial" w:cs="Arial" w:eastAsia="Arial" w:hAnsi="Arial"/>
          <w:sz w:val="17"/>
          <w:szCs w:val="17"/>
          <w:color w:val="auto"/>
        </w:rPr>
      </w:pPr>
    </w:p>
    <w:p>
      <w:pPr>
        <w:ind w:right="240" w:firstLine="987"/>
        <w:spacing w:after="0" w:line="308" w:lineRule="auto"/>
        <w:tabs>
          <w:tab w:leader="none" w:pos="1381" w:val="left"/>
        </w:tabs>
        <w:numPr>
          <w:ilvl w:val="0"/>
          <w:numId w:val="208"/>
        </w:numPr>
        <w:rPr>
          <w:rFonts w:ascii="Arial" w:cs="Arial" w:eastAsia="Arial" w:hAnsi="Arial"/>
          <w:sz w:val="17"/>
          <w:szCs w:val="17"/>
          <w:color w:val="auto"/>
        </w:rPr>
      </w:pPr>
      <w:r>
        <w:rPr>
          <w:rFonts w:ascii="Arial" w:cs="Arial" w:eastAsia="Arial" w:hAnsi="Arial"/>
          <w:sz w:val="17"/>
          <w:szCs w:val="17"/>
          <w:color w:val="auto"/>
        </w:rPr>
        <w:t>leases or licenses, subleases or sublicenses (or the termination thereof) entered into in the ordinary course of business to the extent that they do not materially interfere with the business of the Borrower and its Restricted Subsidiaries, taken as a whole;</w:t>
      </w:r>
    </w:p>
    <w:p>
      <w:pPr>
        <w:spacing w:after="0" w:line="146" w:lineRule="exact"/>
        <w:rPr>
          <w:rFonts w:ascii="Arial" w:cs="Arial" w:eastAsia="Arial" w:hAnsi="Arial"/>
          <w:sz w:val="17"/>
          <w:szCs w:val="17"/>
          <w:color w:val="auto"/>
        </w:rPr>
      </w:pPr>
    </w:p>
    <w:p>
      <w:pPr>
        <w:ind w:right="160" w:firstLine="987"/>
        <w:spacing w:after="0" w:line="263" w:lineRule="auto"/>
        <w:tabs>
          <w:tab w:leader="none" w:pos="138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the Borrower and its Restricted Subsidiaries may sell, transfer or dispose of Equity Interests to qualify directors where required by applicable law or to satisfy other requirements of applicable law with respect to the ownership of Equity Interests and (B) the Borrower may sell, transfer or dispose of Equity Interests to Holdings (including the sale or issuance of Equity Interests);</w:t>
      </w:r>
    </w:p>
    <w:p>
      <w:pPr>
        <w:spacing w:after="0" w:line="183" w:lineRule="exact"/>
        <w:rPr>
          <w:rFonts w:ascii="Arial" w:cs="Arial" w:eastAsia="Arial" w:hAnsi="Arial"/>
          <w:sz w:val="18"/>
          <w:szCs w:val="18"/>
          <w:color w:val="auto"/>
        </w:rPr>
      </w:pPr>
    </w:p>
    <w:p>
      <w:pPr>
        <w:ind w:right="100" w:firstLine="987"/>
        <w:spacing w:after="0" w:line="259" w:lineRule="auto"/>
        <w:tabs>
          <w:tab w:leader="none" w:pos="134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the Borrower and the Restricted Subsidiaries may sell, transfer, lease or dispose of non-core assets acquired in connection with Acquisitions otherwise permitted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no Event of Default then exists or would result therefrom and (ii) each such sale, transfer, lease or other disposition is in an arm’s-length transaction and the Borrower or such Restricted Subsidiary receives at least fair market value for such non-core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-4526915</wp:posOffset>
            </wp:positionV>
            <wp:extent cx="48831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488315" cy="8255"/>
                    </a:xfrm>
                    <a:prstGeom prst="rect">
                      <a:avLst/>
                    </a:prstGeom>
                    <a:noFill/>
                  </pic:spPr>
                </pic:pic>
              </a:graphicData>
            </a:graphic>
          </wp:anchor>
        </w:drawing>
        <w:drawing>
          <wp:anchor simplePos="0" relativeHeight="251657728" behindDoc="1" locked="0" layoutInCell="0" allowOverlap="1">
            <wp:simplePos x="0" y="0"/>
            <wp:positionH relativeFrom="column">
              <wp:posOffset>5929630</wp:posOffset>
            </wp:positionH>
            <wp:positionV relativeFrom="paragraph">
              <wp:posOffset>-4389755</wp:posOffset>
            </wp:positionV>
            <wp:extent cx="5143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-3566795</wp:posOffset>
            </wp:positionV>
            <wp:extent cx="2603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00"/>
          </w:cols>
          <w:pgMar w:left="440" w:top="274" w:right="459" w:bottom="1440" w:gutter="0" w:footer="0" w:header="0"/>
        </w:sectPr>
      </w:pPr>
    </w:p>
    <w:bookmarkStart w:id="171" w:name="page172"/>
    <w:bookmarkEnd w:id="171"/>
    <w:p>
      <w:pPr>
        <w:ind w:left="4" w:right="120" w:firstLine="987"/>
        <w:spacing w:after="0" w:line="277" w:lineRule="auto"/>
        <w:tabs>
          <w:tab w:leader="none" w:pos="1345" w:val="left"/>
        </w:tabs>
        <w:numPr>
          <w:ilvl w:val="1"/>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sale, transfer, lease or other disposition of investments in joint ventures to the extent required by, or made pursuant to, customary buy/sell arrangements between the joint venture parties;</w:t>
      </w:r>
    </w:p>
    <w:p>
      <w:pPr>
        <w:spacing w:after="0" w:line="170" w:lineRule="exact"/>
        <w:rPr>
          <w:rFonts w:ascii="Arial" w:cs="Arial" w:eastAsia="Arial" w:hAnsi="Arial"/>
          <w:sz w:val="18"/>
          <w:szCs w:val="18"/>
          <w:color w:val="auto"/>
        </w:rPr>
      </w:pPr>
    </w:p>
    <w:p>
      <w:pPr>
        <w:ind w:left="4" w:right="160" w:firstLine="987"/>
        <w:spacing w:after="0" w:line="277" w:lineRule="auto"/>
        <w:tabs>
          <w:tab w:leader="none" w:pos="1385"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any surrender or waiver of contractual rights or the settlement, release or surrender of contractual rights or other litigation claims in the ordinary course of business;</w:t>
      </w:r>
    </w:p>
    <w:p>
      <w:pPr>
        <w:spacing w:after="0" w:line="170" w:lineRule="exact"/>
        <w:rPr>
          <w:rFonts w:ascii="Arial" w:cs="Arial" w:eastAsia="Arial" w:hAnsi="Arial"/>
          <w:sz w:val="18"/>
          <w:szCs w:val="18"/>
          <w:color w:val="auto"/>
        </w:rPr>
      </w:pPr>
    </w:p>
    <w:p>
      <w:pPr>
        <w:ind w:left="4" w:firstLine="987"/>
        <w:spacing w:after="0" w:line="263" w:lineRule="auto"/>
        <w:tabs>
          <w:tab w:leader="none" w:pos="1345"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sales, transfers, leases or other dispositions of Property to the extent that (a) such Property is exchanged for credit against the purchase price of similar replacement Property or (b) the proceeds of such sale, transfer, lease or other disposition are reasonably promptly applied to the purchase price of such replacement Property;</w:t>
      </w:r>
    </w:p>
    <w:p>
      <w:pPr>
        <w:spacing w:after="0" w:line="183" w:lineRule="exact"/>
        <w:rPr>
          <w:rFonts w:ascii="Arial" w:cs="Arial" w:eastAsia="Arial" w:hAnsi="Arial"/>
          <w:sz w:val="18"/>
          <w:szCs w:val="18"/>
          <w:color w:val="auto"/>
        </w:rPr>
      </w:pPr>
    </w:p>
    <w:p>
      <w:pPr>
        <w:ind w:left="4" w:right="120" w:firstLine="987"/>
        <w:spacing w:after="0" w:line="273" w:lineRule="auto"/>
        <w:tabs>
          <w:tab w:leader="none" w:pos="1435" w:val="left"/>
        </w:tabs>
        <w:numPr>
          <w:ilvl w:val="1"/>
          <w:numId w:val="209"/>
        </w:numPr>
        <w:rPr>
          <w:rFonts w:ascii="Arial" w:cs="Arial" w:eastAsia="Arial" w:hAnsi="Arial"/>
          <w:sz w:val="17"/>
          <w:szCs w:val="17"/>
          <w:color w:val="auto"/>
        </w:rPr>
      </w:pPr>
      <w:r>
        <w:rPr>
          <w:rFonts w:ascii="Arial" w:cs="Arial" w:eastAsia="Arial" w:hAnsi="Arial"/>
          <w:sz w:val="17"/>
          <w:szCs w:val="17"/>
          <w:color w:val="auto"/>
        </w:rPr>
        <w:t xml:space="preserve">(i) sales, transfers, leases or other dispositions (not including Sale/Leaseback Transactions permitted under </w:t>
      </w:r>
      <w:r>
        <w:rPr>
          <w:rFonts w:ascii="Arial" w:cs="Arial" w:eastAsia="Arial" w:hAnsi="Arial"/>
          <w:sz w:val="17"/>
          <w:szCs w:val="17"/>
          <w:u w:val="single" w:color="auto"/>
          <w:color w:val="auto"/>
        </w:rPr>
        <w:t>Section 8.10(o)</w:t>
      </w:r>
      <w:r>
        <w:rPr>
          <w:rFonts w:ascii="Arial" w:cs="Arial" w:eastAsia="Arial" w:hAnsi="Arial"/>
          <w:sz w:val="17"/>
          <w:szCs w:val="17"/>
          <w:color w:val="auto"/>
        </w:rPr>
        <w:t>) so long as (A) the consideration received for such assets shall be in an amount at least equal to the fair market value thereof (determined in good faith by the Borrower), (B) not less than 75% of the consideration received shall be cash, and (C) no Default or Event of Default shall have occurred or be continuing immediately after giving effect thereto, and (ii) other sales, transfers, leases or other dispositions of Property of the Borrower or any Restricted Subsidiary (including any sale, transfer, lease or other disposition of Property as part of a sale and leaseback transaction) aggregating for the Borrower and its Restricted Subsidiaries of not more than $20,000,000 during any Fiscal Year of the Borrower;</w:t>
      </w:r>
    </w:p>
    <w:p>
      <w:pPr>
        <w:spacing w:after="0" w:line="177" w:lineRule="exact"/>
        <w:rPr>
          <w:rFonts w:ascii="Arial" w:cs="Arial" w:eastAsia="Arial" w:hAnsi="Arial"/>
          <w:sz w:val="17"/>
          <w:szCs w:val="17"/>
          <w:color w:val="auto"/>
        </w:rPr>
      </w:pPr>
    </w:p>
    <w:p>
      <w:pPr>
        <w:ind w:left="1384" w:hanging="393"/>
        <w:spacing w:after="0"/>
        <w:tabs>
          <w:tab w:leader="none" w:pos="1384" w:val="left"/>
        </w:tabs>
        <w:numPr>
          <w:ilvl w:val="1"/>
          <w:numId w:val="209"/>
        </w:numPr>
        <w:rPr>
          <w:rFonts w:ascii="Arial" w:cs="Arial" w:eastAsia="Arial" w:hAnsi="Arial"/>
          <w:sz w:val="16"/>
          <w:szCs w:val="16"/>
          <w:color w:val="auto"/>
        </w:rPr>
      </w:pPr>
      <w:r>
        <w:rPr>
          <w:rFonts w:ascii="Arial" w:cs="Arial" w:eastAsia="Arial" w:hAnsi="Arial"/>
          <w:sz w:val="16"/>
          <w:szCs w:val="16"/>
          <w:color w:val="auto"/>
        </w:rPr>
        <w:t xml:space="preserve">transactions permitted by </w:t>
      </w:r>
      <w:r>
        <w:rPr>
          <w:rFonts w:ascii="Arial" w:cs="Arial" w:eastAsia="Arial" w:hAnsi="Arial"/>
          <w:sz w:val="16"/>
          <w:szCs w:val="16"/>
          <w:u w:val="single" w:color="auto"/>
          <w:color w:val="auto"/>
        </w:rPr>
        <w:t>Section 8.9</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8.9(p)</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8.12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8.12(</w:t>
      </w:r>
      <w:r>
        <w:rPr>
          <w:rFonts w:ascii="Arial" w:cs="Arial" w:eastAsia="Arial" w:hAnsi="Arial"/>
          <w:sz w:val="16"/>
          <w:szCs w:val="16"/>
          <w:color w:val="FF0000"/>
          <w:strike w:val="1"/>
        </w:rPr>
        <w:t>x</w:t>
      </w:r>
      <w:r>
        <w:rPr>
          <w:rFonts w:ascii="Arial" w:cs="Arial" w:eastAsia="Arial" w:hAnsi="Arial"/>
          <w:sz w:val="16"/>
          <w:szCs w:val="16"/>
          <w:u w:val="single" w:color="auto"/>
          <w:color w:val="0000E1"/>
        </w:rPr>
        <w:t>j</w:t>
      </w:r>
      <w:r>
        <w:rPr>
          <w:rFonts w:ascii="Arial" w:cs="Arial" w:eastAsia="Arial" w:hAnsi="Arial"/>
          <w:sz w:val="16"/>
          <w:szCs w:val="16"/>
          <w:u w:val="single" w:color="auto"/>
          <w:color w:val="auto"/>
        </w:rPr>
        <w:t>)</w:t>
      </w:r>
      <w:r>
        <w:rPr>
          <w:rFonts w:ascii="Arial" w:cs="Arial" w:eastAsia="Arial" w:hAnsi="Arial"/>
          <w:sz w:val="16"/>
          <w:szCs w:val="16"/>
          <w:color w:val="auto"/>
        </w:rPr>
        <w:t>) and any Permitted Lien;</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4" w:right="80" w:firstLine="987"/>
        <w:spacing w:after="0" w:line="285" w:lineRule="auto"/>
        <w:tabs>
          <w:tab w:leader="none" w:pos="1430" w:val="left"/>
        </w:tabs>
        <w:numPr>
          <w:ilvl w:val="1"/>
          <w:numId w:val="209"/>
        </w:numPr>
        <w:rPr>
          <w:rFonts w:ascii="Arial" w:cs="Arial" w:eastAsia="Arial" w:hAnsi="Arial"/>
          <w:sz w:val="16"/>
          <w:szCs w:val="16"/>
          <w:color w:val="auto"/>
        </w:rPr>
      </w:pPr>
      <w:r>
        <w:rPr>
          <w:rFonts w:ascii="Arial" w:cs="Arial" w:eastAsia="Arial" w:hAnsi="Arial"/>
          <w:sz w:val="16"/>
          <w:szCs w:val="16"/>
          <w:u w:val="single" w:color="auto"/>
          <w:color w:val="0000E1"/>
        </w:rPr>
        <w:t>other than during the Basket Suspension Period (except with respect to the Specified Sale/Leaseback Properties), (i)</w:t>
      </w:r>
      <w:r>
        <w:rPr>
          <w:rFonts w:ascii="Arial" w:cs="Arial" w:eastAsia="Arial" w:hAnsi="Arial"/>
          <w:sz w:val="16"/>
          <w:szCs w:val="16"/>
          <w:color w:val="0000E1"/>
        </w:rPr>
        <w:t xml:space="preserve"> </w:t>
      </w:r>
      <w:r>
        <w:rPr>
          <w:rFonts w:ascii="Arial" w:cs="Arial" w:eastAsia="Arial" w:hAnsi="Arial"/>
          <w:sz w:val="16"/>
          <w:szCs w:val="16"/>
          <w:color w:val="000000"/>
        </w:rPr>
        <w:t>Sale/Leaseback</w:t>
      </w:r>
      <w:r>
        <w:rPr>
          <w:rFonts w:ascii="Arial" w:cs="Arial" w:eastAsia="Arial" w:hAnsi="Arial"/>
          <w:sz w:val="16"/>
          <w:szCs w:val="16"/>
          <w:color w:val="0000E1"/>
        </w:rPr>
        <w:t xml:space="preserve"> </w:t>
      </w:r>
      <w:r>
        <w:rPr>
          <w:rFonts w:ascii="Arial" w:cs="Arial" w:eastAsia="Arial" w:hAnsi="Arial"/>
          <w:sz w:val="16"/>
          <w:szCs w:val="16"/>
          <w:color w:val="000000"/>
        </w:rPr>
        <w:t xml:space="preserve">Transactions (x) in an unlimited amount if the Total Leverage Ratio on a Pro-Forma Basis giving effect thereto and the application of the Net Cash Proceeds thereof as of the last day of the most recently ended fiscal quarter for which financial statements are available on or prior to the date such Sale/Leaseback Transaction is consummated does not exceed 2.50 to 1.00 or (y) if the Total Leverage Ratio as so computed exceeds 2.50 to 1.00, the Net Cash Proceeds received in connection with such Sale/Leaseback Transactions are applied or reinvested in accordance with </w:t>
      </w:r>
      <w:r>
        <w:rPr>
          <w:rFonts w:ascii="Arial" w:cs="Arial" w:eastAsia="Arial" w:hAnsi="Arial"/>
          <w:sz w:val="16"/>
          <w:szCs w:val="16"/>
          <w:u w:val="single" w:color="auto"/>
          <w:color w:val="000000"/>
        </w:rPr>
        <w:t>Section 1.9(b)(iii)</w:t>
      </w:r>
      <w:r>
        <w:rPr>
          <w:rFonts w:ascii="Arial" w:cs="Arial" w:eastAsia="Arial" w:hAnsi="Arial"/>
          <w:sz w:val="16"/>
          <w:szCs w:val="16"/>
          <w:color w:val="000000"/>
        </w:rPr>
        <w:t xml:space="preserve"> </w:t>
      </w:r>
      <w:r>
        <w:rPr>
          <w:rFonts w:ascii="Arial" w:cs="Arial" w:eastAsia="Arial" w:hAnsi="Arial"/>
          <w:sz w:val="16"/>
          <w:szCs w:val="16"/>
          <w:color w:val="0000E1"/>
        </w:rPr>
        <w:t>and</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10"/>
        </w:numPr>
        <w:rPr>
          <w:rFonts w:ascii="Arial" w:cs="Arial" w:eastAsia="Arial" w:hAnsi="Arial"/>
          <w:sz w:val="18"/>
          <w:szCs w:val="18"/>
          <w:u w:val="single" w:color="auto"/>
          <w:color w:val="0000E1"/>
        </w:rPr>
      </w:pPr>
      <w:r>
        <w:rPr>
          <w:rFonts w:ascii="Arial" w:cs="Arial" w:eastAsia="Arial" w:hAnsi="Arial"/>
          <w:sz w:val="18"/>
          <w:szCs w:val="18"/>
          <w:u w:val="single" w:color="auto"/>
          <w:color w:val="0000E1"/>
        </w:rPr>
        <w:t>Sale/Leaseback Transactions involving the Specified Sale/Leaseback Properties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5666105</wp:posOffset>
            </wp:positionH>
            <wp:positionV relativeFrom="paragraph">
              <wp:posOffset>-1082040</wp:posOffset>
            </wp:positionV>
            <wp:extent cx="2540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-670560</wp:posOffset>
            </wp:positionV>
            <wp:extent cx="5323205"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5323205" cy="8890"/>
                    </a:xfrm>
                    <a:prstGeom prst="rect">
                      <a:avLst/>
                    </a:prstGeom>
                    <a:noFill/>
                  </pic:spPr>
                </pic:pic>
              </a:graphicData>
            </a:graphic>
          </wp:anchor>
        </w:drawing>
        <w:drawing>
          <wp:anchor simplePos="0" relativeHeight="251657728" behindDoc="1" locked="0" layoutInCell="0" allowOverlap="1">
            <wp:simplePos x="0" y="0"/>
            <wp:positionH relativeFrom="column">
              <wp:posOffset>6635115</wp:posOffset>
            </wp:positionH>
            <wp:positionV relativeFrom="paragraph">
              <wp:posOffset>-121920</wp:posOffset>
            </wp:positionV>
            <wp:extent cx="197485"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6635750</wp:posOffset>
            </wp:positionH>
            <wp:positionV relativeFrom="paragraph">
              <wp:posOffset>-156210</wp:posOffset>
            </wp:positionV>
            <wp:extent cx="19367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3814445"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spacing w:after="0" w:line="191" w:lineRule="exact"/>
        <w:rPr>
          <w:sz w:val="20"/>
          <w:szCs w:val="20"/>
          <w:color w:val="auto"/>
        </w:rPr>
      </w:pPr>
    </w:p>
    <w:p>
      <w:pPr>
        <w:jc w:val="both"/>
        <w:ind w:left="4" w:right="340"/>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of the transactions described in each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8.10(i)</w:t>
      </w:r>
      <w:r>
        <w:rPr>
          <w:rFonts w:ascii="Arial" w:cs="Arial" w:eastAsia="Arial" w:hAnsi="Arial"/>
          <w:sz w:val="18"/>
          <w:szCs w:val="18"/>
          <w:color w:val="auto"/>
        </w:rPr>
        <w:t>, (</w:t>
      </w:r>
      <w:r>
        <w:rPr>
          <w:rFonts w:ascii="Arial" w:cs="Arial" w:eastAsia="Arial" w:hAnsi="Arial"/>
          <w:sz w:val="18"/>
          <w:szCs w:val="18"/>
          <w:u w:val="single" w:color="auto"/>
          <w:color w:val="auto"/>
        </w:rPr>
        <w:t>j</w:t>
      </w:r>
      <w:r>
        <w:rPr>
          <w:rFonts w:ascii="Arial" w:cs="Arial" w:eastAsia="Arial" w:hAnsi="Arial"/>
          <w:sz w:val="18"/>
          <w:szCs w:val="18"/>
          <w:color w:val="auto"/>
        </w:rPr>
        <w:t>) or (</w:t>
      </w:r>
      <w:r>
        <w:rPr>
          <w:rFonts w:ascii="Arial" w:cs="Arial" w:eastAsia="Arial" w:hAnsi="Arial"/>
          <w:sz w:val="18"/>
          <w:szCs w:val="18"/>
          <w:u w:val="single" w:color="auto"/>
          <w:color w:val="auto"/>
        </w:rPr>
        <w:t>m</w:t>
      </w:r>
      <w:r>
        <w:rPr>
          <w:rFonts w:ascii="Arial" w:cs="Arial" w:eastAsia="Arial" w:hAnsi="Arial"/>
          <w:sz w:val="18"/>
          <w:szCs w:val="18"/>
          <w:color w:val="auto"/>
        </w:rPr>
        <w:t>), the Net Cash Proceeds thereof shall be applied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required by </w:t>
      </w:r>
      <w:r>
        <w:rPr>
          <w:rFonts w:ascii="Arial" w:cs="Arial" w:eastAsia="Arial" w:hAnsi="Arial"/>
          <w:sz w:val="18"/>
          <w:szCs w:val="18"/>
          <w:u w:val="single" w:color="auto"/>
          <w:color w:val="auto"/>
        </w:rPr>
        <w:t>Section 1.9(b)(i)</w:t>
      </w:r>
      <w:r>
        <w:rPr>
          <w:rFonts w:ascii="Arial" w:cs="Arial" w:eastAsia="Arial" w:hAnsi="Arial"/>
          <w:sz w:val="18"/>
          <w:szCs w:val="18"/>
          <w:u w:val="single" w:color="auto"/>
          <w:color w:val="0000E1"/>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0000E1"/>
        </w:rPr>
        <w:t>that</w:t>
      </w:r>
      <w:r>
        <w:rPr>
          <w:rFonts w:ascii="Arial" w:cs="Arial" w:eastAsia="Arial" w:hAnsi="Arial"/>
          <w:sz w:val="18"/>
          <w:szCs w:val="18"/>
          <w:color w:val="auto"/>
        </w:rPr>
        <w:t xml:space="preserve"> in the case of any transactions described in </w:t>
      </w:r>
      <w:r>
        <w:rPr>
          <w:rFonts w:ascii="Arial" w:cs="Arial" w:eastAsia="Arial" w:hAnsi="Arial"/>
          <w:sz w:val="18"/>
          <w:szCs w:val="18"/>
          <w:u w:val="single" w:color="auto"/>
          <w:color w:val="auto"/>
        </w:rPr>
        <w:t>Section 8.10(o)</w:t>
      </w:r>
      <w:r>
        <w:rPr>
          <w:rFonts w:ascii="Arial" w:cs="Arial" w:eastAsia="Arial" w:hAnsi="Arial"/>
          <w:sz w:val="18"/>
          <w:szCs w:val="18"/>
          <w:color w:val="auto"/>
        </w:rPr>
        <w:t xml:space="preserve">, the Net Cash Proceeds shall be applied as required pursuant to </w:t>
      </w:r>
      <w:r>
        <w:rPr>
          <w:rFonts w:ascii="Arial" w:cs="Arial" w:eastAsia="Arial" w:hAnsi="Arial"/>
          <w:sz w:val="18"/>
          <w:szCs w:val="18"/>
          <w:u w:val="single" w:color="auto"/>
          <w:color w:val="auto"/>
        </w:rPr>
        <w:t>Section 1.9(b)(iii)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-139700</wp:posOffset>
            </wp:positionV>
            <wp:extent cx="342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2366010</wp:posOffset>
            </wp:positionH>
            <wp:positionV relativeFrom="paragraph">
              <wp:posOffset>-139700</wp:posOffset>
            </wp:positionV>
            <wp:extent cx="17145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64" w:lineRule="exact"/>
        <w:rPr>
          <w:sz w:val="20"/>
          <w:szCs w:val="20"/>
          <w:color w:val="auto"/>
        </w:rPr>
      </w:pPr>
    </w:p>
    <w:p>
      <w:pPr>
        <w:ind w:left="444"/>
        <w:spacing w:after="0"/>
        <w:tabs>
          <w:tab w:leader="none" w:pos="1544" w:val="left"/>
        </w:tabs>
        <w:rPr>
          <w:sz w:val="20"/>
          <w:szCs w:val="20"/>
          <w:color w:val="auto"/>
        </w:rPr>
      </w:pPr>
      <w:r>
        <w:rPr>
          <w:rFonts w:ascii="Arial" w:cs="Arial" w:eastAsia="Arial" w:hAnsi="Arial"/>
          <w:sz w:val="18"/>
          <w:szCs w:val="18"/>
          <w:color w:val="auto"/>
        </w:rPr>
        <w:t>Section 8.11</w:t>
      </w:r>
      <w:r>
        <w:rPr>
          <w:sz w:val="20"/>
          <w:szCs w:val="20"/>
          <w:color w:val="auto"/>
        </w:rPr>
        <w:tab/>
      </w:r>
      <w:r>
        <w:rPr>
          <w:rFonts w:ascii="Arial" w:cs="Arial" w:eastAsia="Arial" w:hAnsi="Arial"/>
          <w:sz w:val="16"/>
          <w:szCs w:val="16"/>
          <w:u w:val="single" w:color="auto"/>
          <w:color w:val="0000E1"/>
        </w:rPr>
        <w:t>[</w:t>
      </w:r>
      <w:r>
        <w:rPr>
          <w:rFonts w:ascii="Arial" w:cs="Arial" w:eastAsia="Arial" w:hAnsi="Arial"/>
          <w:sz w:val="16"/>
          <w:szCs w:val="16"/>
          <w:i w:val="1"/>
          <w:iCs w:val="1"/>
          <w:color w:val="000000"/>
        </w:rPr>
        <w:t>Reserved</w:t>
      </w:r>
      <w:r>
        <w:rPr>
          <w:rFonts w:ascii="Arial" w:cs="Arial" w:eastAsia="Arial" w:hAnsi="Arial"/>
          <w:sz w:val="16"/>
          <w:szCs w:val="16"/>
          <w:u w:val="single" w:color="auto"/>
          <w:color w:val="0000E1"/>
        </w:rPr>
        <w:t>]</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23495</wp:posOffset>
            </wp:positionV>
            <wp:extent cx="4318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1448435</wp:posOffset>
            </wp:positionH>
            <wp:positionV relativeFrom="paragraph">
              <wp:posOffset>23495</wp:posOffset>
            </wp:positionV>
            <wp:extent cx="3429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5" w:lineRule="exact"/>
        <w:rPr>
          <w:sz w:val="20"/>
          <w:szCs w:val="20"/>
          <w:color w:val="auto"/>
        </w:rPr>
      </w:pPr>
    </w:p>
    <w:p>
      <w:pPr>
        <w:jc w:val="both"/>
        <w:ind w:left="4" w:right="160" w:firstLine="440"/>
        <w:spacing w:after="0" w:line="286"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i w:val="1"/>
          <w:iCs w:val="1"/>
          <w:color w:val="auto"/>
        </w:rPr>
        <w:t>Dividends and Certain Other Restricted Payments.</w:t>
      </w:r>
      <w:r>
        <w:rPr>
          <w:rFonts w:ascii="Arial" w:cs="Arial" w:eastAsia="Arial" w:hAnsi="Arial"/>
          <w:sz w:val="17"/>
          <w:szCs w:val="17"/>
          <w:color w:val="auto"/>
        </w:rPr>
        <w:t xml:space="preserve"> The Borrower shall not (ai) declare or pay any cash dividends on or make any other distributions in respect of any of its Equity Interests or (</w:t>
      </w:r>
      <w:r>
        <w:rPr>
          <w:rFonts w:ascii="Arial" w:cs="Arial" w:eastAsia="Arial" w:hAnsi="Arial"/>
          <w:sz w:val="17"/>
          <w:szCs w:val="17"/>
          <w:color w:val="FF0000"/>
          <w:strike w:val="1"/>
        </w:rPr>
        <w:t>b</w:t>
      </w:r>
      <w:r>
        <w:rPr>
          <w:rFonts w:ascii="Arial" w:cs="Arial" w:eastAsia="Arial" w:hAnsi="Arial"/>
          <w:sz w:val="17"/>
          <w:szCs w:val="17"/>
          <w:u w:val="single" w:color="auto"/>
          <w:color w:val="0000E1"/>
        </w:rPr>
        <w:t>ii</w:t>
      </w:r>
      <w:r>
        <w:rPr>
          <w:rFonts w:ascii="Arial" w:cs="Arial" w:eastAsia="Arial" w:hAnsi="Arial"/>
          <w:sz w:val="17"/>
          <w:szCs w:val="17"/>
          <w:color w:val="auto"/>
        </w:rPr>
        <w:t>) directly or indirectly purchase, redeem, or otherwise acquire or retire for cash any of its Equity Interests (each, a “</w:t>
      </w:r>
      <w:r>
        <w:rPr>
          <w:rFonts w:ascii="Arial" w:cs="Arial" w:eastAsia="Arial" w:hAnsi="Arial"/>
          <w:sz w:val="17"/>
          <w:szCs w:val="17"/>
          <w:i w:val="1"/>
          <w:iCs w:val="1"/>
          <w:color w:val="auto"/>
        </w:rPr>
        <w:t>Restricted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foregoing shall not operate to prevent: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2880360</wp:posOffset>
            </wp:positionH>
            <wp:positionV relativeFrom="paragraph">
              <wp:posOffset>-151130</wp:posOffset>
            </wp:positionV>
            <wp:extent cx="596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45" w:lineRule="exact"/>
        <w:rPr>
          <w:sz w:val="20"/>
          <w:szCs w:val="20"/>
          <w:color w:val="auto"/>
        </w:rPr>
      </w:pPr>
    </w:p>
    <w:p>
      <w:pPr>
        <w:ind w:left="984"/>
        <w:spacing w:after="0"/>
        <w:tabs>
          <w:tab w:leader="none" w:pos="1404" w:val="left"/>
        </w:tabs>
        <w:rPr>
          <w:sz w:val="20"/>
          <w:szCs w:val="20"/>
          <w:color w:val="auto"/>
        </w:rPr>
      </w:pPr>
      <w:r>
        <w:rPr>
          <w:rFonts w:ascii="Arial" w:cs="Arial" w:eastAsia="Arial" w:hAnsi="Arial"/>
          <w:sz w:val="18"/>
          <w:szCs w:val="18"/>
          <w:u w:val="single" w:color="auto"/>
          <w:color w:val="0000E1"/>
        </w:rPr>
        <w:t>(a)</w:t>
      </w:r>
      <w:r>
        <w:rPr>
          <w:sz w:val="20"/>
          <w:szCs w:val="20"/>
          <w:color w:val="auto"/>
        </w:rPr>
        <w:tab/>
      </w:r>
      <w:r>
        <w:rPr>
          <w:rFonts w:ascii="Arial" w:cs="Arial" w:eastAsia="Arial" w:hAnsi="Arial"/>
          <w:sz w:val="18"/>
          <w:szCs w:val="18"/>
          <w:color w:val="FF0000"/>
          <w:strike w:val="1"/>
        </w:rPr>
        <w:t>(i)</w:t>
      </w:r>
      <w:r>
        <w:rPr>
          <w:rFonts w:ascii="Arial" w:cs="Arial" w:eastAsia="Arial" w:hAnsi="Arial"/>
          <w:sz w:val="18"/>
          <w:szCs w:val="18"/>
          <w:color w:val="FF0000"/>
        </w:rPr>
        <w:t xml:space="preserve"> </w:t>
      </w:r>
      <w:r>
        <w:rPr>
          <w:rFonts w:ascii="Arial" w:cs="Arial" w:eastAsia="Arial" w:hAnsi="Arial"/>
          <w:sz w:val="18"/>
          <w:szCs w:val="18"/>
          <w:u w:val="single" w:color="auto"/>
          <w:color w:val="0000E1"/>
        </w:rPr>
        <w:t>[</w:t>
      </w:r>
      <w:r>
        <w:rPr>
          <w:rFonts w:ascii="Arial" w:cs="Arial" w:eastAsia="Arial" w:hAnsi="Arial"/>
          <w:sz w:val="18"/>
          <w:szCs w:val="18"/>
          <w:i w:val="1"/>
          <w:iCs w:val="1"/>
          <w:color w:val="FF0000"/>
          <w:strike w:val="1"/>
        </w:rPr>
        <w:t>R</w:t>
      </w:r>
      <w:r>
        <w:rPr>
          <w:rFonts w:ascii="Arial" w:cs="Arial" w:eastAsia="Arial" w:hAnsi="Arial"/>
          <w:sz w:val="18"/>
          <w:szCs w:val="18"/>
          <w:u w:val="single" w:color="auto"/>
          <w:color w:val="0000E1"/>
        </w:rPr>
        <w:t>r</w:t>
      </w:r>
      <w:r>
        <w:rPr>
          <w:rFonts w:ascii="Arial" w:cs="Arial" w:eastAsia="Arial" w:hAnsi="Arial"/>
          <w:sz w:val="18"/>
          <w:szCs w:val="18"/>
          <w:color w:val="FF0000"/>
        </w:rPr>
        <w:t xml:space="preserve"> </w:t>
      </w:r>
      <w:r>
        <w:rPr>
          <w:rFonts w:ascii="Arial" w:cs="Arial" w:eastAsia="Arial" w:hAnsi="Arial"/>
          <w:sz w:val="18"/>
          <w:szCs w:val="18"/>
          <w:color w:val="000000"/>
        </w:rPr>
        <w:t>eserved</w:t>
      </w:r>
      <w:r>
        <w:rPr>
          <w:rFonts w:ascii="Arial" w:cs="Arial" w:eastAsia="Arial" w:hAnsi="Arial"/>
          <w:sz w:val="18"/>
          <w:szCs w:val="18"/>
          <w:u w:val="single" w:color="auto"/>
          <w:color w:val="0000E1"/>
        </w:rPr>
        <w:t>]</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23495</wp:posOffset>
            </wp:positionV>
            <wp:extent cx="12890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1002665</wp:posOffset>
            </wp:positionH>
            <wp:positionV relativeFrom="paragraph">
              <wp:posOffset>23495</wp:posOffset>
            </wp:positionV>
            <wp:extent cx="10287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1174115</wp:posOffset>
            </wp:positionH>
            <wp:positionV relativeFrom="paragraph">
              <wp:posOffset>23495</wp:posOffset>
            </wp:positionV>
            <wp:extent cx="5969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1585595</wp:posOffset>
            </wp:positionH>
            <wp:positionV relativeFrom="paragraph">
              <wp:posOffset>23495</wp:posOffset>
            </wp:positionV>
            <wp:extent cx="4318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04"/>
          </w:cols>
          <w:pgMar w:left="436" w:top="274" w:right="459" w:bottom="1440" w:gutter="0" w:footer="0" w:header="0"/>
        </w:sectPr>
      </w:pPr>
    </w:p>
    <w:bookmarkStart w:id="172" w:name="page173"/>
    <w:bookmarkEnd w:id="172"/>
    <w:p>
      <w:pPr>
        <w:ind w:left="1400" w:hanging="433"/>
        <w:spacing w:after="0"/>
        <w:tabs>
          <w:tab w:leader="none" w:pos="1400" w:val="left"/>
        </w:tabs>
        <w:numPr>
          <w:ilvl w:val="0"/>
          <w:numId w:val="211"/>
        </w:numPr>
        <w:rPr>
          <w:rFonts w:ascii="Arial" w:cs="Arial" w:eastAsia="Arial" w:hAnsi="Arial"/>
          <w:sz w:val="18"/>
          <w:szCs w:val="18"/>
          <w:u w:val="single" w:color="auto"/>
          <w:color w:val="0000E1"/>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(ii)</w:t>
      </w:r>
      <w:r>
        <w:rPr>
          <w:rFonts w:ascii="Arial" w:cs="Arial" w:eastAsia="Arial" w:hAnsi="Arial"/>
          <w:sz w:val="18"/>
          <w:szCs w:val="18"/>
          <w:color w:val="FF0000"/>
        </w:rPr>
        <w:t xml:space="preserve"> </w:t>
      </w:r>
      <w:r>
        <w:rPr>
          <w:rFonts w:ascii="Arial" w:cs="Arial" w:eastAsia="Arial" w:hAnsi="Arial"/>
          <w:sz w:val="18"/>
          <w:szCs w:val="18"/>
          <w:color w:val="000000"/>
        </w:rPr>
        <w:t>the making of dividends or distributions by the Borrower:</w:t>
      </w:r>
    </w:p>
    <w:p>
      <w:pPr>
        <w:spacing w:after="0" w:line="117" w:lineRule="exact"/>
        <w:rPr>
          <w:rFonts w:ascii="Arial" w:cs="Arial" w:eastAsia="Arial" w:hAnsi="Arial"/>
          <w:sz w:val="18"/>
          <w:szCs w:val="18"/>
          <w:u w:val="single" w:color="auto"/>
          <w:color w:val="0000E1"/>
        </w:rPr>
      </w:pPr>
    </w:p>
    <w:p>
      <w:pPr>
        <w:jc w:val="both"/>
        <w:ind w:left="960" w:right="180" w:firstLine="910"/>
        <w:spacing w:after="0" w:line="301" w:lineRule="auto"/>
        <w:tabs>
          <w:tab w:leader="none" w:pos="2292" w:val="left"/>
        </w:tabs>
        <w:numPr>
          <w:ilvl w:val="1"/>
          <w:numId w:val="211"/>
        </w:numPr>
        <w:rPr>
          <w:rFonts w:ascii="Arial" w:cs="Arial" w:eastAsia="Arial" w:hAnsi="Arial"/>
          <w:sz w:val="16"/>
          <w:szCs w:val="16"/>
          <w:color w:val="auto"/>
        </w:rPr>
      </w:pPr>
      <w:r>
        <w:rPr>
          <w:rFonts w:ascii="Arial" w:cs="Arial" w:eastAsia="Arial" w:hAnsi="Arial"/>
          <w:sz w:val="16"/>
          <w:szCs w:val="16"/>
          <w:color w:val="auto"/>
        </w:rPr>
        <w:t>to Holdings in an amount necessary to discharge the tax liabilities attributable to the assets, income or activities of the Borrower and its Restricted Subsidiaries so long as (x) the Borrower is either no longer taxed as a corporation or is no longer the parent entity of a consolidated (or similar) group, in either case such that the Borrower does not have primary responsibility for reporting and paying such tax liabilities and (y) the ultimate recipient(s) applies the amount of any such dividend or distribution for such purpose;</w:t>
      </w:r>
    </w:p>
    <w:p>
      <w:pPr>
        <w:spacing w:after="0" w:line="49" w:lineRule="exact"/>
        <w:rPr>
          <w:rFonts w:ascii="Arial" w:cs="Arial" w:eastAsia="Arial" w:hAnsi="Arial"/>
          <w:sz w:val="16"/>
          <w:szCs w:val="16"/>
          <w:color w:val="auto"/>
        </w:rPr>
      </w:pPr>
    </w:p>
    <w:p>
      <w:pPr>
        <w:ind w:left="960" w:right="20" w:firstLine="910"/>
        <w:spacing w:after="0" w:line="293" w:lineRule="auto"/>
        <w:tabs>
          <w:tab w:leader="none" w:pos="2282" w:val="left"/>
        </w:tabs>
        <w:numPr>
          <w:ilvl w:val="1"/>
          <w:numId w:val="211"/>
        </w:numPr>
        <w:rPr>
          <w:rFonts w:ascii="Arial" w:cs="Arial" w:eastAsia="Arial" w:hAnsi="Arial"/>
          <w:sz w:val="16"/>
          <w:szCs w:val="16"/>
          <w:color w:val="auto"/>
        </w:rPr>
      </w:pPr>
      <w:r>
        <w:rPr>
          <w:rFonts w:ascii="Arial" w:cs="Arial" w:eastAsia="Arial" w:hAnsi="Arial"/>
          <w:sz w:val="16"/>
          <w:szCs w:val="16"/>
          <w:color w:val="auto"/>
        </w:rPr>
        <w:t xml:space="preserve">to Holdings the proceeds of which shall be used by Holdings to pay (and to make a payment to any direct or indirect parent of Holdings to enable it to pay) (x) such entities’ operating expenses incurred in the ordinary course of business and other corporate overhead costs and expenses (including, without limitation, administrative, legal, accounting and similar expenses provided by third parties), which are reasonable and customary and incurred in the ordinary course of business, </w:t>
      </w:r>
      <w:r>
        <w:rPr>
          <w:rFonts w:ascii="Arial" w:cs="Arial" w:eastAsia="Arial" w:hAnsi="Arial"/>
          <w:sz w:val="16"/>
          <w:szCs w:val="16"/>
          <w:i w:val="1"/>
          <w:iCs w:val="1"/>
          <w:color w:val="auto"/>
        </w:rPr>
        <w:t>plus</w:t>
      </w:r>
      <w:r>
        <w:rPr>
          <w:rFonts w:ascii="Arial" w:cs="Arial" w:eastAsia="Arial" w:hAnsi="Arial"/>
          <w:sz w:val="16"/>
          <w:szCs w:val="16"/>
          <w:color w:val="auto"/>
        </w:rPr>
        <w:t xml:space="preserve"> (y) any reasonable and customary compensation, expense reimbursements and indemnification claims made by directors or officers of Holdings or any direct or indirect parent thereof attributable to the ownership or operations of Holdings, the Borrower and its Restricted Subsidiaries;</w:t>
      </w:r>
    </w:p>
    <w:p>
      <w:pPr>
        <w:spacing w:after="0" w:line="56" w:lineRule="exact"/>
        <w:rPr>
          <w:rFonts w:ascii="Arial" w:cs="Arial" w:eastAsia="Arial" w:hAnsi="Arial"/>
          <w:sz w:val="16"/>
          <w:szCs w:val="16"/>
          <w:color w:val="auto"/>
        </w:rPr>
      </w:pPr>
    </w:p>
    <w:p>
      <w:pPr>
        <w:ind w:left="960" w:right="220" w:firstLine="910"/>
        <w:spacing w:after="0" w:line="263" w:lineRule="auto"/>
        <w:tabs>
          <w:tab w:leader="none" w:pos="2282"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to Holdings the proceeds of which shall be used by Holdings to pay (and to make a payment to any direct or indirect parent of Holdings to enable it to pay) franchise taxes and other fees, taxes and expenses required to maintain the corporate existence of Holdings and any direct or indirect parent thereof;</w:t>
      </w:r>
    </w:p>
    <w:p>
      <w:pPr>
        <w:spacing w:after="0" w:line="75" w:lineRule="exact"/>
        <w:rPr>
          <w:rFonts w:ascii="Arial" w:cs="Arial" w:eastAsia="Arial" w:hAnsi="Arial"/>
          <w:sz w:val="18"/>
          <w:szCs w:val="18"/>
          <w:color w:val="auto"/>
        </w:rPr>
      </w:pPr>
    </w:p>
    <w:p>
      <w:pPr>
        <w:ind w:left="960" w:right="360" w:firstLine="910"/>
        <w:spacing w:after="0" w:line="342" w:lineRule="auto"/>
        <w:tabs>
          <w:tab w:leader="none" w:pos="2292" w:val="left"/>
        </w:tabs>
        <w:numPr>
          <w:ilvl w:val="1"/>
          <w:numId w:val="211"/>
        </w:numPr>
        <w:rPr>
          <w:rFonts w:ascii="Arial" w:cs="Arial" w:eastAsia="Arial" w:hAnsi="Arial"/>
          <w:sz w:val="16"/>
          <w:szCs w:val="16"/>
          <w:color w:val="auto"/>
        </w:rPr>
      </w:pPr>
      <w:r>
        <w:rPr>
          <w:rFonts w:ascii="Arial" w:cs="Arial" w:eastAsia="Arial" w:hAnsi="Arial"/>
          <w:sz w:val="16"/>
          <w:szCs w:val="16"/>
          <w:color w:val="auto"/>
        </w:rPr>
        <w:t>to Holdings the proceeds of which shall be used by Holdings or any direct or indirect parent thereof to pay fees and expenses related to any unsuccessful equity or debt offering not prohibited by this Agreement and Public Company Costs; and</w:t>
      </w:r>
    </w:p>
    <w:p>
      <w:pPr>
        <w:spacing w:after="0" w:line="15" w:lineRule="exact"/>
        <w:rPr>
          <w:rFonts w:ascii="Arial" w:cs="Arial" w:eastAsia="Arial" w:hAnsi="Arial"/>
          <w:sz w:val="16"/>
          <w:szCs w:val="16"/>
          <w:color w:val="auto"/>
        </w:rPr>
      </w:pPr>
    </w:p>
    <w:p>
      <w:pPr>
        <w:ind w:left="960" w:right="20" w:firstLine="910"/>
        <w:spacing w:after="0" w:line="271" w:lineRule="auto"/>
        <w:tabs>
          <w:tab w:leader="none" w:pos="2272" w:val="left"/>
        </w:tabs>
        <w:numPr>
          <w:ilvl w:val="1"/>
          <w:numId w:val="211"/>
        </w:numPr>
        <w:rPr>
          <w:rFonts w:ascii="Arial" w:cs="Arial" w:eastAsia="Arial" w:hAnsi="Arial"/>
          <w:sz w:val="17"/>
          <w:szCs w:val="17"/>
          <w:color w:val="auto"/>
        </w:rPr>
      </w:pPr>
      <w:r>
        <w:rPr>
          <w:rFonts w:ascii="Arial" w:cs="Arial" w:eastAsia="Arial" w:hAnsi="Arial"/>
          <w:sz w:val="17"/>
          <w:szCs w:val="17"/>
          <w:color w:val="auto"/>
        </w:rPr>
        <w:t xml:space="preserve">to Holdings the proceeds of which shall be used by Holdings to finance (or to make a distribution to any direct or indirect parent thereof to finance) any investment permitted to be made by the Borrower and its Restricted Subsidiaries pursuant to </w:t>
      </w:r>
      <w:r>
        <w:rPr>
          <w:rFonts w:ascii="Arial" w:cs="Arial" w:eastAsia="Arial" w:hAnsi="Arial"/>
          <w:sz w:val="17"/>
          <w:szCs w:val="17"/>
          <w:u w:val="single" w:color="auto"/>
          <w:color w:val="auto"/>
        </w:rPr>
        <w:t>Section 8.9</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any such distribution to the direct or indirect parent of Holdings shall be made substantially concurrently with the closing or consummation of such investment and (B) Holdings or the applicable direct or indirect parent thereof shall, immediately following the closing or consummation thereof, cause (1) all property acquired (whether assets or Equity Interests) to be contributed to the Borrower or a Restricted Subsidiary upon receipt thereof or (2) the merger, amalgamation or consolidation (to the extent permitted in </w:t>
      </w:r>
      <w:r>
        <w:rPr>
          <w:rFonts w:ascii="Arial" w:cs="Arial" w:eastAsia="Arial" w:hAnsi="Arial"/>
          <w:sz w:val="17"/>
          <w:szCs w:val="17"/>
          <w:u w:val="single" w:color="auto"/>
          <w:color w:val="auto"/>
        </w:rPr>
        <w:t>Section 8.10)</w:t>
      </w:r>
      <w:r>
        <w:rPr>
          <w:rFonts w:ascii="Arial" w:cs="Arial" w:eastAsia="Arial" w:hAnsi="Arial"/>
          <w:sz w:val="17"/>
          <w:szCs w:val="17"/>
          <w:color w:val="auto"/>
        </w:rPr>
        <w:t xml:space="preserve"> of the Person formed or acquired into the Borrower or a Restricted Subsidiary in order to consummate such investment otherwise permitted by </w:t>
      </w:r>
      <w:r>
        <w:rPr>
          <w:rFonts w:ascii="Arial" w:cs="Arial" w:eastAsia="Arial" w:hAnsi="Arial"/>
          <w:sz w:val="17"/>
          <w:szCs w:val="17"/>
          <w:u w:val="single" w:color="auto"/>
          <w:color w:val="auto"/>
        </w:rPr>
        <w:t>Section 8.9</w:t>
      </w:r>
      <w:r>
        <w:rPr>
          <w:rFonts w:ascii="Arial" w:cs="Arial" w:eastAsia="Arial" w:hAnsi="Arial"/>
          <w:sz w:val="17"/>
          <w:szCs w:val="17"/>
          <w:color w:val="auto"/>
        </w:rPr>
        <w:t xml:space="preserve">, in each case, in accordance with the requirements of </w:t>
      </w:r>
      <w:r>
        <w:rPr>
          <w:rFonts w:ascii="Arial" w:cs="Arial" w:eastAsia="Arial" w:hAnsi="Arial"/>
          <w:sz w:val="17"/>
          <w:szCs w:val="17"/>
          <w:u w:val="single" w:color="auto"/>
          <w:color w:val="auto"/>
        </w:rPr>
        <w:t>Section 4</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20" w:firstLine="987"/>
        <w:spacing w:after="0" w:line="291" w:lineRule="auto"/>
        <w:tabs>
          <w:tab w:leader="none" w:pos="1351" w:val="left"/>
        </w:tabs>
        <w:numPr>
          <w:ilvl w:val="0"/>
          <w:numId w:val="211"/>
        </w:numPr>
        <w:rPr>
          <w:rFonts w:ascii="Arial" w:cs="Arial" w:eastAsia="Arial" w:hAnsi="Arial"/>
          <w:sz w:val="16"/>
          <w:szCs w:val="16"/>
          <w:u w:val="single" w:color="auto"/>
          <w:color w:val="0000E1"/>
        </w:rPr>
      </w:pPr>
      <w:r>
        <w:rPr>
          <w:rFonts w:ascii="Arial" w:cs="Arial" w:eastAsia="Arial" w:hAnsi="Arial"/>
          <w:sz w:val="16"/>
          <w:szCs w:val="16"/>
          <w:color w:val="FF0000"/>
          <w:strike w:val="1"/>
        </w:rPr>
        <w:t>(iii)</w:t>
      </w:r>
      <w:r>
        <w:rPr>
          <w:rFonts w:ascii="Arial" w:cs="Arial" w:eastAsia="Arial" w:hAnsi="Arial"/>
          <w:sz w:val="16"/>
          <w:szCs w:val="16"/>
          <w:color w:val="FF0000"/>
        </w:rPr>
        <w:t xml:space="preserve"> </w:t>
      </w:r>
      <w:r>
        <w:rPr>
          <w:rFonts w:ascii="Arial" w:cs="Arial" w:eastAsia="Arial" w:hAnsi="Arial"/>
          <w:sz w:val="16"/>
          <w:szCs w:val="16"/>
          <w:color w:val="000000"/>
        </w:rPr>
        <w:t>(A) the Borrower from making cash distributions to Holdings (and/or by Holdings to any direct or indirect parent of Holdings)</w:t>
      </w:r>
      <w:r>
        <w:rPr>
          <w:rFonts w:ascii="Arial" w:cs="Arial" w:eastAsia="Arial" w:hAnsi="Arial"/>
          <w:sz w:val="16"/>
          <w:szCs w:val="16"/>
          <w:color w:val="FF0000"/>
        </w:rPr>
        <w:t xml:space="preserve"> </w:t>
      </w:r>
      <w:r>
        <w:rPr>
          <w:rFonts w:ascii="Arial" w:cs="Arial" w:eastAsia="Arial" w:hAnsi="Arial"/>
          <w:sz w:val="16"/>
          <w:szCs w:val="16"/>
          <w:color w:val="000000"/>
        </w:rPr>
        <w:t>which are immediately used by Holdings (or such parent of Holdings) to redeem or otherwise acquire Equity Interests of Holdings (or such parent’s Equity Interests) or (B) the issuance by Borrower or any Restricted Subsidiary of an unsecured note in payment of the redemption or acquisition price of such Equity Interests, in each case held by any future, present or former director, officer, employee, member of management or consultant of Holdings (or any direct or indirect parent thereof), or any of its Restricted Subsidiaries (or any of their respective Investment Affiliates) in each case if and so long as (x) no Default or Event of Default has occurred and is continuing or would immediately arise as a result thereof and (y) the aggregate amount of such distributions (whether made in cash or by the issuance of a note) made in any Fiscal Year shall not exceed $4,000,000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-4608195</wp:posOffset>
            </wp:positionV>
            <wp:extent cx="13716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610235</wp:posOffset>
            </wp:positionH>
            <wp:positionV relativeFrom="paragraph">
              <wp:posOffset>-836295</wp:posOffset>
            </wp:positionV>
            <wp:extent cx="12890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60"/>
          </w:cols>
          <w:pgMar w:left="460" w:top="274" w:right="479" w:bottom="1440" w:gutter="0" w:footer="0" w:header="0"/>
        </w:sectPr>
      </w:pPr>
    </w:p>
    <w:bookmarkStart w:id="173" w:name="page174"/>
    <w:bookmarkEnd w:id="173"/>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amount), with the unused amounts in any Fiscal Year being permitted to be carried over for use in succeeding Fiscal Years,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proceeds of sales or issuances of Equity Interests of Holdings (or any direct or indirect parent thereof) and/or the aggregate principal amount of equity contributions made to Holdings (or any direct or indirect parent thereof), in each case the proceeds of which are used substantially contemporaneously with such contribution to redeem such Equity Interests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amount of proceeds of any key-man life insurance policies owned by or contributed to the Restricted Group;</w:t>
      </w:r>
    </w:p>
    <w:p>
      <w:pPr>
        <w:spacing w:after="0" w:line="188" w:lineRule="exact"/>
        <w:rPr>
          <w:sz w:val="20"/>
          <w:szCs w:val="20"/>
          <w:color w:val="auto"/>
        </w:rPr>
      </w:pPr>
    </w:p>
    <w:p>
      <w:pPr>
        <w:ind w:right="140" w:firstLine="987"/>
        <w:spacing w:after="0" w:line="273" w:lineRule="auto"/>
        <w:tabs>
          <w:tab w:leader="none" w:pos="1426" w:val="left"/>
        </w:tabs>
        <w:numPr>
          <w:ilvl w:val="0"/>
          <w:numId w:val="212"/>
        </w:numPr>
        <w:rPr>
          <w:rFonts w:ascii="Arial" w:cs="Arial" w:eastAsia="Arial" w:hAnsi="Arial"/>
          <w:sz w:val="17"/>
          <w:szCs w:val="17"/>
          <w:u w:val="single" w:color="auto"/>
          <w:color w:val="0000E1"/>
        </w:rPr>
      </w:pPr>
      <w:r>
        <w:rPr>
          <w:rFonts w:ascii="Arial" w:cs="Arial" w:eastAsia="Arial" w:hAnsi="Arial"/>
          <w:sz w:val="17"/>
          <w:szCs w:val="17"/>
          <w:color w:val="FF0000"/>
          <w:strike w:val="1"/>
        </w:rPr>
        <w:t>(iv)</w:t>
      </w:r>
      <w:r>
        <w:rPr>
          <w:rFonts w:ascii="Arial" w:cs="Arial" w:eastAsia="Arial" w:hAnsi="Arial"/>
          <w:sz w:val="17"/>
          <w:szCs w:val="17"/>
          <w:color w:val="FF0000"/>
        </w:rPr>
        <w:t xml:space="preserve"> </w:t>
      </w:r>
      <w:r>
        <w:rPr>
          <w:rFonts w:ascii="Arial" w:cs="Arial" w:eastAsia="Arial" w:hAnsi="Arial"/>
          <w:sz w:val="17"/>
          <w:szCs w:val="17"/>
          <w:u w:val="single" w:color="auto"/>
          <w:color w:val="0000E1"/>
        </w:rPr>
        <w:t>other than during the Basket Suspension Period,</w:t>
      </w:r>
      <w:r>
        <w:rPr>
          <w:rFonts w:ascii="Arial" w:cs="Arial" w:eastAsia="Arial" w:hAnsi="Arial"/>
          <w:sz w:val="17"/>
          <w:szCs w:val="17"/>
          <w:color w:val="FF0000"/>
        </w:rPr>
        <w:t xml:space="preserve"> </w:t>
      </w:r>
      <w:r>
        <w:rPr>
          <w:rFonts w:ascii="Arial" w:cs="Arial" w:eastAsia="Arial" w:hAnsi="Arial"/>
          <w:sz w:val="17"/>
          <w:szCs w:val="17"/>
          <w:color w:val="000000"/>
        </w:rPr>
        <w:t>the payment of distributions by the Borrower to Holdings, which are used by</w:t>
      </w:r>
      <w:r>
        <w:rPr>
          <w:rFonts w:ascii="Arial" w:cs="Arial" w:eastAsia="Arial" w:hAnsi="Arial"/>
          <w:sz w:val="17"/>
          <w:szCs w:val="17"/>
          <w:color w:val="FF0000"/>
        </w:rPr>
        <w:t xml:space="preserve"> </w:t>
      </w:r>
      <w:r>
        <w:rPr>
          <w:rFonts w:ascii="Arial" w:cs="Arial" w:eastAsia="Arial" w:hAnsi="Arial"/>
          <w:sz w:val="17"/>
          <w:szCs w:val="17"/>
          <w:color w:val="000000"/>
        </w:rPr>
        <w:t xml:space="preserve">Holdings (or to make distributions to any direct or indirect parent thereof to enable it) to pay to its equityholders in the form of dividends on, and/or redemptions of, existing Equity Interests using the proceeds of any sale or issuance of Equity Interests of the Borrower (other than Disqualified Stock) or of capital contributions made to the Borrower </w:t>
      </w:r>
      <w:r>
        <w:rPr>
          <w:rFonts w:ascii="Arial" w:cs="Arial" w:eastAsia="Arial" w:hAnsi="Arial"/>
          <w:sz w:val="17"/>
          <w:szCs w:val="17"/>
          <w:color w:val="0000E1"/>
        </w:rPr>
        <w:t>(but excluding any such proceeds or contributions received during the Financial Covenant Suspension</w:t>
      </w:r>
      <w:r>
        <w:rPr>
          <w:rFonts w:ascii="Arial" w:cs="Arial" w:eastAsia="Arial" w:hAnsi="Arial"/>
          <w:sz w:val="17"/>
          <w:szCs w:val="17"/>
          <w:color w:val="000000"/>
        </w:rPr>
        <w:t xml:space="preserve"> </w:t>
      </w:r>
      <w:r>
        <w:rPr>
          <w:rFonts w:ascii="Arial" w:cs="Arial" w:eastAsia="Arial" w:hAnsi="Arial"/>
          <w:sz w:val="17"/>
          <w:szCs w:val="17"/>
          <w:u w:val="single" w:color="auto"/>
          <w:color w:val="0000E1"/>
        </w:rPr>
        <w:t>Period)</w:t>
      </w:r>
      <w:r>
        <w:rPr>
          <w:rFonts w:ascii="Arial" w:cs="Arial" w:eastAsia="Arial" w:hAnsi="Arial"/>
          <w:sz w:val="17"/>
          <w:szCs w:val="17"/>
          <w:color w:val="000000"/>
        </w:rPr>
        <w:t>, in each case so long as no Default or Event of Default has occurred and is continuing or would immediately arise as a result thereof, as of the</w:t>
      </w:r>
      <w:r>
        <w:rPr>
          <w:rFonts w:ascii="Arial" w:cs="Arial" w:eastAsia="Arial" w:hAnsi="Arial"/>
          <w:sz w:val="17"/>
          <w:szCs w:val="17"/>
          <w:color w:val="0000E1"/>
        </w:rPr>
        <w:t xml:space="preserve"> </w:t>
      </w:r>
      <w:r>
        <w:rPr>
          <w:rFonts w:ascii="Arial" w:cs="Arial" w:eastAsia="Arial" w:hAnsi="Arial"/>
          <w:sz w:val="17"/>
          <w:szCs w:val="17"/>
          <w:color w:val="000000"/>
        </w:rPr>
        <w:t>date of the declaration of such payment or redemption;</w:t>
      </w:r>
    </w:p>
    <w:p>
      <w:pPr>
        <w:spacing w:after="0" w:line="177" w:lineRule="exact"/>
        <w:rPr>
          <w:rFonts w:ascii="Arial" w:cs="Arial" w:eastAsia="Arial" w:hAnsi="Arial"/>
          <w:sz w:val="17"/>
          <w:szCs w:val="17"/>
          <w:u w:val="single" w:color="auto"/>
          <w:color w:val="0000E1"/>
        </w:rPr>
      </w:pPr>
    </w:p>
    <w:p>
      <w:pPr>
        <w:ind w:firstLine="987"/>
        <w:spacing w:after="0" w:line="273" w:lineRule="auto"/>
        <w:tabs>
          <w:tab w:leader="none" w:pos="1416" w:val="left"/>
        </w:tabs>
        <w:numPr>
          <w:ilvl w:val="0"/>
          <w:numId w:val="212"/>
        </w:numPr>
        <w:rPr>
          <w:rFonts w:ascii="Arial" w:cs="Arial" w:eastAsia="Arial" w:hAnsi="Arial"/>
          <w:sz w:val="17"/>
          <w:szCs w:val="17"/>
          <w:u w:val="single" w:color="auto"/>
          <w:color w:val="0000E1"/>
        </w:rPr>
      </w:pPr>
      <w:r>
        <w:rPr>
          <w:rFonts w:ascii="Arial" w:cs="Arial" w:eastAsia="Arial" w:hAnsi="Arial"/>
          <w:sz w:val="17"/>
          <w:szCs w:val="17"/>
          <w:color w:val="FF0000"/>
          <w:strike w:val="1"/>
        </w:rPr>
        <w:t>(v)</w:t>
      </w:r>
      <w:r>
        <w:rPr>
          <w:rFonts w:ascii="Arial" w:cs="Arial" w:eastAsia="Arial" w:hAnsi="Arial"/>
          <w:sz w:val="17"/>
          <w:szCs w:val="17"/>
          <w:color w:val="FF0000"/>
        </w:rPr>
        <w:t xml:space="preserve"> </w:t>
      </w:r>
      <w:r>
        <w:rPr>
          <w:rFonts w:ascii="Arial" w:cs="Arial" w:eastAsia="Arial" w:hAnsi="Arial"/>
          <w:sz w:val="17"/>
          <w:szCs w:val="17"/>
          <w:u w:val="single" w:color="auto"/>
          <w:color w:val="0000E1"/>
        </w:rPr>
        <w:t>other than during the Basket Suspension Period,</w:t>
      </w:r>
      <w:r>
        <w:rPr>
          <w:rFonts w:ascii="Arial" w:cs="Arial" w:eastAsia="Arial" w:hAnsi="Arial"/>
          <w:sz w:val="17"/>
          <w:szCs w:val="17"/>
          <w:color w:val="FF0000"/>
        </w:rPr>
        <w:t xml:space="preserve"> </w:t>
      </w:r>
      <w:r>
        <w:rPr>
          <w:rFonts w:ascii="Arial" w:cs="Arial" w:eastAsia="Arial" w:hAnsi="Arial"/>
          <w:sz w:val="17"/>
          <w:szCs w:val="17"/>
          <w:color w:val="000000"/>
        </w:rPr>
        <w:t>the payment by Borrower to Holdings (or any direct or indirect parent thereof) to</w:t>
      </w:r>
      <w:r>
        <w:rPr>
          <w:rFonts w:ascii="Arial" w:cs="Arial" w:eastAsia="Arial" w:hAnsi="Arial"/>
          <w:sz w:val="17"/>
          <w:szCs w:val="17"/>
          <w:color w:val="FF0000"/>
        </w:rPr>
        <w:t xml:space="preserve"> </w:t>
      </w:r>
      <w:r>
        <w:rPr>
          <w:rFonts w:ascii="Arial" w:cs="Arial" w:eastAsia="Arial" w:hAnsi="Arial"/>
          <w:sz w:val="17"/>
          <w:szCs w:val="17"/>
          <w:color w:val="000000"/>
        </w:rPr>
        <w:t xml:space="preserve">make payments to its equityholders in the form of dividends on Equity Interests of Holdings (or such parent) in an amount up to 6.0% per annum of the net proceeds received in any </w:t>
      </w:r>
      <w:r>
        <w:rPr>
          <w:rFonts w:ascii="Arial" w:cs="Arial" w:eastAsia="Arial" w:hAnsi="Arial"/>
          <w:sz w:val="17"/>
          <w:szCs w:val="17"/>
          <w:color w:val="FF0000"/>
          <w:strike w:val="1"/>
        </w:rPr>
        <w:t>the</w:t>
      </w:r>
      <w:r>
        <w:rPr>
          <w:rFonts w:ascii="Arial" w:cs="Arial" w:eastAsia="Arial" w:hAnsi="Arial"/>
          <w:sz w:val="17"/>
          <w:szCs w:val="17"/>
          <w:color w:val="000000"/>
        </w:rPr>
        <w:t xml:space="preserve"> issuance by Holdings or any direct or indirect parent of Holdings of its common Equity Interests in any public offering (other than </w:t>
      </w:r>
      <w:r>
        <w:rPr>
          <w:rFonts w:ascii="Arial" w:cs="Arial" w:eastAsia="Arial" w:hAnsi="Arial"/>
          <w:sz w:val="17"/>
          <w:szCs w:val="17"/>
          <w:u w:val="single" w:color="auto"/>
          <w:color w:val="0000E1"/>
        </w:rPr>
        <w:t>(x)</w:t>
      </w:r>
      <w:r>
        <w:rPr>
          <w:rFonts w:ascii="Arial" w:cs="Arial" w:eastAsia="Arial" w:hAnsi="Arial"/>
          <w:sz w:val="17"/>
          <w:szCs w:val="17"/>
          <w:color w:val="000000"/>
        </w:rPr>
        <w:t xml:space="preserve"> a public offering pursuant to a registration statement on Form S-8 </w:t>
      </w:r>
      <w:r>
        <w:rPr>
          <w:rFonts w:ascii="Arial" w:cs="Arial" w:eastAsia="Arial" w:hAnsi="Arial"/>
          <w:sz w:val="17"/>
          <w:szCs w:val="17"/>
          <w:color w:val="0000E1"/>
        </w:rPr>
        <w:t>or (y) any public offering the proceeds of which are received during the</w:t>
      </w:r>
      <w:r>
        <w:rPr>
          <w:rFonts w:ascii="Arial" w:cs="Arial" w:eastAsia="Arial" w:hAnsi="Arial"/>
          <w:sz w:val="17"/>
          <w:szCs w:val="17"/>
          <w:color w:val="000000"/>
        </w:rPr>
        <w:t xml:space="preserve"> </w:t>
      </w:r>
      <w:r>
        <w:rPr>
          <w:rFonts w:ascii="Arial" w:cs="Arial" w:eastAsia="Arial" w:hAnsi="Arial"/>
          <w:sz w:val="17"/>
          <w:szCs w:val="17"/>
          <w:u w:val="single" w:color="auto"/>
          <w:color w:val="0000E1"/>
        </w:rPr>
        <w:t>Financial Covenant Suspension Period</w:t>
      </w:r>
      <w:r>
        <w:rPr>
          <w:rFonts w:ascii="Arial" w:cs="Arial" w:eastAsia="Arial" w:hAnsi="Arial"/>
          <w:sz w:val="17"/>
          <w:szCs w:val="17"/>
          <w:color w:val="000000"/>
        </w:rPr>
        <w:t>, but including any secondary offering) so long as no Default or Event of Default has occurred or would result</w:t>
      </w:r>
      <w:r>
        <w:rPr>
          <w:rFonts w:ascii="Arial" w:cs="Arial" w:eastAsia="Arial" w:hAnsi="Arial"/>
          <w:sz w:val="17"/>
          <w:szCs w:val="17"/>
          <w:color w:val="0000E1"/>
        </w:rPr>
        <w:t xml:space="preserve"> </w:t>
      </w:r>
      <w:r>
        <w:rPr>
          <w:rFonts w:ascii="Arial" w:cs="Arial" w:eastAsia="Arial" w:hAnsi="Arial"/>
          <w:sz w:val="17"/>
          <w:szCs w:val="17"/>
          <w:color w:val="000000"/>
        </w:rPr>
        <w:t>therefrom as of the date of declaration of such dividend and after giving effect to such Restricted Payment;</w:t>
      </w:r>
    </w:p>
    <w:p>
      <w:pPr>
        <w:spacing w:after="0" w:line="177" w:lineRule="exact"/>
        <w:rPr>
          <w:rFonts w:ascii="Arial" w:cs="Arial" w:eastAsia="Arial" w:hAnsi="Arial"/>
          <w:sz w:val="17"/>
          <w:szCs w:val="17"/>
          <w:u w:val="single" w:color="auto"/>
          <w:color w:val="0000E1"/>
        </w:rPr>
      </w:pPr>
    </w:p>
    <w:p>
      <w:pPr>
        <w:ind w:right="380" w:firstLine="987"/>
        <w:spacing w:after="0" w:line="342" w:lineRule="auto"/>
        <w:tabs>
          <w:tab w:leader="none" w:pos="1396" w:val="left"/>
        </w:tabs>
        <w:numPr>
          <w:ilvl w:val="0"/>
          <w:numId w:val="212"/>
        </w:numPr>
        <w:rPr>
          <w:rFonts w:ascii="Arial" w:cs="Arial" w:eastAsia="Arial" w:hAnsi="Arial"/>
          <w:sz w:val="16"/>
          <w:szCs w:val="16"/>
          <w:u w:val="single" w:color="auto"/>
          <w:color w:val="0000E1"/>
        </w:rPr>
      </w:pPr>
      <w:r>
        <w:rPr>
          <w:rFonts w:ascii="Arial" w:cs="Arial" w:eastAsia="Arial" w:hAnsi="Arial"/>
          <w:sz w:val="16"/>
          <w:szCs w:val="16"/>
          <w:color w:val="FF0000"/>
          <w:strike w:val="1"/>
        </w:rPr>
        <w:t>(vi)</w:t>
      </w:r>
      <w:r>
        <w:rPr>
          <w:rFonts w:ascii="Arial" w:cs="Arial" w:eastAsia="Arial" w:hAnsi="Arial"/>
          <w:sz w:val="16"/>
          <w:szCs w:val="16"/>
          <w:color w:val="FF0000"/>
        </w:rPr>
        <w:t xml:space="preserve"> </w:t>
      </w:r>
      <w:r>
        <w:rPr>
          <w:rFonts w:ascii="Arial" w:cs="Arial" w:eastAsia="Arial" w:hAnsi="Arial"/>
          <w:sz w:val="16"/>
          <w:szCs w:val="16"/>
          <w:color w:val="000000"/>
        </w:rPr>
        <w:t>repurchases of Equity Interests in Holdings (or any direct or indirect parent thereof) deemed to occur upon exercise of stock</w:t>
      </w:r>
      <w:r>
        <w:rPr>
          <w:rFonts w:ascii="Arial" w:cs="Arial" w:eastAsia="Arial" w:hAnsi="Arial"/>
          <w:sz w:val="16"/>
          <w:szCs w:val="16"/>
          <w:color w:val="FF0000"/>
        </w:rPr>
        <w:t xml:space="preserve"> </w:t>
      </w:r>
      <w:r>
        <w:rPr>
          <w:rFonts w:ascii="Arial" w:cs="Arial" w:eastAsia="Arial" w:hAnsi="Arial"/>
          <w:sz w:val="16"/>
          <w:szCs w:val="16"/>
          <w:color w:val="000000"/>
        </w:rPr>
        <w:t>options, warrants or similar rights if such Equity Interests represent a portion of the exercise price of such options, warrants or similar rights;</w:t>
      </w:r>
    </w:p>
    <w:p>
      <w:pPr>
        <w:spacing w:after="0" w:line="123" w:lineRule="exact"/>
        <w:rPr>
          <w:rFonts w:ascii="Arial" w:cs="Arial" w:eastAsia="Arial" w:hAnsi="Arial"/>
          <w:sz w:val="16"/>
          <w:szCs w:val="16"/>
          <w:u w:val="single" w:color="auto"/>
          <w:color w:val="0000E1"/>
        </w:rPr>
      </w:pPr>
    </w:p>
    <w:p>
      <w:pPr>
        <w:jc w:val="both"/>
        <w:ind w:right="180" w:firstLine="987"/>
        <w:spacing w:after="0" w:line="275" w:lineRule="auto"/>
        <w:tabs>
          <w:tab w:leader="none" w:pos="1381" w:val="left"/>
        </w:tabs>
        <w:numPr>
          <w:ilvl w:val="0"/>
          <w:numId w:val="212"/>
        </w:numPr>
        <w:rPr>
          <w:rFonts w:ascii="Arial" w:cs="Arial" w:eastAsia="Arial" w:hAnsi="Arial"/>
          <w:sz w:val="17"/>
          <w:szCs w:val="17"/>
          <w:u w:val="single" w:color="auto"/>
          <w:color w:val="0000E1"/>
        </w:rPr>
      </w:pPr>
      <w:r>
        <w:rPr>
          <w:rFonts w:ascii="Arial" w:cs="Arial" w:eastAsia="Arial" w:hAnsi="Arial"/>
          <w:sz w:val="17"/>
          <w:szCs w:val="17"/>
          <w:color w:val="FF0000"/>
          <w:strike w:val="1"/>
        </w:rPr>
        <w:t>(vii)</w:t>
      </w:r>
      <w:r>
        <w:rPr>
          <w:rFonts w:ascii="Arial" w:cs="Arial" w:eastAsia="Arial" w:hAnsi="Arial"/>
          <w:sz w:val="17"/>
          <w:szCs w:val="17"/>
          <w:color w:val="FF0000"/>
        </w:rPr>
        <w:t xml:space="preserve"> </w:t>
      </w:r>
      <w:r>
        <w:rPr>
          <w:rFonts w:ascii="Arial" w:cs="Arial" w:eastAsia="Arial" w:hAnsi="Arial"/>
          <w:sz w:val="17"/>
          <w:szCs w:val="17"/>
          <w:color w:val="000000"/>
        </w:rPr>
        <w:t>payments made or expected to be made by the Borrower or any of its Restricted Subsidiaries (or to Holdings or its direct or</w:t>
      </w:r>
      <w:r>
        <w:rPr>
          <w:rFonts w:ascii="Arial" w:cs="Arial" w:eastAsia="Arial" w:hAnsi="Arial"/>
          <w:sz w:val="17"/>
          <w:szCs w:val="17"/>
          <w:color w:val="FF0000"/>
        </w:rPr>
        <w:t xml:space="preserve"> </w:t>
      </w:r>
      <w:r>
        <w:rPr>
          <w:rFonts w:ascii="Arial" w:cs="Arial" w:eastAsia="Arial" w:hAnsi="Arial"/>
          <w:sz w:val="17"/>
          <w:szCs w:val="17"/>
          <w:color w:val="000000"/>
        </w:rPr>
        <w:t>indirect parent to enable it to make payments) in respect of withholding or similar taxes payable by any future, present or former directors, officers, employees, members of management and consultants of the Borrower (or any direct or indirect parent thereof) or any of its Restricted Subsidiaries (or any of their respective Investment Affiliates) and any repurchases of Equity Interests in consideration of such payments including deemed repurchases in connection with the exercise of stock options, warrants or similar rights;</w:t>
      </w:r>
    </w:p>
    <w:p>
      <w:pPr>
        <w:spacing w:after="0" w:line="176" w:lineRule="exact"/>
        <w:rPr>
          <w:rFonts w:ascii="Arial" w:cs="Arial" w:eastAsia="Arial" w:hAnsi="Arial"/>
          <w:sz w:val="17"/>
          <w:szCs w:val="17"/>
          <w:u w:val="single" w:color="auto"/>
          <w:color w:val="0000E1"/>
        </w:rPr>
      </w:pPr>
    </w:p>
    <w:p>
      <w:pPr>
        <w:ind w:right="20" w:firstLine="987"/>
        <w:spacing w:after="0" w:line="263" w:lineRule="auto"/>
        <w:tabs>
          <w:tab w:leader="none" w:pos="1381" w:val="left"/>
        </w:tabs>
        <w:numPr>
          <w:ilvl w:val="0"/>
          <w:numId w:val="212"/>
        </w:numPr>
        <w:rPr>
          <w:rFonts w:ascii="Arial" w:cs="Arial" w:eastAsia="Arial" w:hAnsi="Arial"/>
          <w:sz w:val="18"/>
          <w:szCs w:val="18"/>
          <w:u w:val="single" w:color="auto"/>
          <w:color w:val="0000E1"/>
        </w:rPr>
      </w:pPr>
      <w:r>
        <w:rPr>
          <w:rFonts w:ascii="Arial" w:cs="Arial" w:eastAsia="Arial" w:hAnsi="Arial"/>
          <w:sz w:val="18"/>
          <w:szCs w:val="18"/>
          <w:color w:val="FF0000"/>
          <w:strike w:val="1"/>
        </w:rPr>
        <w:t>(viii)</w:t>
      </w:r>
      <w:r>
        <w:rPr>
          <w:rFonts w:ascii="Arial" w:cs="Arial" w:eastAsia="Arial" w:hAnsi="Arial"/>
          <w:sz w:val="18"/>
          <w:szCs w:val="18"/>
          <w:color w:val="FF0000"/>
        </w:rPr>
        <w:t xml:space="preserve"> </w:t>
      </w:r>
      <w:r>
        <w:rPr>
          <w:rFonts w:ascii="Arial" w:cs="Arial" w:eastAsia="Arial" w:hAnsi="Arial"/>
          <w:sz w:val="18"/>
          <w:szCs w:val="18"/>
          <w:color w:val="000000"/>
        </w:rPr>
        <w:t>cash payments made by the Borrower to Holdings (and/or by Holdings to any direct or indirect parent thereof to enable it to</w:t>
      </w:r>
      <w:r>
        <w:rPr>
          <w:rFonts w:ascii="Arial" w:cs="Arial" w:eastAsia="Arial" w:hAnsi="Arial"/>
          <w:sz w:val="18"/>
          <w:szCs w:val="18"/>
          <w:color w:val="FF0000"/>
        </w:rPr>
        <w:t xml:space="preserve"> </w:t>
      </w:r>
      <w:r>
        <w:rPr>
          <w:rFonts w:ascii="Arial" w:cs="Arial" w:eastAsia="Arial" w:hAnsi="Arial"/>
          <w:sz w:val="18"/>
          <w:szCs w:val="18"/>
          <w:color w:val="000000"/>
        </w:rPr>
        <w:t>make payments) in lieu of fractional Equity Interests in connection with the exercise of warrants, options or similar rights or other securities, convertible or exchangeable for Equity Interests of the Borrower (and/or any direct or indirect parent thereof);</w:t>
      </w:r>
    </w:p>
    <w:p>
      <w:pPr>
        <w:spacing w:after="0" w:line="183" w:lineRule="exact"/>
        <w:rPr>
          <w:rFonts w:ascii="Arial" w:cs="Arial" w:eastAsia="Arial" w:hAnsi="Arial"/>
          <w:sz w:val="18"/>
          <w:szCs w:val="18"/>
          <w:u w:val="single" w:color="auto"/>
          <w:color w:val="0000E1"/>
        </w:rPr>
      </w:pPr>
    </w:p>
    <w:p>
      <w:pPr>
        <w:ind w:right="100" w:firstLine="987"/>
        <w:spacing w:after="0" w:line="259" w:lineRule="auto"/>
        <w:tabs>
          <w:tab w:leader="none" w:pos="1341" w:val="left"/>
        </w:tabs>
        <w:numPr>
          <w:ilvl w:val="0"/>
          <w:numId w:val="212"/>
        </w:numPr>
        <w:rPr>
          <w:rFonts w:ascii="Arial" w:cs="Arial" w:eastAsia="Arial" w:hAnsi="Arial"/>
          <w:sz w:val="18"/>
          <w:szCs w:val="18"/>
          <w:u w:val="single" w:color="auto"/>
          <w:color w:val="0000E1"/>
        </w:rPr>
      </w:pPr>
      <w:r>
        <w:rPr>
          <w:rFonts w:ascii="Arial" w:cs="Arial" w:eastAsia="Arial" w:hAnsi="Arial"/>
          <w:sz w:val="18"/>
          <w:szCs w:val="18"/>
          <w:color w:val="FF0000"/>
          <w:strike w:val="1"/>
        </w:rPr>
        <w:t>(ix)</w:t>
      </w:r>
      <w:r>
        <w:rPr>
          <w:rFonts w:ascii="Arial" w:cs="Arial" w:eastAsia="Arial" w:hAnsi="Arial"/>
          <w:sz w:val="18"/>
          <w:szCs w:val="18"/>
          <w:color w:val="FF0000"/>
        </w:rPr>
        <w:t xml:space="preserve"> </w:t>
      </w:r>
      <w:r>
        <w:rPr>
          <w:rFonts w:ascii="Arial" w:cs="Arial" w:eastAsia="Arial" w:hAnsi="Arial"/>
          <w:sz w:val="18"/>
          <w:szCs w:val="18"/>
          <w:color w:val="000000"/>
        </w:rPr>
        <w:t>other</w:t>
      </w:r>
      <w:r>
        <w:rPr>
          <w:rFonts w:ascii="Arial" w:cs="Arial" w:eastAsia="Arial" w:hAnsi="Arial"/>
          <w:sz w:val="18"/>
          <w:szCs w:val="18"/>
          <w:color w:val="FF0000"/>
        </w:rPr>
        <w:t xml:space="preserve"> </w:t>
      </w:r>
      <w:r>
        <w:rPr>
          <w:rFonts w:ascii="Arial" w:cs="Arial" w:eastAsia="Arial" w:hAnsi="Arial"/>
          <w:sz w:val="18"/>
          <w:szCs w:val="18"/>
          <w:u w:val="single" w:color="auto"/>
          <w:color w:val="0000E1"/>
        </w:rPr>
        <w:t>than during the Basket Suspension Period, other</w:t>
      </w:r>
      <w:r>
        <w:rPr>
          <w:rFonts w:ascii="Arial" w:cs="Arial" w:eastAsia="Arial" w:hAnsi="Arial"/>
          <w:sz w:val="18"/>
          <w:szCs w:val="18"/>
          <w:color w:val="FF0000"/>
        </w:rPr>
        <w:t xml:space="preserve"> </w:t>
      </w:r>
      <w:r>
        <w:rPr>
          <w:rFonts w:ascii="Arial" w:cs="Arial" w:eastAsia="Arial" w:hAnsi="Arial"/>
          <w:sz w:val="18"/>
          <w:szCs w:val="18"/>
          <w:color w:val="000000"/>
        </w:rPr>
        <w:t>Restricted Payments made by Holdings, the Borrower or its Restricted</w:t>
      </w:r>
      <w:r>
        <w:rPr>
          <w:rFonts w:ascii="Arial" w:cs="Arial" w:eastAsia="Arial" w:hAnsi="Arial"/>
          <w:sz w:val="18"/>
          <w:szCs w:val="18"/>
          <w:color w:val="FF0000"/>
        </w:rPr>
        <w:t xml:space="preserve"> </w:t>
      </w:r>
      <w:r>
        <w:rPr>
          <w:rFonts w:ascii="Arial" w:cs="Arial" w:eastAsia="Arial" w:hAnsi="Arial"/>
          <w:sz w:val="18"/>
          <w:szCs w:val="18"/>
          <w:color w:val="000000"/>
        </w:rPr>
        <w:t xml:space="preserve">Subsidiaries in addition to those otherwise permitted by this </w:t>
      </w:r>
      <w:r>
        <w:rPr>
          <w:rFonts w:ascii="Arial" w:cs="Arial" w:eastAsia="Arial" w:hAnsi="Arial"/>
          <w:sz w:val="18"/>
          <w:szCs w:val="18"/>
          <w:u w:val="single" w:color="auto"/>
          <w:color w:val="000000"/>
        </w:rPr>
        <w:t>Section 8.12</w:t>
      </w:r>
      <w:r>
        <w:rPr>
          <w:rFonts w:ascii="Arial" w:cs="Arial" w:eastAsia="Arial" w:hAnsi="Arial"/>
          <w:sz w:val="18"/>
          <w:szCs w:val="18"/>
          <w:color w:val="000000"/>
        </w:rPr>
        <w:t xml:space="preserve"> in an amount not to exceed the Cumulative Credit on the date of such election that the Borrower elects to apply to this </w:t>
      </w:r>
      <w:r>
        <w:rPr>
          <w:rFonts w:ascii="Arial" w:cs="Arial" w:eastAsia="Arial" w:hAnsi="Arial"/>
          <w:sz w:val="18"/>
          <w:szCs w:val="18"/>
          <w:u w:val="single" w:color="auto"/>
          <w:color w:val="000000"/>
        </w:rPr>
        <w:t>Section 8.12(</w:t>
      </w:r>
      <w:r>
        <w:rPr>
          <w:rFonts w:ascii="Arial" w:cs="Arial" w:eastAsia="Arial" w:hAnsi="Arial"/>
          <w:sz w:val="18"/>
          <w:szCs w:val="18"/>
          <w:color w:val="FF0000"/>
          <w:strike w:val="1"/>
        </w:rPr>
        <w:t>ix</w:t>
      </w:r>
      <w:r>
        <w:rPr>
          <w:rFonts w:ascii="Arial" w:cs="Arial" w:eastAsia="Arial" w:hAnsi="Arial"/>
          <w:sz w:val="18"/>
          <w:szCs w:val="18"/>
          <w:u w:val="single" w:color="auto"/>
          <w:color w:val="0000E1"/>
        </w:rPr>
        <w:t>i</w:t>
      </w:r>
      <w:r>
        <w:rPr>
          <w:rFonts w:ascii="Arial" w:cs="Arial" w:eastAsia="Arial" w:hAnsi="Arial"/>
          <w:sz w:val="18"/>
          <w:szCs w:val="18"/>
          <w:u w:val="single" w:color="auto"/>
          <w:color w:val="000000"/>
        </w:rPr>
        <w:t>)</w:t>
      </w:r>
      <w:r>
        <w:rPr>
          <w:rFonts w:ascii="Arial" w:cs="Arial" w:eastAsia="Arial" w:hAnsi="Arial"/>
          <w:sz w:val="18"/>
          <w:szCs w:val="18"/>
          <w:color w:val="000000"/>
        </w:rPr>
        <w:t xml:space="preserve">; </w:t>
      </w:r>
      <w:r>
        <w:rPr>
          <w:rFonts w:ascii="Arial" w:cs="Arial" w:eastAsia="Arial" w:hAnsi="Arial"/>
          <w:sz w:val="18"/>
          <w:szCs w:val="18"/>
          <w:i w:val="1"/>
          <w:iCs w:val="1"/>
          <w:color w:val="000000"/>
        </w:rPr>
        <w:t>provided</w:t>
      </w:r>
      <w:r>
        <w:rPr>
          <w:rFonts w:ascii="Arial" w:cs="Arial" w:eastAsia="Arial" w:hAnsi="Arial"/>
          <w:sz w:val="18"/>
          <w:szCs w:val="18"/>
          <w:color w:val="000000"/>
        </w:rPr>
        <w:t>, that after giving effect to such Restricted Payment, no Event of Default shall have occurred and be continuing or result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-4115435</wp:posOffset>
            </wp:positionV>
            <wp:extent cx="267462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-3703955</wp:posOffset>
            </wp:positionV>
            <wp:extent cx="468884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-3738245</wp:posOffset>
            </wp:positionV>
            <wp:extent cx="469265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46926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-3566795</wp:posOffset>
            </wp:positionV>
            <wp:extent cx="33401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-3155315</wp:posOffset>
            </wp:positionV>
            <wp:extent cx="263144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520065</wp:posOffset>
            </wp:positionH>
            <wp:positionV relativeFrom="paragraph">
              <wp:posOffset>-2743835</wp:posOffset>
            </wp:positionV>
            <wp:extent cx="13716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3683635</wp:posOffset>
            </wp:positionH>
            <wp:positionV relativeFrom="paragraph">
              <wp:posOffset>-2743835</wp:posOffset>
            </wp:positionV>
            <wp:extent cx="3300095"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3300095" cy="8890"/>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-2778125</wp:posOffset>
            </wp:positionV>
            <wp:extent cx="3300095"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33000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-2606675</wp:posOffset>
            </wp:positionV>
            <wp:extent cx="176593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76593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-2195195</wp:posOffset>
            </wp:positionV>
            <wp:extent cx="12001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-1783715</wp:posOffset>
            </wp:positionV>
            <wp:extent cx="13716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-960755</wp:posOffset>
            </wp:positionV>
            <wp:extent cx="13716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-412115</wp:posOffset>
            </wp:positionV>
            <wp:extent cx="288036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2880360" cy="889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-137795</wp:posOffset>
            </wp:positionV>
            <wp:extent cx="2603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440" w:top="274" w:right="459" w:bottom="1440" w:gutter="0" w:footer="0" w:header="0"/>
        </w:sectPr>
      </w:pPr>
    </w:p>
    <w:bookmarkStart w:id="174" w:name="page175"/>
    <w:bookmarkEnd w:id="174"/>
    <w:p>
      <w:pPr>
        <w:ind w:right="580" w:firstLine="987"/>
        <w:spacing w:after="0" w:line="277" w:lineRule="auto"/>
        <w:tabs>
          <w:tab w:leader="none" w:pos="1386" w:val="left"/>
        </w:tabs>
        <w:numPr>
          <w:ilvl w:val="0"/>
          <w:numId w:val="213"/>
        </w:numPr>
        <w:rPr>
          <w:rFonts w:ascii="Arial" w:cs="Arial" w:eastAsia="Arial" w:hAnsi="Arial"/>
          <w:sz w:val="18"/>
          <w:szCs w:val="18"/>
          <w:u w:val="single" w:color="auto"/>
          <w:color w:val="0000E1"/>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(x)</w:t>
      </w:r>
      <w:r>
        <w:rPr>
          <w:rFonts w:ascii="Arial" w:cs="Arial" w:eastAsia="Arial" w:hAnsi="Arial"/>
          <w:sz w:val="18"/>
          <w:szCs w:val="18"/>
          <w:color w:val="FF0000"/>
        </w:rPr>
        <w:t xml:space="preserve"> </w:t>
      </w:r>
      <w:r>
        <w:rPr>
          <w:rFonts w:ascii="Arial" w:cs="Arial" w:eastAsia="Arial" w:hAnsi="Arial"/>
          <w:sz w:val="18"/>
          <w:szCs w:val="18"/>
          <w:color w:val="000000"/>
        </w:rPr>
        <w:t>to the extent constituting Restricted Payments, transactions expressly permitted by</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Section 8.9</w:t>
      </w:r>
      <w:r>
        <w:rPr>
          <w:rFonts w:ascii="Arial" w:cs="Arial" w:eastAsia="Arial" w:hAnsi="Arial"/>
          <w:sz w:val="18"/>
          <w:szCs w:val="18"/>
          <w:color w:val="FF0000"/>
        </w:rPr>
        <w:t xml:space="preserve"> </w:t>
      </w:r>
      <w:r>
        <w:rPr>
          <w:rFonts w:ascii="Arial" w:cs="Arial" w:eastAsia="Arial" w:hAnsi="Arial"/>
          <w:sz w:val="18"/>
          <w:szCs w:val="18"/>
          <w:color w:val="000000"/>
        </w:rPr>
        <w:t>(other than</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Section 8.9(v)</w:t>
      </w:r>
      <w:r>
        <w:rPr>
          <w:rFonts w:ascii="Arial" w:cs="Arial" w:eastAsia="Arial" w:hAnsi="Arial"/>
          <w:sz w:val="18"/>
          <w:szCs w:val="18"/>
          <w:color w:val="000000"/>
        </w:rPr>
        <w:t>),</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Section 8.10</w:t>
      </w:r>
      <w:r>
        <w:rPr>
          <w:rFonts w:ascii="Arial" w:cs="Arial" w:eastAsia="Arial" w:hAnsi="Arial"/>
          <w:sz w:val="18"/>
          <w:szCs w:val="18"/>
          <w:color w:val="000000"/>
        </w:rPr>
        <w:t xml:space="preserve"> (other than </w:t>
      </w:r>
      <w:r>
        <w:rPr>
          <w:rFonts w:ascii="Arial" w:cs="Arial" w:eastAsia="Arial" w:hAnsi="Arial"/>
          <w:sz w:val="18"/>
          <w:szCs w:val="18"/>
          <w:u w:val="single" w:color="auto"/>
          <w:color w:val="000000"/>
        </w:rPr>
        <w:t>Section 8.10(n)</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Section 8.15</w:t>
      </w:r>
      <w:r>
        <w:rPr>
          <w:rFonts w:ascii="Arial" w:cs="Arial" w:eastAsia="Arial" w:hAnsi="Arial"/>
          <w:sz w:val="18"/>
          <w:szCs w:val="18"/>
          <w:color w:val="000000"/>
        </w:rPr>
        <w:t xml:space="preserve"> (other than </w:t>
      </w:r>
      <w:r>
        <w:rPr>
          <w:rFonts w:ascii="Arial" w:cs="Arial" w:eastAsia="Arial" w:hAnsi="Arial"/>
          <w:sz w:val="18"/>
          <w:szCs w:val="18"/>
          <w:u w:val="single" w:color="auto"/>
          <w:color w:val="000000"/>
        </w:rPr>
        <w:t>Section 8.15(n)</w:t>
      </w:r>
      <w:r>
        <w:rPr>
          <w:rFonts w:ascii="Arial" w:cs="Arial" w:eastAsia="Arial" w:hAnsi="Arial"/>
          <w:sz w:val="18"/>
          <w:szCs w:val="18"/>
          <w:color w:val="000000"/>
        </w:rPr>
        <w:t>);</w:t>
      </w:r>
    </w:p>
    <w:p>
      <w:pPr>
        <w:spacing w:after="0" w:line="170" w:lineRule="exact"/>
        <w:rPr>
          <w:rFonts w:ascii="Arial" w:cs="Arial" w:eastAsia="Arial" w:hAnsi="Arial"/>
          <w:sz w:val="18"/>
          <w:szCs w:val="18"/>
          <w:u w:val="single" w:color="auto"/>
          <w:color w:val="0000E1"/>
        </w:rPr>
      </w:pPr>
    </w:p>
    <w:p>
      <w:pPr>
        <w:ind w:left="1420" w:hanging="433"/>
        <w:spacing w:after="0"/>
        <w:tabs>
          <w:tab w:leader="none" w:pos="1420" w:val="left"/>
        </w:tabs>
        <w:numPr>
          <w:ilvl w:val="0"/>
          <w:numId w:val="213"/>
        </w:numPr>
        <w:rPr>
          <w:rFonts w:ascii="Arial" w:cs="Arial" w:eastAsia="Arial" w:hAnsi="Arial"/>
          <w:sz w:val="17"/>
          <w:szCs w:val="17"/>
          <w:u w:val="single" w:color="auto"/>
          <w:color w:val="0000E1"/>
        </w:rPr>
      </w:pPr>
      <w:r>
        <w:rPr>
          <w:rFonts w:ascii="Arial" w:cs="Arial" w:eastAsia="Arial" w:hAnsi="Arial"/>
          <w:sz w:val="17"/>
          <w:szCs w:val="17"/>
          <w:color w:val="FF0000"/>
          <w:strike w:val="1"/>
        </w:rPr>
        <w:t>(xi)</w:t>
      </w:r>
      <w:r>
        <w:rPr>
          <w:rFonts w:ascii="Arial" w:cs="Arial" w:eastAsia="Arial" w:hAnsi="Arial"/>
          <w:sz w:val="17"/>
          <w:szCs w:val="17"/>
          <w:color w:val="FF0000"/>
        </w:rPr>
        <w:t xml:space="preserve"> </w:t>
      </w:r>
      <w:r>
        <w:rPr>
          <w:rFonts w:ascii="Arial" w:cs="Arial" w:eastAsia="Arial" w:hAnsi="Arial"/>
          <w:sz w:val="17"/>
          <w:szCs w:val="17"/>
          <w:color w:val="000000"/>
        </w:rPr>
        <w:t>the Borrower and its Restricted Subsidiaries may make Restricted Payments necessary to consummate the Transactions;</w:t>
      </w:r>
    </w:p>
    <w:p>
      <w:pPr>
        <w:spacing w:after="0" w:line="236" w:lineRule="exact"/>
        <w:rPr>
          <w:rFonts w:ascii="Arial" w:cs="Arial" w:eastAsia="Arial" w:hAnsi="Arial"/>
          <w:sz w:val="17"/>
          <w:szCs w:val="17"/>
          <w:u w:val="single" w:color="auto"/>
          <w:color w:val="0000E1"/>
        </w:rPr>
      </w:pPr>
    </w:p>
    <w:p>
      <w:pPr>
        <w:ind w:right="20" w:firstLine="987"/>
        <w:spacing w:after="0" w:line="259" w:lineRule="auto"/>
        <w:tabs>
          <w:tab w:leader="none" w:pos="1386" w:val="left"/>
        </w:tabs>
        <w:numPr>
          <w:ilvl w:val="0"/>
          <w:numId w:val="213"/>
        </w:numPr>
        <w:rPr>
          <w:rFonts w:ascii="Arial" w:cs="Arial" w:eastAsia="Arial" w:hAnsi="Arial"/>
          <w:sz w:val="18"/>
          <w:szCs w:val="18"/>
          <w:u w:val="single" w:color="auto"/>
          <w:color w:val="0000E1"/>
        </w:rPr>
      </w:pPr>
      <w:r>
        <w:rPr>
          <w:rFonts w:ascii="Arial" w:cs="Arial" w:eastAsia="Arial" w:hAnsi="Arial"/>
          <w:sz w:val="18"/>
          <w:szCs w:val="18"/>
          <w:color w:val="FF0000"/>
          <w:strike w:val="1"/>
        </w:rPr>
        <w:t>(xii)</w:t>
      </w:r>
      <w:r>
        <w:rPr>
          <w:rFonts w:ascii="Arial" w:cs="Arial" w:eastAsia="Arial" w:hAnsi="Arial"/>
          <w:sz w:val="18"/>
          <w:szCs w:val="18"/>
          <w:color w:val="FF0000"/>
        </w:rPr>
        <w:t xml:space="preserve"> </w:t>
      </w:r>
      <w:r>
        <w:rPr>
          <w:rFonts w:ascii="Arial" w:cs="Arial" w:eastAsia="Arial" w:hAnsi="Arial"/>
          <w:sz w:val="18"/>
          <w:szCs w:val="18"/>
          <w:u w:val="single" w:color="auto"/>
          <w:color w:val="0000E1"/>
        </w:rPr>
        <w:t>other than during the Basket Suspension Period,</w:t>
      </w:r>
      <w:r>
        <w:rPr>
          <w:rFonts w:ascii="Arial" w:cs="Arial" w:eastAsia="Arial" w:hAnsi="Arial"/>
          <w:sz w:val="18"/>
          <w:szCs w:val="18"/>
          <w:color w:val="FF0000"/>
        </w:rPr>
        <w:t xml:space="preserve"> </w:t>
      </w:r>
      <w:r>
        <w:rPr>
          <w:rFonts w:ascii="Arial" w:cs="Arial" w:eastAsia="Arial" w:hAnsi="Arial"/>
          <w:sz w:val="18"/>
          <w:szCs w:val="18"/>
          <w:color w:val="000000"/>
        </w:rPr>
        <w:t>if no Default or Event of Default has occurred and is continuing or would result</w:t>
      </w:r>
      <w:r>
        <w:rPr>
          <w:rFonts w:ascii="Arial" w:cs="Arial" w:eastAsia="Arial" w:hAnsi="Arial"/>
          <w:sz w:val="18"/>
          <w:szCs w:val="18"/>
          <w:color w:val="FF0000"/>
        </w:rPr>
        <w:t xml:space="preserve"> </w:t>
      </w:r>
      <w:r>
        <w:rPr>
          <w:rFonts w:ascii="Arial" w:cs="Arial" w:eastAsia="Arial" w:hAnsi="Arial"/>
          <w:sz w:val="18"/>
          <w:szCs w:val="18"/>
          <w:color w:val="000000"/>
        </w:rPr>
        <w:t xml:space="preserve">therefrom at the times of the declaration and payment of such Restricted Payment, Restricted Payments by Holdings, the Borrower or its Restricted Subsidiaries in addition to those otherwise permitted by this </w:t>
      </w:r>
      <w:r>
        <w:rPr>
          <w:rFonts w:ascii="Arial" w:cs="Arial" w:eastAsia="Arial" w:hAnsi="Arial"/>
          <w:sz w:val="18"/>
          <w:szCs w:val="18"/>
          <w:u w:val="single" w:color="auto"/>
          <w:color w:val="000000"/>
        </w:rPr>
        <w:t>Section 8.12</w:t>
      </w:r>
      <w:r>
        <w:rPr>
          <w:rFonts w:ascii="Arial" w:cs="Arial" w:eastAsia="Arial" w:hAnsi="Arial"/>
          <w:sz w:val="18"/>
          <w:szCs w:val="18"/>
          <w:color w:val="000000"/>
        </w:rPr>
        <w:t xml:space="preserve"> in an amount not to exceed $25,000,000 </w:t>
      </w:r>
      <w:r>
        <w:rPr>
          <w:rFonts w:ascii="Arial" w:cs="Arial" w:eastAsia="Arial" w:hAnsi="Arial"/>
          <w:sz w:val="18"/>
          <w:szCs w:val="18"/>
          <w:i w:val="1"/>
          <w:iCs w:val="1"/>
          <w:color w:val="000000"/>
        </w:rPr>
        <w:t>minus</w:t>
      </w:r>
      <w:r>
        <w:rPr>
          <w:rFonts w:ascii="Arial" w:cs="Arial" w:eastAsia="Arial" w:hAnsi="Arial"/>
          <w:sz w:val="18"/>
          <w:szCs w:val="18"/>
          <w:color w:val="000000"/>
        </w:rPr>
        <w:t xml:space="preserve"> any amounts allocated to make investments pursuant to </w:t>
      </w:r>
      <w:r>
        <w:rPr>
          <w:rFonts w:ascii="Arial" w:cs="Arial" w:eastAsia="Arial" w:hAnsi="Arial"/>
          <w:sz w:val="18"/>
          <w:szCs w:val="18"/>
          <w:u w:val="single" w:color="auto"/>
          <w:color w:val="000000"/>
        </w:rPr>
        <w:t>Section 8.9(n)(iii)</w:t>
      </w:r>
      <w:r>
        <w:rPr>
          <w:rFonts w:ascii="Arial" w:cs="Arial" w:eastAsia="Arial" w:hAnsi="Arial"/>
          <w:sz w:val="18"/>
          <w:szCs w:val="18"/>
          <w:color w:val="000000"/>
        </w:rPr>
        <w:t>.</w:t>
      </w:r>
    </w:p>
    <w:p>
      <w:pPr>
        <w:spacing w:after="0" w:line="186" w:lineRule="exact"/>
        <w:rPr>
          <w:rFonts w:ascii="Arial" w:cs="Arial" w:eastAsia="Arial" w:hAnsi="Arial"/>
          <w:sz w:val="18"/>
          <w:szCs w:val="18"/>
          <w:u w:val="single" w:color="auto"/>
          <w:color w:val="0000E1"/>
        </w:rPr>
      </w:pPr>
    </w:p>
    <w:p>
      <w:pPr>
        <w:ind w:right="120" w:firstLine="987"/>
        <w:spacing w:after="0" w:line="263" w:lineRule="auto"/>
        <w:tabs>
          <w:tab w:leader="none" w:pos="1476" w:val="left"/>
        </w:tabs>
        <w:numPr>
          <w:ilvl w:val="0"/>
          <w:numId w:val="213"/>
        </w:numPr>
        <w:rPr>
          <w:rFonts w:ascii="Arial" w:cs="Arial" w:eastAsia="Arial" w:hAnsi="Arial"/>
          <w:sz w:val="18"/>
          <w:szCs w:val="18"/>
          <w:u w:val="single" w:color="auto"/>
          <w:color w:val="0000E1"/>
        </w:rPr>
      </w:pPr>
      <w:r>
        <w:rPr>
          <w:rFonts w:ascii="Arial" w:cs="Arial" w:eastAsia="Arial" w:hAnsi="Arial"/>
          <w:sz w:val="18"/>
          <w:szCs w:val="18"/>
          <w:color w:val="FF0000"/>
          <w:strike w:val="1"/>
        </w:rPr>
        <w:t>(xiii)</w:t>
      </w:r>
      <w:r>
        <w:rPr>
          <w:rFonts w:ascii="Arial" w:cs="Arial" w:eastAsia="Arial" w:hAnsi="Arial"/>
          <w:sz w:val="18"/>
          <w:szCs w:val="18"/>
          <w:color w:val="FF0000"/>
        </w:rPr>
        <w:t xml:space="preserve"> </w:t>
      </w:r>
      <w:r>
        <w:rPr>
          <w:rFonts w:ascii="Arial" w:cs="Arial" w:eastAsia="Arial" w:hAnsi="Arial"/>
          <w:sz w:val="18"/>
          <w:szCs w:val="18"/>
          <w:u w:val="single" w:color="auto"/>
          <w:color w:val="0000E1"/>
        </w:rPr>
        <w:t>other than during the Basket Suspension Period,</w:t>
      </w:r>
      <w:r>
        <w:rPr>
          <w:rFonts w:ascii="Arial" w:cs="Arial" w:eastAsia="Arial" w:hAnsi="Arial"/>
          <w:sz w:val="18"/>
          <w:szCs w:val="18"/>
          <w:color w:val="FF0000"/>
        </w:rPr>
        <w:t xml:space="preserve"> </w:t>
      </w:r>
      <w:r>
        <w:rPr>
          <w:rFonts w:ascii="Arial" w:cs="Arial" w:eastAsia="Arial" w:hAnsi="Arial"/>
          <w:sz w:val="18"/>
          <w:szCs w:val="18"/>
          <w:color w:val="000000"/>
        </w:rPr>
        <w:t>the Borrower and its Restricted Subsidiaries may make additional Restricted</w:t>
      </w:r>
      <w:r>
        <w:rPr>
          <w:rFonts w:ascii="Arial" w:cs="Arial" w:eastAsia="Arial" w:hAnsi="Arial"/>
          <w:sz w:val="18"/>
          <w:szCs w:val="18"/>
          <w:color w:val="FF0000"/>
        </w:rPr>
        <w:t xml:space="preserve"> </w:t>
      </w:r>
      <w:r>
        <w:rPr>
          <w:rFonts w:ascii="Arial" w:cs="Arial" w:eastAsia="Arial" w:hAnsi="Arial"/>
          <w:sz w:val="18"/>
          <w:szCs w:val="18"/>
          <w:color w:val="000000"/>
        </w:rPr>
        <w:t>Payments so long as the Total Leverage Ratio, determined on a Pro Forma Basis for the period of four consecutive fiscal quarters most recently ended for which financial statements are available, would not exceed 2.50:1.00.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-1648460</wp:posOffset>
            </wp:positionV>
            <wp:extent cx="11176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-1236980</wp:posOffset>
            </wp:positionV>
            <wp:extent cx="13716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-962660</wp:posOffset>
            </wp:positionV>
            <wp:extent cx="267462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-276860</wp:posOffset>
            </wp:positionV>
            <wp:extent cx="276860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8.13 </w:t>
      </w:r>
      <w:r>
        <w:rPr>
          <w:rFonts w:ascii="Arial" w:cs="Arial" w:eastAsia="Arial" w:hAnsi="Arial"/>
          <w:sz w:val="17"/>
          <w:szCs w:val="17"/>
          <w:i w:val="1"/>
          <w:iCs w:val="1"/>
          <w:color w:val="auto"/>
        </w:rPr>
        <w:t>ERISA.</w:t>
      </w:r>
      <w:r>
        <w:rPr>
          <w:rFonts w:ascii="Arial" w:cs="Arial" w:eastAsia="Arial" w:hAnsi="Arial"/>
          <w:sz w:val="17"/>
          <w:szCs w:val="17"/>
          <w:color w:val="auto"/>
        </w:rPr>
        <w:t xml:space="preserve"> Except as would not reasonably be expected to have a Material Adverse Effect, Holdings and the Borrower shall, and shall cause each Restricted Subsidiary to, promptly pay and discharge all obligations and liabilities arising under ERISA of a character which if unpaid or unperformed would reasonably be expected to result in the imposition of a Lien against any Property of any Restricted Group Company. Except as would not reasonably be expected to have a Material Adverse Effect, Holdings and the Borrower shall, and shall cause each Restricted Subsidiary to, promptly notify the Administrative Agent of: (a) the occurrence of any reportable event (as defined in ERISA) with respect to a Plan, (b) receipt of any notice from the PBGC of its intention to seek termination of any Plan or appointment of a trustee therefor, (c) its intention to terminate or withdraw from any Plan, and (d) the occurrence of any material event with respect to any Plan which would result in the incurrence by the Borrower or any Restricted Subsidiary of any material liability, fine or penalty.</w:t>
      </w:r>
    </w:p>
    <w:p>
      <w:pPr>
        <w:spacing w:after="0" w:line="28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8.14</w:t>
      </w:r>
      <w:r>
        <w:rPr>
          <w:sz w:val="20"/>
          <w:szCs w:val="20"/>
          <w:color w:val="auto"/>
        </w:rPr>
        <w:tab/>
      </w:r>
      <w:r>
        <w:rPr>
          <w:rFonts w:ascii="Arial" w:cs="Arial" w:eastAsia="Arial" w:hAnsi="Arial"/>
          <w:sz w:val="16"/>
          <w:szCs w:val="16"/>
          <w:i w:val="1"/>
          <w:iCs w:val="1"/>
          <w:color w:val="auto"/>
        </w:rPr>
        <w:t>Compliance with Laws</w:t>
      </w:r>
      <w:r>
        <w:rPr>
          <w:rFonts w:ascii="Arial" w:cs="Arial" w:eastAsia="Arial" w:hAnsi="Arial"/>
          <w:sz w:val="16"/>
          <w:szCs w:val="16"/>
          <w:color w:val="FF0000"/>
          <w:strike w:val="1"/>
        </w:rPr>
        <w:t>(a)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FF0000"/>
          <w:strike w:val="1"/>
        </w:rPr>
        <w:t>(a)</w:t>
      </w:r>
    </w:p>
    <w:p>
      <w:pPr>
        <w:spacing w:after="0" w:line="117" w:lineRule="exact"/>
        <w:rPr>
          <w:sz w:val="20"/>
          <w:szCs w:val="20"/>
          <w:color w:val="auto"/>
        </w:rPr>
      </w:pPr>
    </w:p>
    <w:p>
      <w:pPr>
        <w:jc w:val="both"/>
        <w:ind w:right="200" w:firstLine="987"/>
        <w:spacing w:after="0" w:line="286" w:lineRule="auto"/>
        <w:tabs>
          <w:tab w:leader="none" w:pos="1416" w:val="left"/>
        </w:tabs>
        <w:numPr>
          <w:ilvl w:val="0"/>
          <w:numId w:val="214"/>
        </w:numPr>
        <w:rPr>
          <w:rFonts w:ascii="Arial" w:cs="Arial" w:eastAsia="Arial" w:hAnsi="Arial"/>
          <w:sz w:val="17"/>
          <w:szCs w:val="17"/>
          <w:u w:val="single" w:color="auto"/>
          <w:color w:val="0000E1"/>
        </w:rPr>
      </w:pPr>
      <w:r>
        <w:rPr>
          <w:rFonts w:ascii="Arial" w:cs="Arial" w:eastAsia="Arial" w:hAnsi="Arial"/>
          <w:sz w:val="17"/>
          <w:szCs w:val="17"/>
          <w:color w:val="auto"/>
        </w:rPr>
        <w:t>Holdings and the Borrower shall, and shall cause each Restricted Subsidiary to, comply in all respects with the requirements of all federal, state, and local laws, rules, regulations, ordinances and orders applicable to or pertaining to its Property or business operations, except for any such non-compliance, individually or in the aggregate, that would not reasonably be expected to have a Material Adverse Effect.</w:t>
      </w:r>
    </w:p>
    <w:p>
      <w:pPr>
        <w:spacing w:after="0" w:line="165" w:lineRule="exact"/>
        <w:rPr>
          <w:rFonts w:ascii="Arial" w:cs="Arial" w:eastAsia="Arial" w:hAnsi="Arial"/>
          <w:sz w:val="17"/>
          <w:szCs w:val="17"/>
          <w:u w:val="single" w:color="auto"/>
          <w:color w:val="0000E1"/>
        </w:rPr>
      </w:pPr>
    </w:p>
    <w:p>
      <w:pPr>
        <w:ind w:right="100" w:firstLine="987"/>
        <w:spacing w:after="0" w:line="269" w:lineRule="auto"/>
        <w:tabs>
          <w:tab w:leader="none" w:pos="1378"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Without limiting the agreements set forth in </w:t>
      </w:r>
      <w:r>
        <w:rPr>
          <w:rFonts w:ascii="Arial" w:cs="Arial" w:eastAsia="Arial" w:hAnsi="Arial"/>
          <w:sz w:val="17"/>
          <w:szCs w:val="17"/>
          <w:u w:val="single" w:color="auto"/>
          <w:color w:val="auto"/>
        </w:rPr>
        <w:t>Section 8.14(a)</w:t>
      </w:r>
      <w:r>
        <w:rPr>
          <w:rFonts w:ascii="Arial" w:cs="Arial" w:eastAsia="Arial" w:hAnsi="Arial"/>
          <w:sz w:val="17"/>
          <w:szCs w:val="17"/>
          <w:color w:val="auto"/>
        </w:rPr>
        <w:t xml:space="preserve"> </w:t>
      </w:r>
      <w:r>
        <w:rPr>
          <w:rFonts w:ascii="Arial" w:cs="Arial" w:eastAsia="Arial" w:hAnsi="Arial"/>
          <w:sz w:val="17"/>
          <w:szCs w:val="17"/>
          <w:color w:val="FF0000"/>
          <w:strike w:val="1"/>
        </w:rPr>
        <w:t>above</w:t>
      </w:r>
      <w:r>
        <w:rPr>
          <w:rFonts w:ascii="Arial" w:cs="Arial" w:eastAsia="Arial" w:hAnsi="Arial"/>
          <w:sz w:val="17"/>
          <w:szCs w:val="17"/>
          <w:color w:val="auto"/>
        </w:rPr>
        <w:t>, Holdings and the Borrower shall, and shall cause each Restricted Subsidiary to, at all times, do the following to the extent the failure to do so, individually or in the aggregate, would reasonably be expected to have a Material Adverse Effect: (i) comply with, and maintain each of the Premises in compliance with, all applicable Environmental Laws; (ii) use commercially reasonable efforts to ensure that each tenant and subtenant, if any, of any of the Premises or any part thereof comply with all applicable Environmental Laws; (iii) obtain and maintain in full force and effect all governmental approvals required by any applicable Environmental Law for operations at each of the Premises; (iv) cure any violation by it or at any of the Premises of applicable Environmental Laws; (v) not allow the presence or operation at any of the Premises of any (1) landfill or dump or (2) hazardous waste management facility or solid waste disposal facility as defined pursuant to RCRA or any comparable state law; (vi) not manufacture, use, generate, transport, treat, store, release, dispose or handle any Hazardous Material at any of the Premises except in compliance with Environmental Law and in such quantities and in a manner reasonably required for the ordinary course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-1784350</wp:posOffset>
            </wp:positionV>
            <wp:extent cx="12890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1130935</wp:posOffset>
            </wp:positionH>
            <wp:positionV relativeFrom="paragraph">
              <wp:posOffset>-1038860</wp:posOffset>
            </wp:positionV>
            <wp:extent cx="2857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00"/>
          </w:cols>
          <w:pgMar w:left="440" w:top="274" w:right="459" w:bottom="1440" w:gutter="0" w:footer="0" w:header="0"/>
        </w:sectPr>
      </w:pPr>
    </w:p>
    <w:bookmarkStart w:id="175" w:name="page176"/>
    <w:bookmarkEnd w:id="17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its business; (vii) conduct at its expense any investigation, study, sampling, testing, abatement, cleanup, removal, remediation or other response action necessary to remove, remediate, clean up or abate any Release, or threatened Release of a Hazardous Material as required of it by any applicable Environmental Law; (viii) abide by and observe any restrictions on the use of the Premises imposed by any governmental authority as set forth in a deed or other instrument affecting the Borrower’s or any of its Restricted Subsidiaries’ interest therein; (ix) promptly provide or otherwise make available to the Administrative Agent any reasonably requested environmental record concerning a material environmental matter at the Premises which the Borrower or any Restricted Subsidiary possesses or can reasonably obtain; and (x) perform, satisfy, and implement any operation or maintenance actions required by any governmental authority or Environmental Law, or included in any no further action letter or covenant not to sue issued by any governmental authority under any Environmental Law.</w:t>
      </w:r>
    </w:p>
    <w:p>
      <w:pPr>
        <w:spacing w:after="0" w:line="178" w:lineRule="exact"/>
        <w:rPr>
          <w:sz w:val="20"/>
          <w:szCs w:val="20"/>
          <w:color w:val="auto"/>
        </w:rPr>
      </w:pPr>
    </w:p>
    <w:p>
      <w:pPr>
        <w:ind w:firstLine="987"/>
        <w:spacing w:after="0" w:line="272" w:lineRule="auto"/>
        <w:tabs>
          <w:tab w:leader="none" w:pos="136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Borrower shall notify the Administrative Agent in writing of and provide any reasonably requested documents promptly upon any Authorized Representative learning of any of the following in connection with the Borrower or any Restricted Subsidiary or any of the Premises if such matter would reasonably be expected to have a Material Adverse Effect: (1) any material liability for response or corrective action, natural resource damage or other harm pursuant to CERCLA, RCRA or any comparable state law; (2) any material Environmental Claim; (3) any material violation of an Environmental Law or material unpermitted Release, threatened Release or disposal of a Hazardous Material; (4) any restriction on the ownership, occupancy, use or transferability of the Premises arising pursuant to any Release, threatened Release or disposal of a Hazardous Material; or (5) any environmental, natural resource, health or safety condition.</w:t>
      </w:r>
    </w:p>
    <w:p>
      <w:pPr>
        <w:spacing w:after="0" w:line="177"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Section 8.15 </w:t>
      </w:r>
      <w:r>
        <w:rPr>
          <w:rFonts w:ascii="Arial" w:cs="Arial" w:eastAsia="Arial" w:hAnsi="Arial"/>
          <w:sz w:val="17"/>
          <w:szCs w:val="17"/>
          <w:i w:val="1"/>
          <w:iCs w:val="1"/>
          <w:color w:val="auto"/>
        </w:rPr>
        <w:t>Burdensome Contracts With Affiliates.</w:t>
      </w:r>
      <w:r>
        <w:rPr>
          <w:rFonts w:ascii="Arial" w:cs="Arial" w:eastAsia="Arial" w:hAnsi="Arial"/>
          <w:sz w:val="17"/>
          <w:szCs w:val="17"/>
          <w:color w:val="auto"/>
        </w:rPr>
        <w:t xml:space="preserve"> The Borrower shall not, nor shall </w:t>
      </w:r>
      <w:r>
        <w:rPr>
          <w:rFonts w:ascii="Arial" w:cs="Arial" w:eastAsia="Arial" w:hAnsi="Arial"/>
          <w:sz w:val="17"/>
          <w:szCs w:val="17"/>
          <w:color w:val="FF0000"/>
          <w:strike w:val="1"/>
        </w:rPr>
        <w:t>they</w:t>
      </w:r>
      <w:r>
        <w:rPr>
          <w:rFonts w:ascii="Arial" w:cs="Arial" w:eastAsia="Arial" w:hAnsi="Arial"/>
          <w:sz w:val="17"/>
          <w:szCs w:val="17"/>
          <w:u w:val="single" w:color="auto"/>
          <w:color w:val="0000E1"/>
        </w:rPr>
        <w:t>it</w:t>
      </w:r>
      <w:r>
        <w:rPr>
          <w:rFonts w:ascii="Arial" w:cs="Arial" w:eastAsia="Arial" w:hAnsi="Arial"/>
          <w:sz w:val="17"/>
          <w:szCs w:val="17"/>
          <w:color w:val="auto"/>
        </w:rPr>
        <w:t xml:space="preserve"> permit any Restricted Subsidiary to, enter into any contract, agreement or business arrangement involving payments in excess of $1,500,000 in any such transaction (or series of related transactions) with any of its Affiliates (other than with Wholly</w:t>
      </w:r>
      <w:r>
        <w:rPr>
          <w:rFonts w:ascii="Arial" w:cs="Arial" w:eastAsia="Arial" w:hAnsi="Arial"/>
          <w:sz w:val="17"/>
          <w:szCs w:val="17"/>
          <w:u w:val="single" w:color="auto"/>
          <w:color w:val="0000E1"/>
        </w:rPr>
        <w:t>-owned</w:t>
      </w:r>
      <w:r>
        <w:rPr>
          <w:rFonts w:ascii="Arial" w:cs="Arial" w:eastAsia="Arial" w:hAnsi="Arial"/>
          <w:sz w:val="17"/>
          <w:szCs w:val="17"/>
          <w:color w:val="auto"/>
        </w:rPr>
        <w:t xml:space="preserve"> </w:t>
      </w:r>
      <w:r>
        <w:rPr>
          <w:rFonts w:ascii="Arial" w:cs="Arial" w:eastAsia="Arial" w:hAnsi="Arial"/>
          <w:sz w:val="17"/>
          <w:szCs w:val="17"/>
          <w:color w:val="FF0000"/>
          <w:strike w:val="1"/>
        </w:rPr>
        <w:t>owned Restricted</w:t>
      </w:r>
      <w:r>
        <w:rPr>
          <w:rFonts w:ascii="Arial" w:cs="Arial" w:eastAsia="Arial" w:hAnsi="Arial"/>
          <w:sz w:val="17"/>
          <w:szCs w:val="17"/>
          <w:color w:val="auto"/>
        </w:rPr>
        <w:t xml:space="preserve"> Subsidiaries that are Guarantors) on terms and conditions which are less favorable to the Borrower or such Restricted Subsidiary than those that might be obtained on an arm’s-length basis at the time from Persons who are not such an Affiliate,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foregoing restriction shall not apply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-633095</wp:posOffset>
            </wp:positionV>
            <wp:extent cx="2857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-555625</wp:posOffset>
            </wp:positionV>
            <wp:extent cx="5969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-281305</wp:posOffset>
            </wp:positionV>
            <wp:extent cx="34290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56" w:lineRule="exact"/>
        <w:rPr>
          <w:sz w:val="20"/>
          <w:szCs w:val="20"/>
          <w:color w:val="auto"/>
        </w:rPr>
      </w:pPr>
    </w:p>
    <w:p>
      <w:pPr>
        <w:ind w:right="440" w:firstLine="987"/>
        <w:spacing w:after="0" w:line="342" w:lineRule="auto"/>
        <w:tabs>
          <w:tab w:leader="none" w:pos="1371"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any transactions between the Borrower and any Subsidiary Guarantor or between any Subsidiary Guarantors, or any transaction between any Restricted Subsidiary which is not a Subsidiary Guarantor and any other Restricted Subsidiary which is not a Subsidiary Guarantor;</w:t>
      </w:r>
    </w:p>
    <w:p>
      <w:pPr>
        <w:spacing w:after="0" w:line="123" w:lineRule="exact"/>
        <w:rPr>
          <w:rFonts w:ascii="Arial" w:cs="Arial" w:eastAsia="Arial" w:hAnsi="Arial"/>
          <w:sz w:val="16"/>
          <w:szCs w:val="16"/>
          <w:color w:val="auto"/>
        </w:rPr>
      </w:pPr>
    </w:p>
    <w:p>
      <w:pPr>
        <w:ind w:left="1380" w:hanging="393"/>
        <w:spacing w:after="0"/>
        <w:tabs>
          <w:tab w:leader="none" w:pos="13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Transactions, including the payment of fees and expenses in connection with the consummation of the Transactions;</w:t>
      </w:r>
    </w:p>
    <w:p>
      <w:pPr>
        <w:spacing w:after="0" w:line="225" w:lineRule="exact"/>
        <w:rPr>
          <w:rFonts w:ascii="Arial" w:cs="Arial" w:eastAsia="Arial" w:hAnsi="Arial"/>
          <w:sz w:val="18"/>
          <w:szCs w:val="18"/>
          <w:color w:val="auto"/>
        </w:rPr>
      </w:pPr>
    </w:p>
    <w:p>
      <w:pPr>
        <w:ind w:right="200" w:firstLine="987"/>
        <w:spacing w:after="0" w:line="277" w:lineRule="auto"/>
        <w:tabs>
          <w:tab w:leader="none" w:pos="137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transactions (including indebtedness, investments, sales, transfers, leases or other dispositions and Restricted Payments) among the Borrower and/or one or more of its Restricted Subsidiaries to the extent permitted by this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20" w:firstLine="987"/>
        <w:spacing w:after="0" w:line="311" w:lineRule="auto"/>
        <w:tabs>
          <w:tab w:leader="none" w:pos="1381" w:val="left"/>
        </w:tabs>
        <w:numPr>
          <w:ilvl w:val="0"/>
          <w:numId w:val="216"/>
        </w:numPr>
        <w:rPr>
          <w:rFonts w:ascii="Arial" w:cs="Arial" w:eastAsia="Arial" w:hAnsi="Arial"/>
          <w:sz w:val="16"/>
          <w:szCs w:val="16"/>
          <w:color w:val="auto"/>
        </w:rPr>
      </w:pPr>
      <w:r>
        <w:rPr>
          <w:rFonts w:ascii="Arial" w:cs="Arial" w:eastAsia="Arial" w:hAnsi="Arial"/>
          <w:sz w:val="16"/>
          <w:szCs w:val="16"/>
          <w:color w:val="auto"/>
        </w:rPr>
        <w:t>employment, severance and other compensatory arrangements among Holdings (or any direct or indirect parent thereof), the Borrower and its Restricted Subsidiaries and their respective current or former officers, directors, members of management, consultants and employees in the ordinary course of business and transactions pursuant to stock option or similar plans and employee benefit plans and arrangements;</w:t>
      </w:r>
    </w:p>
    <w:p>
      <w:pPr>
        <w:spacing w:after="0" w:line="148" w:lineRule="exact"/>
        <w:rPr>
          <w:rFonts w:ascii="Arial" w:cs="Arial" w:eastAsia="Arial" w:hAnsi="Arial"/>
          <w:sz w:val="16"/>
          <w:szCs w:val="16"/>
          <w:color w:val="auto"/>
        </w:rPr>
      </w:pPr>
    </w:p>
    <w:p>
      <w:pPr>
        <w:ind w:right="40" w:firstLine="987"/>
        <w:spacing w:after="0" w:line="342" w:lineRule="auto"/>
        <w:tabs>
          <w:tab w:leader="none" w:pos="1371"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payment of customary fees and reimbursement of reasonable out-of-pocket costs of, and customary indemnities provided to or on behalf of, directors, officers, members of management, consultants and employees of Holdings (or any direct or indirect parent thereof), the Borrower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0"/>
          </w:cols>
          <w:pgMar w:left="440" w:top="274" w:right="459" w:bottom="1440" w:gutter="0" w:footer="0" w:header="0"/>
        </w:sectPr>
      </w:pPr>
    </w:p>
    <w:bookmarkStart w:id="176" w:name="page177"/>
    <w:bookmarkEnd w:id="176"/>
    <w:p>
      <w:pPr>
        <w:ind w:left="4" w:right="6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its Restricted Subsidiaries, to the extent attributable to the existence of Holdings (or any direct or indirect parent thereof) the ownership or operations of the Borrower and its Restricted Subsidiaries and as determined in good faith by the board of directors or senior management of the relevant Person;</w:t>
      </w:r>
    </w:p>
    <w:p>
      <w:pPr>
        <w:spacing w:after="0" w:line="184" w:lineRule="exact"/>
        <w:rPr>
          <w:sz w:val="20"/>
          <w:szCs w:val="20"/>
          <w:color w:val="auto"/>
        </w:rPr>
      </w:pPr>
    </w:p>
    <w:p>
      <w:pPr>
        <w:ind w:left="4" w:right="220" w:firstLine="987"/>
        <w:spacing w:after="0" w:line="263" w:lineRule="auto"/>
        <w:tabs>
          <w:tab w:leader="none" w:pos="135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 xml:space="preserve">the payment of fees, expenses, indemnities or other payments and transactions, in each case pursuant to agreements in existence on the Closing Date and set forth on </w:t>
      </w:r>
      <w:r>
        <w:rPr>
          <w:rFonts w:ascii="Arial" w:cs="Arial" w:eastAsia="Arial" w:hAnsi="Arial"/>
          <w:sz w:val="18"/>
          <w:szCs w:val="18"/>
          <w:u w:val="single" w:color="auto"/>
          <w:color w:val="auto"/>
        </w:rPr>
        <w:t>Schedule 8.15</w:t>
      </w:r>
      <w:r>
        <w:rPr>
          <w:rFonts w:ascii="Arial" w:cs="Arial" w:eastAsia="Arial" w:hAnsi="Arial"/>
          <w:sz w:val="18"/>
          <w:szCs w:val="18"/>
          <w:color w:val="auto"/>
        </w:rPr>
        <w:t xml:space="preserve"> or any amendment thereto to the extent such amendment is not materially disadvantageous to the Lenders;</w:t>
      </w:r>
    </w:p>
    <w:p>
      <w:pPr>
        <w:spacing w:after="0" w:line="183" w:lineRule="exact"/>
        <w:rPr>
          <w:rFonts w:ascii="Arial" w:cs="Arial" w:eastAsia="Arial" w:hAnsi="Arial"/>
          <w:sz w:val="18"/>
          <w:szCs w:val="18"/>
          <w:color w:val="auto"/>
        </w:rPr>
      </w:pPr>
    </w:p>
    <w:p>
      <w:pPr>
        <w:ind w:left="4" w:right="60" w:firstLine="987"/>
        <w:spacing w:after="0" w:line="272" w:lineRule="auto"/>
        <w:tabs>
          <w:tab w:leader="none" w:pos="1385" w:val="left"/>
        </w:tabs>
        <w:numPr>
          <w:ilvl w:val="1"/>
          <w:numId w:val="217"/>
        </w:numPr>
        <w:rPr>
          <w:rFonts w:ascii="Arial" w:cs="Arial" w:eastAsia="Arial" w:hAnsi="Arial"/>
          <w:sz w:val="17"/>
          <w:szCs w:val="17"/>
          <w:color w:val="auto"/>
        </w:rPr>
      </w:pPr>
      <w:r>
        <w:rPr>
          <w:rFonts w:ascii="Arial" w:cs="Arial" w:eastAsia="Arial" w:hAnsi="Arial"/>
          <w:sz w:val="17"/>
          <w:szCs w:val="17"/>
          <w:color w:val="auto"/>
        </w:rPr>
        <w:t xml:space="preserve">the payment of customary compensation made for any financial advisory, financing, underwriting or placement services or in respect of other investment banking activities and other transaction fees, in each case to the extent the same have been approved by a majority of the disinterested members of the board of directors of the Borrower, in good faith, in each case, whether currently due or paid in respect of accruals from prior periods;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compensation may be paid at any time an Event of Default under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(k)</w:t>
      </w:r>
      <w:r>
        <w:rPr>
          <w:rFonts w:ascii="Arial" w:cs="Arial" w:eastAsia="Arial" w:hAnsi="Arial"/>
          <w:sz w:val="17"/>
          <w:szCs w:val="17"/>
          <w:color w:val="auto"/>
        </w:rPr>
        <w:t xml:space="preserve"> shall have occurred and is continuing or would immediately thereafter result from the making of such payment,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such fees or compensation that are not paid when due as a result of this </w:t>
      </w:r>
      <w:r>
        <w:rPr>
          <w:rFonts w:ascii="Arial" w:cs="Arial" w:eastAsia="Arial" w:hAnsi="Arial"/>
          <w:sz w:val="17"/>
          <w:szCs w:val="17"/>
          <w:u w:val="single" w:color="auto"/>
          <w:color w:val="auto"/>
        </w:rPr>
        <w:t>Section 8.15(g)</w:t>
      </w:r>
      <w:r>
        <w:rPr>
          <w:rFonts w:ascii="Arial" w:cs="Arial" w:eastAsia="Arial" w:hAnsi="Arial"/>
          <w:sz w:val="17"/>
          <w:szCs w:val="17"/>
          <w:color w:val="auto"/>
        </w:rPr>
        <w:t xml:space="preserve"> may accrue and are otherwise permitted to be paid in full upon the cure or waiver of such Event of Default or at such time and to the extent as an Event of Default would not immediately thereafter result;</w:t>
      </w:r>
    </w:p>
    <w:p>
      <w:pPr>
        <w:spacing w:after="0" w:line="177" w:lineRule="exact"/>
        <w:rPr>
          <w:rFonts w:ascii="Arial" w:cs="Arial" w:eastAsia="Arial" w:hAnsi="Arial"/>
          <w:sz w:val="17"/>
          <w:szCs w:val="17"/>
          <w:color w:val="auto"/>
        </w:rPr>
      </w:pPr>
    </w:p>
    <w:p>
      <w:pPr>
        <w:jc w:val="both"/>
        <w:ind w:left="4" w:right="400" w:firstLine="987"/>
        <w:spacing w:after="0" w:line="342" w:lineRule="auto"/>
        <w:tabs>
          <w:tab w:leader="none" w:pos="1385" w:val="left"/>
        </w:tabs>
        <w:numPr>
          <w:ilvl w:val="1"/>
          <w:numId w:val="217"/>
        </w:numPr>
        <w:rPr>
          <w:rFonts w:ascii="Arial" w:cs="Arial" w:eastAsia="Arial" w:hAnsi="Arial"/>
          <w:sz w:val="16"/>
          <w:szCs w:val="16"/>
          <w:color w:val="auto"/>
        </w:rPr>
      </w:pPr>
      <w:r>
        <w:rPr>
          <w:rFonts w:ascii="Arial" w:cs="Arial" w:eastAsia="Arial" w:hAnsi="Arial"/>
          <w:sz w:val="16"/>
          <w:szCs w:val="16"/>
          <w:color w:val="auto"/>
        </w:rPr>
        <w:t xml:space="preserve">payments by </w:t>
      </w:r>
      <w:r>
        <w:rPr>
          <w:rFonts w:ascii="Arial" w:cs="Arial" w:eastAsia="Arial" w:hAnsi="Arial"/>
          <w:sz w:val="16"/>
          <w:szCs w:val="16"/>
          <w:color w:val="FF0000"/>
          <w:strike w:val="1"/>
        </w:rPr>
        <w:t>Holdings (and any direct or indirect parent thereof),</w:t>
      </w:r>
      <w:r>
        <w:rPr>
          <w:rFonts w:ascii="Arial" w:cs="Arial" w:eastAsia="Arial" w:hAnsi="Arial"/>
          <w:sz w:val="16"/>
          <w:szCs w:val="16"/>
          <w:color w:val="auto"/>
        </w:rPr>
        <w:t xml:space="preserve"> the Borrower and/or its Restricted Subsidiaries pursuant to tax sharing agreements among Holdings (and any such parent thereof), the Borrower and its Restricted Subsidiaries, in the ordinary course of business;</w:t>
      </w:r>
    </w:p>
    <w:p>
      <w:pPr>
        <w:spacing w:after="0" w:line="123" w:lineRule="exact"/>
        <w:rPr>
          <w:rFonts w:ascii="Arial" w:cs="Arial" w:eastAsia="Arial" w:hAnsi="Arial"/>
          <w:sz w:val="16"/>
          <w:szCs w:val="16"/>
          <w:color w:val="auto"/>
        </w:rPr>
      </w:pPr>
    </w:p>
    <w:p>
      <w:pPr>
        <w:ind w:left="4" w:right="20" w:firstLine="987"/>
        <w:spacing w:after="0" w:line="263" w:lineRule="auto"/>
        <w:tabs>
          <w:tab w:leader="none" w:pos="134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transactions with customers, clients, suppliers, joint venture partners or purchasers or sellers of goods or services, in each case in the ordinary course of business and otherwise in compliance with the terms of this Agreement which are fair to the Borrower and its Restricted Subsidiaries, in the reasonable determination of the senior management of the Borrower;</w:t>
      </w:r>
    </w:p>
    <w:p>
      <w:pPr>
        <w:spacing w:after="0" w:line="183" w:lineRule="exact"/>
        <w:rPr>
          <w:rFonts w:ascii="Arial" w:cs="Arial" w:eastAsia="Arial" w:hAnsi="Arial"/>
          <w:sz w:val="18"/>
          <w:szCs w:val="18"/>
          <w:color w:val="auto"/>
        </w:rPr>
      </w:pPr>
    </w:p>
    <w:p>
      <w:pPr>
        <w:ind w:left="1344" w:hanging="353"/>
        <w:spacing w:after="0"/>
        <w:tabs>
          <w:tab w:leader="none" w:pos="1344" w:val="left"/>
        </w:tabs>
        <w:numPr>
          <w:ilvl w:val="1"/>
          <w:numId w:val="217"/>
        </w:numPr>
        <w:rPr>
          <w:rFonts w:ascii="Arial" w:cs="Arial" w:eastAsia="Arial" w:hAnsi="Arial"/>
          <w:sz w:val="17"/>
          <w:szCs w:val="17"/>
          <w:color w:val="auto"/>
        </w:rPr>
      </w:pPr>
      <w:r>
        <w:rPr>
          <w:rFonts w:ascii="Arial" w:cs="Arial" w:eastAsia="Arial" w:hAnsi="Arial"/>
          <w:sz w:val="17"/>
          <w:szCs w:val="17"/>
          <w:color w:val="FF0000"/>
          <w:strike w:val="1"/>
        </w:rPr>
        <w:t>(i)</w:t>
      </w:r>
      <w:r>
        <w:rPr>
          <w:rFonts w:ascii="Arial" w:cs="Arial" w:eastAsia="Arial" w:hAnsi="Arial"/>
          <w:sz w:val="17"/>
          <w:szCs w:val="17"/>
          <w:color w:val="FF0000"/>
        </w:rPr>
        <w:t xml:space="preserve"> </w:t>
      </w:r>
      <w:r>
        <w:rPr>
          <w:rFonts w:ascii="Arial" w:cs="Arial" w:eastAsia="Arial" w:hAnsi="Arial"/>
          <w:sz w:val="17"/>
          <w:szCs w:val="17"/>
          <w:color w:val="000000"/>
        </w:rPr>
        <w:t>transactions between the Borrower and any of its Restricted Subsidiaries which are in the ordinary course of business</w:t>
      </w:r>
      <w:r>
        <w:rPr>
          <w:rFonts w:ascii="Arial" w:cs="Arial" w:eastAsia="Arial" w:hAnsi="Arial"/>
          <w:sz w:val="17"/>
          <w:szCs w:val="17"/>
          <w:color w:val="FF0000"/>
        </w:rPr>
        <w:t xml:space="preserve"> and</w:t>
      </w:r>
    </w:p>
    <w:p>
      <w:pPr>
        <w:spacing w:after="0" w:line="34" w:lineRule="exact"/>
        <w:rPr>
          <w:rFonts w:ascii="Arial" w:cs="Arial" w:eastAsia="Arial" w:hAnsi="Arial"/>
          <w:sz w:val="17"/>
          <w:szCs w:val="17"/>
          <w:color w:val="auto"/>
        </w:rPr>
      </w:pPr>
    </w:p>
    <w:p>
      <w:pPr>
        <w:ind w:left="4" w:right="380" w:hanging="4"/>
        <w:spacing w:after="0" w:line="290" w:lineRule="auto"/>
        <w:tabs>
          <w:tab w:leader="none" w:pos="269" w:val="left"/>
        </w:tabs>
        <w:numPr>
          <w:ilvl w:val="0"/>
          <w:numId w:val="218"/>
        </w:numPr>
        <w:rPr>
          <w:rFonts w:ascii="Arial" w:cs="Arial" w:eastAsia="Arial" w:hAnsi="Arial"/>
          <w:sz w:val="17"/>
          <w:szCs w:val="17"/>
          <w:color w:val="FF0000"/>
          <w:strike w:val="1"/>
        </w:rPr>
      </w:pPr>
      <w:r>
        <w:rPr>
          <w:rFonts w:ascii="Arial" w:cs="Arial" w:eastAsia="Arial" w:hAnsi="Arial"/>
          <w:sz w:val="17"/>
          <w:szCs w:val="17"/>
          <w:color w:val="FF0000"/>
          <w:strike w:val="1"/>
        </w:rPr>
        <w:t>transactions between Holdings and its shareholders in the ordinary course of business with respect to the Equity Interests in Holdings, including shareholder agreements, registration agreements and providing reimbursement and indemnities in respect thereof;</w:t>
      </w:r>
      <w:r>
        <w:rPr>
          <w:rFonts w:ascii="Arial" w:cs="Arial" w:eastAsia="Arial" w:hAnsi="Arial"/>
          <w:sz w:val="17"/>
          <w:szCs w:val="17"/>
          <w:u w:val="single" w:color="auto"/>
          <w:color w:val="0000E1"/>
          <w:strike w:val="1"/>
        </w:rPr>
        <w:t>;</w:t>
      </w:r>
    </w:p>
    <w:p>
      <w:pPr>
        <w:spacing w:after="0" w:line="161" w:lineRule="exact"/>
        <w:rPr>
          <w:rFonts w:ascii="Arial" w:cs="Arial" w:eastAsia="Arial" w:hAnsi="Arial"/>
          <w:sz w:val="17"/>
          <w:szCs w:val="17"/>
          <w:color w:val="FF0000"/>
          <w:strike w:val="1"/>
        </w:rPr>
      </w:pPr>
    </w:p>
    <w:p>
      <w:pPr>
        <w:ind w:left="1384" w:hanging="393"/>
        <w:spacing w:after="0"/>
        <w:tabs>
          <w:tab w:leader="none" w:pos="1384"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contribution by Holdings to the capital of the Borrower;</w:t>
      </w:r>
    </w:p>
    <w:p>
      <w:pPr>
        <w:spacing w:after="0" w:line="225" w:lineRule="exact"/>
        <w:rPr>
          <w:rFonts w:ascii="Arial" w:cs="Arial" w:eastAsia="Arial" w:hAnsi="Arial"/>
          <w:sz w:val="18"/>
          <w:szCs w:val="18"/>
          <w:color w:val="auto"/>
        </w:rPr>
      </w:pPr>
    </w:p>
    <w:p>
      <w:pPr>
        <w:ind w:left="4" w:right="320" w:firstLine="987"/>
        <w:spacing w:after="0" w:line="263" w:lineRule="auto"/>
        <w:tabs>
          <w:tab w:leader="none" w:pos="1345"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issuance of Equity Interests to any officer, director, employee, member of management or consultant or any of their respective Investment Affiliates of the Borrower or any of its Restricted Subsidiaries or any direct or indirect parent of the Borrower in connection with the Transactions;</w:t>
      </w:r>
    </w:p>
    <w:p>
      <w:pPr>
        <w:spacing w:after="0" w:line="183" w:lineRule="exact"/>
        <w:rPr>
          <w:rFonts w:ascii="Arial" w:cs="Arial" w:eastAsia="Arial" w:hAnsi="Arial"/>
          <w:sz w:val="18"/>
          <w:szCs w:val="18"/>
          <w:color w:val="auto"/>
        </w:rPr>
      </w:pPr>
    </w:p>
    <w:p>
      <w:pPr>
        <w:ind w:left="4" w:right="260" w:firstLine="987"/>
        <w:spacing w:after="0" w:line="263" w:lineRule="auto"/>
        <w:tabs>
          <w:tab w:leader="none" w:pos="1435"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issuance or transfer of Equity Interests (other than any Disqualified Stock) to any current, former or future director, officer, manager, employee or consultant (or any Affiliate of the foregoing) of the Borrower, any of its Restricted Subsidiaries or any direct or indirect parent thereof;</w:t>
      </w:r>
    </w:p>
    <w:p>
      <w:pPr>
        <w:spacing w:after="0" w:line="183" w:lineRule="exact"/>
        <w:rPr>
          <w:rFonts w:ascii="Arial" w:cs="Arial" w:eastAsia="Arial" w:hAnsi="Arial"/>
          <w:sz w:val="18"/>
          <w:szCs w:val="18"/>
          <w:color w:val="auto"/>
        </w:rPr>
      </w:pPr>
    </w:p>
    <w:p>
      <w:pPr>
        <w:ind w:left="1384" w:hanging="393"/>
        <w:spacing w:after="0"/>
        <w:tabs>
          <w:tab w:leader="none" w:pos="1384" w:val="left"/>
        </w:tabs>
        <w:numPr>
          <w:ilvl w:val="1"/>
          <w:numId w:val="218"/>
        </w:numPr>
        <w:rPr>
          <w:rFonts w:ascii="Arial" w:cs="Arial" w:eastAsia="Arial" w:hAnsi="Arial"/>
          <w:sz w:val="18"/>
          <w:szCs w:val="18"/>
          <w:color w:val="auto"/>
        </w:rPr>
      </w:pPr>
      <w:r>
        <w:rPr>
          <w:rFonts w:ascii="Arial" w:cs="Arial" w:eastAsia="Arial" w:hAnsi="Arial"/>
          <w:sz w:val="18"/>
          <w:szCs w:val="18"/>
          <w:color w:val="auto"/>
        </w:rPr>
        <w:t xml:space="preserve">Restricted Payments permitted by </w:t>
      </w:r>
      <w:r>
        <w:rPr>
          <w:rFonts w:ascii="Arial" w:cs="Arial" w:eastAsia="Arial" w:hAnsi="Arial"/>
          <w:sz w:val="18"/>
          <w:szCs w:val="18"/>
          <w:u w:val="single" w:color="auto"/>
          <w:color w:val="auto"/>
        </w:rPr>
        <w:t>Section 8.12</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1"/>
          <w:numId w:val="218"/>
        </w:numPr>
        <w:rPr>
          <w:rFonts w:ascii="Arial" w:cs="Arial" w:eastAsia="Arial" w:hAnsi="Arial"/>
          <w:sz w:val="18"/>
          <w:szCs w:val="18"/>
          <w:color w:val="auto"/>
        </w:rPr>
      </w:pPr>
      <w:r>
        <w:rPr>
          <w:rFonts w:ascii="Arial" w:cs="Arial" w:eastAsia="Arial" w:hAnsi="Arial"/>
          <w:sz w:val="18"/>
          <w:szCs w:val="18"/>
          <w:color w:val="auto"/>
        </w:rPr>
        <w:t>issuances by the Borrower and its Restricted Subsidiaries of Equity Interests not prohibited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6346825</wp:posOffset>
            </wp:positionH>
            <wp:positionV relativeFrom="paragraph">
              <wp:posOffset>-2247900</wp:posOffset>
            </wp:positionV>
            <wp:extent cx="19367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5194935</wp:posOffset>
            </wp:positionH>
            <wp:positionV relativeFrom="paragraph">
              <wp:posOffset>-1896110</wp:posOffset>
            </wp:positionV>
            <wp:extent cx="3429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 xml:space="preserve">Section 8.16 </w:t>
      </w:r>
      <w:r>
        <w:rPr>
          <w:rFonts w:ascii="Arial" w:cs="Arial" w:eastAsia="Arial" w:hAnsi="Arial"/>
          <w:sz w:val="16"/>
          <w:szCs w:val="16"/>
          <w:i w:val="1"/>
          <w:iCs w:val="1"/>
          <w:color w:val="auto"/>
        </w:rPr>
        <w:t>No Changes in Fiscal Year.</w:t>
      </w:r>
      <w:r>
        <w:rPr>
          <w:rFonts w:ascii="Arial" w:cs="Arial" w:eastAsia="Arial" w:hAnsi="Arial"/>
          <w:sz w:val="16"/>
          <w:szCs w:val="16"/>
          <w:color w:val="auto"/>
        </w:rPr>
        <w:t xml:space="preserve"> The Borrower shall not permit its Fiscal Year to end on a day other than the Sunday after the Saturday closest to January 31 of each calendar year or change its method of determining fiscal quarters from the method used by it on the Closing Date. The term “Fiscal Year XXXX”, where “XXXX” is a calendar year, shall refer to the Fiscal Year of the Borrower beginning during such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2220595</wp:posOffset>
            </wp:positionH>
            <wp:positionV relativeFrom="paragraph">
              <wp:posOffset>-375920</wp:posOffset>
            </wp:positionV>
            <wp:extent cx="2857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6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4"/>
          </w:cols>
          <w:pgMar w:left="436" w:top="274" w:right="459" w:bottom="1440" w:gutter="0" w:footer="0" w:header="0"/>
        </w:sectPr>
      </w:pPr>
    </w:p>
    <w:bookmarkStart w:id="177" w:name="page178"/>
    <w:bookmarkEnd w:id="177"/>
    <w:p>
      <w:pPr>
        <w:ind w:left="444"/>
        <w:spacing w:after="0"/>
        <w:tabs>
          <w:tab w:leader="none" w:pos="15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8.17</w:t>
      </w:r>
      <w:r>
        <w:rPr>
          <w:sz w:val="20"/>
          <w:szCs w:val="20"/>
          <w:color w:val="auto"/>
        </w:rPr>
        <w:tab/>
      </w:r>
      <w:r>
        <w:rPr>
          <w:rFonts w:ascii="Arial" w:cs="Arial" w:eastAsia="Arial" w:hAnsi="Arial"/>
          <w:sz w:val="16"/>
          <w:szCs w:val="16"/>
          <w:i w:val="1"/>
          <w:iCs w:val="1"/>
          <w:color w:val="auto"/>
        </w:rPr>
        <w:t>Formation of Subsidiaries; Further Assurances</w:t>
      </w:r>
      <w:r>
        <w:rPr>
          <w:rFonts w:ascii="Arial" w:cs="Arial" w:eastAsia="Arial" w:hAnsi="Arial"/>
          <w:sz w:val="16"/>
          <w:szCs w:val="16"/>
          <w:color w:val="FF0000"/>
          <w:strike w:val="1"/>
        </w:rPr>
        <w:t>(a) . (a)</w:t>
      </w:r>
    </w:p>
    <w:p>
      <w:pPr>
        <w:spacing w:after="0" w:line="117" w:lineRule="exact"/>
        <w:rPr>
          <w:sz w:val="20"/>
          <w:szCs w:val="20"/>
          <w:color w:val="auto"/>
        </w:rPr>
      </w:pPr>
    </w:p>
    <w:p>
      <w:pPr>
        <w:ind w:left="4" w:right="360" w:firstLine="987"/>
        <w:spacing w:after="0" w:line="287" w:lineRule="auto"/>
        <w:tabs>
          <w:tab w:leader="none" w:pos="1420" w:val="left"/>
        </w:tabs>
        <w:numPr>
          <w:ilvl w:val="1"/>
          <w:numId w:val="219"/>
        </w:numPr>
        <w:rPr>
          <w:rFonts w:ascii="Arial" w:cs="Arial" w:eastAsia="Arial" w:hAnsi="Arial"/>
          <w:sz w:val="16"/>
          <w:szCs w:val="16"/>
          <w:u w:val="single" w:color="auto"/>
          <w:color w:val="0000E1"/>
        </w:rPr>
      </w:pPr>
      <w:r>
        <w:rPr>
          <w:rFonts w:ascii="Arial" w:cs="Arial" w:eastAsia="Arial" w:hAnsi="Arial"/>
          <w:sz w:val="16"/>
          <w:szCs w:val="16"/>
          <w:color w:val="auto"/>
        </w:rPr>
        <w:t xml:space="preserve">Promptly upon the formation or acquisition of any Restricted Subsidiary (with any Subsidiary Redesignation resulting in an Unrestricted Subsidiary becoming a Restricted Subsidiary being deemed to constitute the acquisition of a Restricted Subsidiary) </w:t>
      </w:r>
      <w:r>
        <w:rPr>
          <w:rFonts w:ascii="Arial" w:cs="Arial" w:eastAsia="Arial" w:hAnsi="Arial"/>
          <w:sz w:val="16"/>
          <w:szCs w:val="16"/>
          <w:u w:val="single" w:color="auto"/>
          <w:color w:val="0000E1"/>
        </w:rPr>
        <w:t>(including, without</w:t>
      </w:r>
      <w:r>
        <w:rPr>
          <w:rFonts w:ascii="Arial" w:cs="Arial" w:eastAsia="Arial" w:hAnsi="Arial"/>
          <w:sz w:val="16"/>
          <w:szCs w:val="16"/>
          <w:color w:val="auto"/>
        </w:rPr>
        <w:t xml:space="preserve"> </w:t>
      </w:r>
      <w:r>
        <w:rPr>
          <w:rFonts w:ascii="Arial" w:cs="Arial" w:eastAsia="Arial" w:hAnsi="Arial"/>
          <w:sz w:val="16"/>
          <w:szCs w:val="16"/>
          <w:u w:val="single" w:color="auto"/>
          <w:color w:val="0000E1"/>
        </w:rPr>
        <w:t>limitation, upon the formation of any Subsidiary that is a Division Successor)</w:t>
      </w:r>
      <w:r>
        <w:rPr>
          <w:rFonts w:ascii="Arial" w:cs="Arial" w:eastAsia="Arial" w:hAnsi="Arial"/>
          <w:sz w:val="16"/>
          <w:szCs w:val="16"/>
          <w:color w:val="000000"/>
        </w:rPr>
        <w:t>, and in any event no later than at the time the Borrower delivers</w:t>
      </w:r>
    </w:p>
    <w:p>
      <w:pPr>
        <w:spacing w:after="0" w:line="2" w:lineRule="exact"/>
        <w:rPr>
          <w:rFonts w:ascii="Arial" w:cs="Arial" w:eastAsia="Arial" w:hAnsi="Arial"/>
          <w:sz w:val="16"/>
          <w:szCs w:val="16"/>
          <w:u w:val="single" w:color="auto"/>
          <w:color w:val="0000E1"/>
        </w:rPr>
      </w:pPr>
    </w:p>
    <w:p>
      <w:pPr>
        <w:ind w:left="4"/>
        <w:spacing w:after="0"/>
        <w:rPr>
          <w:rFonts w:ascii="Arial" w:cs="Arial" w:eastAsia="Arial" w:hAnsi="Arial"/>
          <w:sz w:val="16"/>
          <w:szCs w:val="16"/>
          <w:u w:val="single" w:color="auto"/>
          <w:color w:val="0000E1"/>
        </w:rPr>
      </w:pPr>
      <w:r>
        <w:rPr>
          <w:rFonts w:ascii="Arial" w:cs="Arial" w:eastAsia="Arial" w:hAnsi="Arial"/>
          <w:sz w:val="16"/>
          <w:szCs w:val="16"/>
          <w:color w:val="FF0000"/>
          <w:strike w:val="1"/>
        </w:rPr>
        <w:t>its written</w:t>
      </w:r>
      <w:r>
        <w:rPr>
          <w:rFonts w:ascii="Arial" w:cs="Arial" w:eastAsia="Arial" w:hAnsi="Arial"/>
          <w:sz w:val="16"/>
          <w:szCs w:val="16"/>
          <w:u w:val="single" w:color="auto"/>
          <w:color w:val="0000E1"/>
        </w:rPr>
        <w:t>the Compliance</w:t>
      </w:r>
      <w:r>
        <w:rPr>
          <w:rFonts w:ascii="Arial" w:cs="Arial" w:eastAsia="Arial" w:hAnsi="Arial"/>
          <w:sz w:val="16"/>
          <w:szCs w:val="16"/>
          <w:color w:val="FF0000"/>
        </w:rPr>
        <w:t xml:space="preserve"> </w:t>
      </w:r>
      <w:r>
        <w:rPr>
          <w:rFonts w:ascii="Arial" w:cs="Arial" w:eastAsia="Arial" w:hAnsi="Arial"/>
          <w:sz w:val="16"/>
          <w:szCs w:val="16"/>
          <w:color w:val="FF0000"/>
          <w:strike w:val="1"/>
        </w:rPr>
        <w:t>c</w:t>
      </w:r>
      <w:r>
        <w:rPr>
          <w:rFonts w:ascii="Arial" w:cs="Arial" w:eastAsia="Arial" w:hAnsi="Arial"/>
          <w:sz w:val="16"/>
          <w:szCs w:val="16"/>
          <w:u w:val="single" w:color="auto"/>
          <w:color w:val="0000E1"/>
        </w:rPr>
        <w:t>C</w:t>
      </w:r>
      <w:r>
        <w:rPr>
          <w:rFonts w:ascii="Arial" w:cs="Arial" w:eastAsia="Arial" w:hAnsi="Arial"/>
          <w:sz w:val="16"/>
          <w:szCs w:val="16"/>
          <w:color w:val="000000"/>
        </w:rPr>
        <w:t>ertificate pursuant to</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 8.5(</w:t>
      </w:r>
      <w:r>
        <w:rPr>
          <w:rFonts w:ascii="Arial" w:cs="Arial" w:eastAsia="Arial" w:hAnsi="Arial"/>
          <w:sz w:val="16"/>
          <w:szCs w:val="16"/>
          <w:color w:val="FF0000"/>
          <w:strike w:val="1"/>
        </w:rPr>
        <w:t>A)(</w:t>
      </w:r>
      <w:r>
        <w:rPr>
          <w:rFonts w:ascii="Arial" w:cs="Arial" w:eastAsia="Arial" w:hAnsi="Arial"/>
          <w:sz w:val="16"/>
          <w:szCs w:val="16"/>
          <w:u w:val="single" w:color="auto"/>
          <w:color w:val="000000"/>
        </w:rPr>
        <w:t>f)</w:t>
      </w:r>
      <w:r>
        <w:rPr>
          <w:rFonts w:ascii="Arial" w:cs="Arial" w:eastAsia="Arial" w:hAnsi="Arial"/>
          <w:sz w:val="16"/>
          <w:szCs w:val="16"/>
          <w:color w:val="FF0000"/>
        </w:rPr>
        <w:t xml:space="preserve"> </w:t>
      </w:r>
      <w:r>
        <w:rPr>
          <w:rFonts w:ascii="Arial" w:cs="Arial" w:eastAsia="Arial" w:hAnsi="Arial"/>
          <w:sz w:val="16"/>
          <w:szCs w:val="16"/>
          <w:color w:val="000000"/>
        </w:rPr>
        <w:t>in connection with financial statements delivered pursuant to</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 8.5</w:t>
      </w:r>
      <w:r>
        <w:rPr>
          <w:rFonts w:ascii="Arial" w:cs="Arial" w:eastAsia="Arial" w:hAnsi="Arial"/>
          <w:sz w:val="16"/>
          <w:szCs w:val="16"/>
          <w:color w:val="FF0000"/>
          <w:strike w:val="1"/>
        </w:rPr>
        <w:t>(A)</w:t>
      </w:r>
      <w:r>
        <w:rPr>
          <w:rFonts w:ascii="Arial" w:cs="Arial" w:eastAsia="Arial" w:hAnsi="Arial"/>
          <w:sz w:val="16"/>
          <w:szCs w:val="16"/>
          <w:u w:val="single" w:color="auto"/>
          <w:color w:val="000000"/>
        </w:rPr>
        <w:t>(a)</w:t>
      </w:r>
      <w:r>
        <w:rPr>
          <w:rFonts w:ascii="Arial" w:cs="Arial" w:eastAsia="Arial" w:hAnsi="Arial"/>
          <w:sz w:val="16"/>
          <w:szCs w:val="16"/>
          <w:color w:val="FF0000"/>
        </w:rPr>
        <w:t xml:space="preserve"> </w:t>
      </w:r>
      <w:r>
        <w:rPr>
          <w:rFonts w:ascii="Arial" w:cs="Arial" w:eastAsia="Arial" w:hAnsi="Arial"/>
          <w:sz w:val="16"/>
          <w:szCs w:val="16"/>
          <w:color w:val="000000"/>
        </w:rPr>
        <w:t>or</w:t>
      </w:r>
    </w:p>
    <w:p>
      <w:pPr>
        <w:spacing w:after="0" w:line="32" w:lineRule="exact"/>
        <w:rPr>
          <w:rFonts w:ascii="Arial" w:cs="Arial" w:eastAsia="Arial" w:hAnsi="Arial"/>
          <w:sz w:val="16"/>
          <w:szCs w:val="16"/>
          <w:u w:val="single" w:color="auto"/>
          <w:color w:val="0000E1"/>
        </w:rPr>
      </w:pPr>
    </w:p>
    <w:p>
      <w:pPr>
        <w:ind w:left="4" w:hanging="4"/>
        <w:spacing w:after="0" w:line="288" w:lineRule="auto"/>
        <w:tabs>
          <w:tab w:leader="none" w:pos="259" w:val="left"/>
        </w:tabs>
        <w:numPr>
          <w:ilvl w:val="0"/>
          <w:numId w:val="220"/>
        </w:numPr>
        <w:rPr>
          <w:rFonts w:ascii="Arial" w:cs="Arial" w:eastAsia="Arial" w:hAnsi="Arial"/>
          <w:sz w:val="16"/>
          <w:szCs w:val="16"/>
          <w:u w:val="single" w:color="auto"/>
          <w:color w:val="auto"/>
        </w:rPr>
      </w:pPr>
      <w:r>
        <w:rPr>
          <w:rFonts w:ascii="Arial" w:cs="Arial" w:eastAsia="Arial" w:hAnsi="Arial"/>
          <w:sz w:val="16"/>
          <w:szCs w:val="16"/>
          <w:color w:val="auto"/>
        </w:rPr>
        <w:t xml:space="preserve">(at which time </w:t>
      </w:r>
      <w:r>
        <w:rPr>
          <w:rFonts w:ascii="Arial" w:cs="Arial" w:eastAsia="Arial" w:hAnsi="Arial"/>
          <w:sz w:val="16"/>
          <w:szCs w:val="16"/>
          <w:u w:val="single" w:color="auto"/>
          <w:color w:val="auto"/>
        </w:rPr>
        <w:t>Schedule 6.2</w:t>
      </w:r>
      <w:r>
        <w:rPr>
          <w:rFonts w:ascii="Arial" w:cs="Arial" w:eastAsia="Arial" w:hAnsi="Arial"/>
          <w:sz w:val="16"/>
          <w:szCs w:val="16"/>
          <w:color w:val="auto"/>
        </w:rPr>
        <w:t xml:space="preserve"> shall be deemed amended to include reference to such Restricted Subsidiary and, if such Restricted Subsidiary shall be required to provide a Guarantee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6.14(a)</w:t>
      </w:r>
      <w:r>
        <w:rPr>
          <w:rFonts w:ascii="Arial" w:cs="Arial" w:eastAsia="Arial" w:hAnsi="Arial"/>
          <w:sz w:val="16"/>
          <w:szCs w:val="16"/>
          <w:color w:val="auto"/>
        </w:rPr>
        <w:t xml:space="preserve"> shall be deemed amended to include reference to such Subsidiary), the Borrower shall (i) provide the Administrative Agent notice thereof and (ii) subject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cause such newly formed or acquired Restricted Subsidiary to execute a Guarantee and such Collateral Documents as the Administrative Agent may then reasonably require (which shall be substantially consistent with the Collateral Documents then existing and shall be subject to the limitations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including, at the Borrower’s reasonable cost and reasonable expense, such other instruments, documents, certificates, and opinions reasonably required by the Administrative Agent in connection therewith (subject to the limitations set forth in </w:t>
      </w:r>
      <w:r>
        <w:rPr>
          <w:rFonts w:ascii="Arial" w:cs="Arial" w:eastAsia="Arial" w:hAnsi="Arial"/>
          <w:sz w:val="16"/>
          <w:szCs w:val="16"/>
          <w:u w:val="single" w:color="auto"/>
          <w:color w:val="auto"/>
        </w:rPr>
        <w:t>Sections 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and in the Collateral Documents).</w:t>
      </w:r>
    </w:p>
    <w:p>
      <w:pPr>
        <w:spacing w:after="0" w:line="168" w:lineRule="exact"/>
        <w:rPr>
          <w:rFonts w:ascii="Arial" w:cs="Arial" w:eastAsia="Arial" w:hAnsi="Arial"/>
          <w:sz w:val="16"/>
          <w:szCs w:val="16"/>
          <w:u w:val="single" w:color="auto"/>
          <w:color w:val="auto"/>
        </w:rPr>
      </w:pPr>
    </w:p>
    <w:p>
      <w:pPr>
        <w:ind w:left="4" w:right="40" w:firstLine="987"/>
        <w:spacing w:after="0" w:line="269" w:lineRule="auto"/>
        <w:tabs>
          <w:tab w:leader="none" w:pos="1385" w:val="left"/>
        </w:tabs>
        <w:numPr>
          <w:ilvl w:val="1"/>
          <w:numId w:val="220"/>
        </w:numPr>
        <w:rPr>
          <w:rFonts w:ascii="Arial" w:cs="Arial" w:eastAsia="Arial" w:hAnsi="Arial"/>
          <w:sz w:val="17"/>
          <w:szCs w:val="17"/>
          <w:color w:val="auto"/>
        </w:rPr>
      </w:pPr>
      <w:r>
        <w:rPr>
          <w:rFonts w:ascii="Arial" w:cs="Arial" w:eastAsia="Arial" w:hAnsi="Arial"/>
          <w:sz w:val="17"/>
          <w:szCs w:val="17"/>
          <w:color w:val="auto"/>
        </w:rPr>
        <w:t xml:space="preserve">Promptly upon request by the Administrative Agent and subject to the provisions of the Collateral Documents and in any case, at the expense of the Loan Parties, the Borrower shall, (i) correct any material defect or error that may be discovered in any Loan Document or in the execution, acknowledgment, filing or recordation thereof, and (ii) do, execute, acknowledge, deliver, record, re-record, file, re-file, register and re-register any and all such further acts, deeds, certificates, assurances and other instruments as the Administrative Agent may reasonably require from time to time in order to (A) carry out more effectively the purposes of the Loan Documents, (B) to the fullest extent permitted by applicable law, subject any Loan Party’s or any Restricted Subsidiaries’ properties, assets, rights or interests to the Liens now or hereafter intended to be covered by any of the Collateral Documents, (C) perfect and maintain the validity, effectiveness and priority of any of the Collateral Documents and any of the Liens intended to be created thereunder and (D) assure, convey, grant, assign, transfer, preserve, protect and confirm more effectively unto the Secured </w:t>
      </w:r>
      <w:r>
        <w:rPr>
          <w:rFonts w:ascii="Arial" w:cs="Arial" w:eastAsia="Arial" w:hAnsi="Arial"/>
          <w:sz w:val="17"/>
          <w:szCs w:val="17"/>
          <w:color w:val="FF0000"/>
          <w:strike w:val="1"/>
        </w:rPr>
        <w:t>Parties</w:t>
      </w:r>
      <w:r>
        <w:rPr>
          <w:rFonts w:ascii="Arial" w:cs="Arial" w:eastAsia="Arial" w:hAnsi="Arial"/>
          <w:sz w:val="17"/>
          <w:szCs w:val="17"/>
          <w:u w:val="single" w:color="auto"/>
          <w:color w:val="0000E1"/>
        </w:rPr>
        <w:t>Creditors</w:t>
      </w:r>
      <w:r>
        <w:rPr>
          <w:rFonts w:ascii="Arial" w:cs="Arial" w:eastAsia="Arial" w:hAnsi="Arial"/>
          <w:sz w:val="17"/>
          <w:szCs w:val="17"/>
          <w:color w:val="auto"/>
        </w:rPr>
        <w:t xml:space="preserve"> the rights granted or now or hereafter intended to be granted to the Secured </w:t>
      </w:r>
      <w:r>
        <w:rPr>
          <w:rFonts w:ascii="Arial" w:cs="Arial" w:eastAsia="Arial" w:hAnsi="Arial"/>
          <w:sz w:val="17"/>
          <w:szCs w:val="17"/>
          <w:color w:val="FF0000"/>
          <w:strike w:val="1"/>
        </w:rPr>
        <w:t>Parties</w:t>
      </w:r>
      <w:r>
        <w:rPr>
          <w:rFonts w:ascii="Arial" w:cs="Arial" w:eastAsia="Arial" w:hAnsi="Arial"/>
          <w:sz w:val="17"/>
          <w:szCs w:val="17"/>
          <w:u w:val="single" w:color="auto"/>
          <w:color w:val="0000E1"/>
        </w:rPr>
        <w:t>Creditors</w:t>
      </w:r>
      <w:r>
        <w:rPr>
          <w:rFonts w:ascii="Arial" w:cs="Arial" w:eastAsia="Arial" w:hAnsi="Arial"/>
          <w:sz w:val="17"/>
          <w:szCs w:val="17"/>
          <w:color w:val="auto"/>
        </w:rPr>
        <w:t xml:space="preserve"> under any Loan Document or under any other instrument executed in connection with any Loan Document to which any Loan Party or any of the Restricted Subsidiaries is or is to be a party, and cause each of the Restricted Subsidiaries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-3020695</wp:posOffset>
            </wp:positionV>
            <wp:extent cx="12890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5854700</wp:posOffset>
            </wp:positionH>
            <wp:positionV relativeFrom="paragraph">
              <wp:posOffset>-2883535</wp:posOffset>
            </wp:positionV>
            <wp:extent cx="90043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-2746375</wp:posOffset>
            </wp:positionV>
            <wp:extent cx="3540125"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3540125" cy="8890"/>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-2609215</wp:posOffset>
            </wp:positionV>
            <wp:extent cx="87439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6523355</wp:posOffset>
            </wp:positionH>
            <wp:positionV relativeFrom="paragraph">
              <wp:posOffset>-414655</wp:posOffset>
            </wp:positionV>
            <wp:extent cx="42862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-277495</wp:posOffset>
            </wp:positionV>
            <wp:extent cx="428625"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162"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Section 8.18 </w:t>
      </w:r>
      <w:r>
        <w:rPr>
          <w:rFonts w:ascii="Arial" w:cs="Arial" w:eastAsia="Arial" w:hAnsi="Arial"/>
          <w:sz w:val="18"/>
          <w:szCs w:val="18"/>
          <w:i w:val="1"/>
          <w:iCs w:val="1"/>
          <w:color w:val="auto"/>
        </w:rPr>
        <w:t>Change in the Nature of Business.</w:t>
      </w:r>
      <w:r>
        <w:rPr>
          <w:rFonts w:ascii="Arial" w:cs="Arial" w:eastAsia="Arial" w:hAnsi="Arial"/>
          <w:sz w:val="18"/>
          <w:szCs w:val="18"/>
          <w:color w:val="auto"/>
        </w:rPr>
        <w:t xml:space="preserve"> The Borrower shall not, nor shall it permit any of its Restricted Subsidiaries to, engage in any business or activity (other than related, ancillary or complimentary businesses and activities and any businesses and activities reasonably related thereto) if, as a result, the general nature of the business of the Borrower or any Restricted Subsidiary would be changed in any material respect from the general nature of the business engaged in by it as of the Closing Date.</w:t>
      </w:r>
    </w:p>
    <w:p>
      <w:pPr>
        <w:spacing w:after="0" w:line="187" w:lineRule="exact"/>
        <w:rPr>
          <w:sz w:val="20"/>
          <w:szCs w:val="20"/>
          <w:color w:val="auto"/>
        </w:rPr>
      </w:pPr>
    </w:p>
    <w:p>
      <w:pPr>
        <w:ind w:left="4" w:right="340" w:firstLine="440"/>
        <w:spacing w:after="0" w:line="259" w:lineRule="auto"/>
        <w:rPr>
          <w:sz w:val="20"/>
          <w:szCs w:val="20"/>
          <w:color w:val="auto"/>
        </w:rPr>
      </w:pPr>
      <w:r>
        <w:rPr>
          <w:rFonts w:ascii="Arial" w:cs="Arial" w:eastAsia="Arial" w:hAnsi="Arial"/>
          <w:sz w:val="18"/>
          <w:szCs w:val="18"/>
          <w:color w:val="auto"/>
        </w:rPr>
        <w:t xml:space="preserve">Section 8.19 </w:t>
      </w:r>
      <w:r>
        <w:rPr>
          <w:rFonts w:ascii="Arial" w:cs="Arial" w:eastAsia="Arial" w:hAnsi="Arial"/>
          <w:sz w:val="18"/>
          <w:szCs w:val="18"/>
          <w:i w:val="1"/>
          <w:iCs w:val="1"/>
          <w:color w:val="auto"/>
        </w:rPr>
        <w:t>Use of Proceeds</w:t>
      </w:r>
      <w:r>
        <w:rPr>
          <w:rFonts w:ascii="Arial" w:cs="Arial" w:eastAsia="Arial" w:hAnsi="Arial"/>
          <w:sz w:val="18"/>
          <w:szCs w:val="18"/>
          <w:color w:val="auto"/>
        </w:rPr>
        <w:t xml:space="preserve">. The Borrower shall use the credit extended on the Closing Date under this Agreement solely, in respect of the Term Loans, to finance a portion of the Transactions (including the Refinancing), to pay the Transaction Costs and for working capital and general corporate purposes and, with respect of the Revolving Credit Facility to finance of portion of the Transactions (including the Refinancing), for the purposes set forth in, or otherwise permitted by,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4"/>
          </w:cols>
          <w:pgMar w:left="436" w:top="274" w:right="459" w:bottom="1440" w:gutter="0" w:footer="0" w:header="0"/>
        </w:sectPr>
      </w:pPr>
    </w:p>
    <w:bookmarkStart w:id="178" w:name="page179"/>
    <w:bookmarkEnd w:id="178"/>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8.20 </w:t>
      </w:r>
      <w:r>
        <w:rPr>
          <w:rFonts w:ascii="Arial" w:cs="Arial" w:eastAsia="Arial" w:hAnsi="Arial"/>
          <w:sz w:val="17"/>
          <w:szCs w:val="17"/>
          <w:i w:val="1"/>
          <w:iCs w:val="1"/>
          <w:color w:val="auto"/>
        </w:rPr>
        <w:t>No Restrictions</w:t>
      </w:r>
      <w:r>
        <w:rPr>
          <w:rFonts w:ascii="Arial" w:cs="Arial" w:eastAsia="Arial" w:hAnsi="Arial"/>
          <w:sz w:val="17"/>
          <w:szCs w:val="17"/>
          <w:color w:val="auto"/>
        </w:rPr>
        <w:t xml:space="preserve">. Except as provided under the Loan Documents (including the documents governing any New Term Loans, New Revolving Credit Commitments, Extended Term Loans, Extended Revolving Credit Commitments, Refinancing Term Loans and the Replacement Revolving Credit Commitments or any documents delivered in connection with any of the foregoing or customary terms in any documentation providing for any Permitted Refinancing thereof), the Borrower shall not, nor shall it permit any of its Restricted Subsidiaries to, directly or indirectly create or otherwise cause or suffer to exist or become effective any consensual encumbrance or restriction of any kind on the ability of the Borrower or any Restricted Subsidiary to: (a) pay dividends or make any other distribution on any Restricted Subsidiary’s Equity Interests owned by the Borrower or any other Restricted Subsidiary, (b) pay any indebtedness owed to the Borrower or any other Restricted Subsidiary, (c) make loans or advances to the Borrower or any other Restricted Subsidiary, (d) transfer any of its Property to the Borrower or any other Restricted Subsidiary, except for restrictions on the transfer of specific Property contained in agreements relating to such Property, such as Capital Leases, purchase money contracts, Intellectual Property licenses and the like, or (e) guarantee the Obligations and/or grant Liens on its assets to the Collateral Agent as required by the Loan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shall not apply to:</w:t>
      </w:r>
    </w:p>
    <w:p>
      <w:pPr>
        <w:spacing w:after="0" w:line="182" w:lineRule="exact"/>
        <w:rPr>
          <w:sz w:val="20"/>
          <w:szCs w:val="20"/>
          <w:color w:val="auto"/>
        </w:rPr>
      </w:pPr>
    </w:p>
    <w:p>
      <w:pPr>
        <w:ind w:left="1360" w:hanging="373"/>
        <w:spacing w:after="0"/>
        <w:tabs>
          <w:tab w:leader="none" w:pos="13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restrictions and encumbrances existing on the Closing Date;</w:t>
      </w:r>
    </w:p>
    <w:p>
      <w:pPr>
        <w:spacing w:after="0" w:line="225" w:lineRule="exact"/>
        <w:rPr>
          <w:rFonts w:ascii="Arial" w:cs="Arial" w:eastAsia="Arial" w:hAnsi="Arial"/>
          <w:sz w:val="18"/>
          <w:szCs w:val="18"/>
          <w:color w:val="auto"/>
        </w:rPr>
      </w:pPr>
    </w:p>
    <w:p>
      <w:pPr>
        <w:jc w:val="both"/>
        <w:ind w:right="100" w:firstLine="987"/>
        <w:spacing w:after="0" w:line="263" w:lineRule="auto"/>
        <w:tabs>
          <w:tab w:leader="none" w:pos="138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restrictions or encumbrances on a Restricted Subsidiary at the time such Restricted Subsidiary first becomes a Restricted Subsidiary so long as such restriction or encumbrance was not entered into in contemplation of such Person becoming a Restricted Subsidiary and such restrictions are limited to such Restricted Subsidiary and its Subsidiaries;</w:t>
      </w:r>
    </w:p>
    <w:p>
      <w:pPr>
        <w:spacing w:after="0" w:line="183" w:lineRule="exact"/>
        <w:rPr>
          <w:rFonts w:ascii="Arial" w:cs="Arial" w:eastAsia="Arial" w:hAnsi="Arial"/>
          <w:sz w:val="18"/>
          <w:szCs w:val="18"/>
          <w:color w:val="auto"/>
        </w:rPr>
      </w:pPr>
    </w:p>
    <w:p>
      <w:pPr>
        <w:ind w:right="80" w:firstLine="987"/>
        <w:spacing w:after="0" w:line="259" w:lineRule="auto"/>
        <w:tabs>
          <w:tab w:leader="none" w:pos="137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restrictions or encumbrances that are contained in any agreement evidencing indebtedness of (and guarantees or pledges in respect of indebtedness of) a Restricted Subsidiary that is not a Subsidiary Guarantor, so long as such documentation only imposes restrictions on such Restricted Subsidiary (or guarantor or pledgor) that is not a Subsidiary Guarantor and any of its Restricted Subsidiaries that are not Subsidiary Guarantors and the Equity Interests in such Persons;</w:t>
      </w:r>
    </w:p>
    <w:p>
      <w:pPr>
        <w:spacing w:after="0" w:line="186" w:lineRule="exact"/>
        <w:rPr>
          <w:rFonts w:ascii="Arial" w:cs="Arial" w:eastAsia="Arial" w:hAnsi="Arial"/>
          <w:sz w:val="18"/>
          <w:szCs w:val="18"/>
          <w:color w:val="auto"/>
        </w:rPr>
      </w:pPr>
    </w:p>
    <w:p>
      <w:pPr>
        <w:ind w:right="200" w:firstLine="987"/>
        <w:spacing w:after="0" w:line="277" w:lineRule="auto"/>
        <w:tabs>
          <w:tab w:leader="none" w:pos="138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restrictions or encumbrances that arise in connection with any sale, transfer, lease or other disposition permitted by </w:t>
      </w:r>
      <w:r>
        <w:rPr>
          <w:rFonts w:ascii="Arial" w:cs="Arial" w:eastAsia="Arial" w:hAnsi="Arial"/>
          <w:sz w:val="18"/>
          <w:szCs w:val="18"/>
          <w:u w:val="single" w:color="auto"/>
          <w:color w:val="auto"/>
        </w:rPr>
        <w:t>Section 8.10</w:t>
      </w:r>
      <w:r>
        <w:rPr>
          <w:rFonts w:ascii="Arial" w:cs="Arial" w:eastAsia="Arial" w:hAnsi="Arial"/>
          <w:sz w:val="18"/>
          <w:szCs w:val="18"/>
          <w:color w:val="auto"/>
        </w:rPr>
        <w:t>, as to the assets being sold, transferred or disposed of;</w:t>
      </w:r>
    </w:p>
    <w:p>
      <w:pPr>
        <w:spacing w:after="0" w:line="170" w:lineRule="exact"/>
        <w:rPr>
          <w:rFonts w:ascii="Arial" w:cs="Arial" w:eastAsia="Arial" w:hAnsi="Arial"/>
          <w:sz w:val="18"/>
          <w:szCs w:val="18"/>
          <w:color w:val="auto"/>
        </w:rPr>
      </w:pPr>
    </w:p>
    <w:p>
      <w:pPr>
        <w:jc w:val="both"/>
        <w:ind w:right="300" w:firstLine="987"/>
        <w:spacing w:after="0" w:line="263" w:lineRule="auto"/>
        <w:tabs>
          <w:tab w:leader="none" w:pos="137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restrictions or encumbrances that are customary provisions in joint venture agreements and other similar agreements applicable to joint ventures not prohibited by this Agreement so long as such restrictions or encumbrances are applicable solely to such joint venture or the Equity Interests of such joint venture;</w:t>
      </w:r>
    </w:p>
    <w:p>
      <w:pPr>
        <w:spacing w:after="0" w:line="183" w:lineRule="exact"/>
        <w:rPr>
          <w:rFonts w:ascii="Arial" w:cs="Arial" w:eastAsia="Arial" w:hAnsi="Arial"/>
          <w:sz w:val="18"/>
          <w:szCs w:val="18"/>
          <w:color w:val="auto"/>
        </w:rPr>
      </w:pPr>
    </w:p>
    <w:p>
      <w:pPr>
        <w:ind w:right="140" w:firstLine="987"/>
        <w:spacing w:after="0" w:line="275" w:lineRule="auto"/>
        <w:tabs>
          <w:tab w:leader="none" w:pos="1351"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negative pledges and restrictions on Liens in favor of any holder of indebtedness permitted under </w:t>
      </w: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but solely to the extent any negative pledge relates to the property financed by or secured by such indebtedness (and, for the avoidance of doubt, excluding in any event any indebtedness secured by a Lien junior in priority to the Liens securing the Secured Obligations) or that expressly permits Liens for the benefit of the Agents and the Lenders on a senior basis without the requirement that such holders of such indebtedness be secured by such Liens on an equal and ratable (other than in the case of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or junior, basis;</w:t>
      </w:r>
    </w:p>
    <w:p>
      <w:pPr>
        <w:spacing w:after="0" w:line="176" w:lineRule="exact"/>
        <w:rPr>
          <w:rFonts w:ascii="Arial" w:cs="Arial" w:eastAsia="Arial" w:hAnsi="Arial"/>
          <w:sz w:val="17"/>
          <w:szCs w:val="17"/>
          <w:color w:val="auto"/>
        </w:rPr>
      </w:pPr>
    </w:p>
    <w:p>
      <w:pPr>
        <w:ind w:right="180" w:firstLine="987"/>
        <w:spacing w:after="0" w:line="263" w:lineRule="auto"/>
        <w:tabs>
          <w:tab w:leader="none" w:pos="138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restrictions imposed by any agreement relating to secured indebtedness permitted pursuant to </w:t>
      </w:r>
      <w:r>
        <w:rPr>
          <w:rFonts w:ascii="Arial" w:cs="Arial" w:eastAsia="Arial" w:hAnsi="Arial"/>
          <w:sz w:val="18"/>
          <w:szCs w:val="18"/>
          <w:u w:val="single" w:color="auto"/>
          <w:color w:val="auto"/>
        </w:rPr>
        <w:t>Sections 8.7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8.8</w:t>
      </w:r>
      <w:r>
        <w:rPr>
          <w:rFonts w:ascii="Arial" w:cs="Arial" w:eastAsia="Arial" w:hAnsi="Arial"/>
          <w:sz w:val="18"/>
          <w:szCs w:val="18"/>
          <w:color w:val="auto"/>
        </w:rPr>
        <w:t xml:space="preserve"> to the extent that such restrictions apply only to the property or assets securing such indebtedness or to the Restricted Subsidiaries incurring or guaranteeing such indebtedness and the Equity Interests in such Persons;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20"/>
          </w:cols>
          <w:pgMar w:left="440" w:top="274" w:right="439" w:bottom="1440" w:gutter="0" w:footer="0" w:header="0"/>
        </w:sectPr>
      </w:pPr>
    </w:p>
    <w:bookmarkStart w:id="179" w:name="page180"/>
    <w:bookmarkEnd w:id="179"/>
    <w:p>
      <w:pPr>
        <w:ind w:right="340" w:firstLine="987"/>
        <w:spacing w:after="0" w:line="277" w:lineRule="auto"/>
        <w:tabs>
          <w:tab w:leader="none" w:pos="1381"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customary restrictions on leases, subleases, licenses or sublicenses otherwise permitted hereby so long as such restrictions solely relate to the assets subject thereto;</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customary provisions restricting subletting or assignment of any lease governing a leasehold interest;</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customary provisions restricting the assignment or transfer of any agreement entered into in the ordinary course of business;</w:t>
      </w:r>
    </w:p>
    <w:p>
      <w:pPr>
        <w:spacing w:after="0" w:line="236" w:lineRule="exact"/>
        <w:rPr>
          <w:rFonts w:ascii="Arial" w:cs="Arial" w:eastAsia="Arial" w:hAnsi="Arial"/>
          <w:sz w:val="17"/>
          <w:szCs w:val="17"/>
          <w:color w:val="auto"/>
        </w:rPr>
      </w:pPr>
    </w:p>
    <w:p>
      <w:pPr>
        <w:ind w:right="800" w:firstLine="987"/>
        <w:spacing w:after="0" w:line="308" w:lineRule="auto"/>
        <w:tabs>
          <w:tab w:leader="none" w:pos="1381"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customary restrictions or encumbrances that arise in connection with cash or other deposits permitted under </w:t>
      </w:r>
      <w:r>
        <w:rPr>
          <w:rFonts w:ascii="Arial" w:cs="Arial" w:eastAsia="Arial" w:hAnsi="Arial"/>
          <w:sz w:val="17"/>
          <w:szCs w:val="17"/>
          <w:u w:val="single" w:color="auto"/>
          <w:color w:val="auto"/>
        </w:rPr>
        <w:t>Section 8.8</w:t>
      </w:r>
      <w:r>
        <w:rPr>
          <w:rFonts w:ascii="Arial" w:cs="Arial" w:eastAsia="Arial" w:hAnsi="Arial"/>
          <w:sz w:val="17"/>
          <w:szCs w:val="17"/>
          <w:color w:val="auto"/>
        </w:rPr>
        <w:t xml:space="preserve"> or restrictions on cash or other deposits imposed by customers under contracts entered into in the ordinary course of business; and</w:t>
      </w:r>
    </w:p>
    <w:p>
      <w:pPr>
        <w:spacing w:after="0" w:line="146" w:lineRule="exact"/>
        <w:rPr>
          <w:rFonts w:ascii="Arial" w:cs="Arial" w:eastAsia="Arial" w:hAnsi="Arial"/>
          <w:sz w:val="17"/>
          <w:szCs w:val="17"/>
          <w:color w:val="auto"/>
        </w:rPr>
      </w:pPr>
    </w:p>
    <w:p>
      <w:pPr>
        <w:ind w:right="40" w:firstLine="987"/>
        <w:spacing w:after="0" w:line="275" w:lineRule="auto"/>
        <w:tabs>
          <w:tab w:leader="none" w:pos="1341" w:val="left"/>
        </w:tabs>
        <w:numPr>
          <w:ilvl w:val="0"/>
          <w:numId w:val="222"/>
        </w:numPr>
        <w:rPr>
          <w:rFonts w:ascii="Arial" w:cs="Arial" w:eastAsia="Arial" w:hAnsi="Arial"/>
          <w:sz w:val="17"/>
          <w:szCs w:val="17"/>
          <w:color w:val="auto"/>
        </w:rPr>
      </w:pPr>
      <w:r>
        <w:rPr>
          <w:rFonts w:ascii="Arial" w:cs="Arial" w:eastAsia="Arial" w:hAnsi="Arial"/>
          <w:sz w:val="17"/>
          <w:szCs w:val="17"/>
          <w:color w:val="auto"/>
        </w:rPr>
        <w:t>one or more agreements governing indebtedness entered into after the Closing Date that contain encumbrances and other restrictions that are, taken as a whole, in the good faith judgment of the Borrower, (A) no more restrictive in any material respect with respect to the Borrower or its Restricted Subsidiaries, taken as a whole, than those encumbrances and other restrictions that are in effect on the Closing Date pursuant to agreements and instruments in effect on the Closing Date or, if applicable, on the date on which such Subsidiary became a Restricted Subsidiary pursuant to agreements and instruments in effect on such date or (B) no more restrictive than the Loan Documents.</w:t>
      </w:r>
    </w:p>
    <w:p>
      <w:pPr>
        <w:spacing w:after="0" w:line="176"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8.21 </w:t>
      </w:r>
      <w:r>
        <w:rPr>
          <w:rFonts w:ascii="Arial" w:cs="Arial" w:eastAsia="Arial" w:hAnsi="Arial"/>
          <w:sz w:val="18"/>
          <w:szCs w:val="18"/>
          <w:i w:val="1"/>
          <w:iCs w:val="1"/>
          <w:color w:val="auto"/>
        </w:rPr>
        <w:t>Payments of Other Indebtedness; Modifications of Organizational Documents and Other Documents.</w:t>
      </w:r>
      <w:r>
        <w:rPr>
          <w:rFonts w:ascii="Arial" w:cs="Arial" w:eastAsia="Arial" w:hAnsi="Arial"/>
          <w:sz w:val="18"/>
          <w:szCs w:val="18"/>
          <w:color w:val="auto"/>
        </w:rPr>
        <w:t xml:space="preserve"> The Borrower shall not, nor shall it permit any of its Restricted Subsidiaries to:</w:t>
      </w:r>
    </w:p>
    <w:p>
      <w:pPr>
        <w:spacing w:after="0" w:line="170" w:lineRule="exact"/>
        <w:rPr>
          <w:sz w:val="20"/>
          <w:szCs w:val="20"/>
          <w:color w:val="auto"/>
        </w:rPr>
      </w:pPr>
    </w:p>
    <w:p>
      <w:pPr>
        <w:ind w:firstLine="987"/>
        <w:spacing w:after="0" w:line="255" w:lineRule="auto"/>
        <w:tabs>
          <w:tab w:leader="none" w:pos="137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amend, supplement or otherwise modify, or permit the amendment, supplement or modification of, any of the terms or provisions contained in, or applicable to any documents evidencing Subordinated Debt (other than Immaterial Subordinated Debt and other than any such amendment, supplement or modification not materially adverse to the interests of the Lenders, taken as a whole);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clarity, it is understood and agreed that the foregoing limitation shall not otherwise prohibit any Permitted Refinancing of any Subordinated Debt or any other replacement, refinancing, amendment, supplement, modification, extension, renewal, restatement, or funding, in each case permitted under </w:t>
      </w:r>
      <w:r>
        <w:rPr>
          <w:rFonts w:ascii="Arial" w:cs="Arial" w:eastAsia="Arial" w:hAnsi="Arial"/>
          <w:sz w:val="18"/>
          <w:szCs w:val="18"/>
          <w:u w:val="single" w:color="auto"/>
          <w:color w:val="auto"/>
        </w:rPr>
        <w:t>Section 8.7</w:t>
      </w:r>
      <w:r>
        <w:rPr>
          <w:rFonts w:ascii="Arial" w:cs="Arial" w:eastAsia="Arial" w:hAnsi="Arial"/>
          <w:sz w:val="18"/>
          <w:szCs w:val="18"/>
          <w:color w:val="auto"/>
        </w:rPr>
        <w:t xml:space="preserve"> in respect thereof;</w:t>
      </w:r>
    </w:p>
    <w:p>
      <w:pPr>
        <w:spacing w:after="0" w:line="192" w:lineRule="exact"/>
        <w:rPr>
          <w:rFonts w:ascii="Arial" w:cs="Arial" w:eastAsia="Arial" w:hAnsi="Arial"/>
          <w:sz w:val="18"/>
          <w:szCs w:val="18"/>
          <w:color w:val="auto"/>
        </w:rPr>
      </w:pPr>
    </w:p>
    <w:p>
      <w:pPr>
        <w:ind w:firstLine="987"/>
        <w:spacing w:after="0" w:line="286" w:lineRule="auto"/>
        <w:tabs>
          <w:tab w:leader="none" w:pos="1381"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make any voluntary prepayment on any Subordinated Debt or effect any voluntary redemption thereof or make any distribution, whether in cash, property, securities or a combination thereof, on such Subordinated Debt, other than (i) regularly scheduled payments of interest as and when due (to the extent not prohibited by applicable subordination provisions), (ii) payment of fees, expenses and indemnification obligations in respect thereof, (iii) payments, prepayments, redemptions or distributions with the proceeds of, or conversions to, securities (including Equity Interests of Holdings or any direct or indirect parent thereof), (iv) payments required under Section 163(i) of the Code in order to avoid any such obligations to be an “applicable high yield discount obligation” within the meaning of Section 163(i)(l) of the Code (or any successor provision of similar import), (v) </w:t>
      </w:r>
      <w:r>
        <w:rPr>
          <w:rFonts w:ascii="Arial" w:cs="Arial" w:eastAsia="Arial" w:hAnsi="Arial"/>
          <w:sz w:val="16"/>
          <w:szCs w:val="16"/>
          <w:u w:val="single" w:color="auto"/>
          <w:color w:val="0000E1"/>
        </w:rPr>
        <w:t>other than during the Basket Suspension Period,</w:t>
      </w:r>
      <w:r>
        <w:rPr>
          <w:rFonts w:ascii="Arial" w:cs="Arial" w:eastAsia="Arial" w:hAnsi="Arial"/>
          <w:sz w:val="16"/>
          <w:szCs w:val="16"/>
          <w:color w:val="0000E1"/>
        </w:rPr>
        <w:t xml:space="preserve"> </w:t>
      </w:r>
      <w:r>
        <w:rPr>
          <w:rFonts w:ascii="Arial" w:cs="Arial" w:eastAsia="Arial" w:hAnsi="Arial"/>
          <w:sz w:val="16"/>
          <w:szCs w:val="16"/>
          <w:color w:val="000000"/>
        </w:rPr>
        <w:t>so long as no Default or Event of Default has occurred and is continuing or would result therefrom,</w:t>
      </w:r>
      <w:r>
        <w:rPr>
          <w:rFonts w:ascii="Arial" w:cs="Arial" w:eastAsia="Arial" w:hAnsi="Arial"/>
          <w:sz w:val="16"/>
          <w:szCs w:val="16"/>
          <w:color w:val="0000E1"/>
        </w:rPr>
        <w:t xml:space="preserve"> </w:t>
      </w:r>
      <w:r>
        <w:rPr>
          <w:rFonts w:ascii="Arial" w:cs="Arial" w:eastAsia="Arial" w:hAnsi="Arial"/>
          <w:sz w:val="16"/>
          <w:szCs w:val="16"/>
          <w:color w:val="000000"/>
        </w:rPr>
        <w:t xml:space="preserve">payments, prepayments, redemptions or distributions in respect of any Immaterial Subordinated Debt, (vi) </w:t>
      </w:r>
      <w:r>
        <w:rPr>
          <w:rFonts w:ascii="Arial" w:cs="Arial" w:eastAsia="Arial" w:hAnsi="Arial"/>
          <w:sz w:val="16"/>
          <w:szCs w:val="16"/>
          <w:u w:val="single" w:color="auto"/>
          <w:color w:val="0000E1"/>
        </w:rPr>
        <w:t>other than during the Basket Suspension</w:t>
      </w:r>
      <w:r>
        <w:rPr>
          <w:rFonts w:ascii="Arial" w:cs="Arial" w:eastAsia="Arial" w:hAnsi="Arial"/>
          <w:sz w:val="16"/>
          <w:szCs w:val="16"/>
          <w:color w:val="000000"/>
        </w:rPr>
        <w:t xml:space="preserve"> </w:t>
      </w:r>
      <w:r>
        <w:rPr>
          <w:rFonts w:ascii="Arial" w:cs="Arial" w:eastAsia="Arial" w:hAnsi="Arial"/>
          <w:sz w:val="16"/>
          <w:szCs w:val="16"/>
          <w:u w:val="single" w:color="auto"/>
          <w:color w:val="0000E1"/>
        </w:rPr>
        <w:t>Period,</w:t>
      </w:r>
      <w:r>
        <w:rPr>
          <w:rFonts w:ascii="Arial" w:cs="Arial" w:eastAsia="Arial" w:hAnsi="Arial"/>
          <w:sz w:val="16"/>
          <w:szCs w:val="16"/>
          <w:color w:val="0000E1"/>
        </w:rPr>
        <w:t xml:space="preserve"> </w:t>
      </w:r>
      <w:r>
        <w:rPr>
          <w:rFonts w:ascii="Arial" w:cs="Arial" w:eastAsia="Arial" w:hAnsi="Arial"/>
          <w:sz w:val="16"/>
          <w:szCs w:val="16"/>
          <w:color w:val="000000"/>
        </w:rPr>
        <w:t>so long as no Default or Event of Default has occurred and is continuing or would result therefrom, other payments, prepayments, redemptions</w:t>
      </w:r>
      <w:r>
        <w:rPr>
          <w:rFonts w:ascii="Arial" w:cs="Arial" w:eastAsia="Arial" w:hAnsi="Arial"/>
          <w:sz w:val="16"/>
          <w:szCs w:val="16"/>
          <w:color w:val="0000E1"/>
        </w:rPr>
        <w:t xml:space="preserve"> </w:t>
      </w:r>
      <w:r>
        <w:rPr>
          <w:rFonts w:ascii="Arial" w:cs="Arial" w:eastAsia="Arial" w:hAnsi="Arial"/>
          <w:sz w:val="16"/>
          <w:szCs w:val="16"/>
          <w:color w:val="000000"/>
        </w:rPr>
        <w:t xml:space="preserve">or distributions in an amount not to exceed $5,000,000 </w:t>
      </w:r>
      <w:r>
        <w:rPr>
          <w:rFonts w:ascii="Arial" w:cs="Arial" w:eastAsia="Arial" w:hAnsi="Arial"/>
          <w:sz w:val="16"/>
          <w:szCs w:val="16"/>
          <w:i w:val="1"/>
          <w:iCs w:val="1"/>
          <w:color w:val="000000"/>
        </w:rPr>
        <w:t>minus</w:t>
      </w:r>
      <w:r>
        <w:rPr>
          <w:rFonts w:ascii="Arial" w:cs="Arial" w:eastAsia="Arial" w:hAnsi="Arial"/>
          <w:sz w:val="16"/>
          <w:szCs w:val="16"/>
          <w:color w:val="000000"/>
        </w:rPr>
        <w:t xml:space="preserve"> any amounts allocated to make investments pursuant to </w:t>
      </w:r>
      <w:r>
        <w:rPr>
          <w:rFonts w:ascii="Arial" w:cs="Arial" w:eastAsia="Arial" w:hAnsi="Arial"/>
          <w:sz w:val="16"/>
          <w:szCs w:val="16"/>
          <w:u w:val="single" w:color="auto"/>
          <w:color w:val="000000"/>
        </w:rPr>
        <w:t>Section 8.9(n)(iv)</w:t>
      </w:r>
      <w:r>
        <w:rPr>
          <w:rFonts w:ascii="Arial" w:cs="Arial" w:eastAsia="Arial" w:hAnsi="Arial"/>
          <w:sz w:val="16"/>
          <w:szCs w:val="16"/>
          <w:color w:val="000000"/>
        </w:rPr>
        <w:t xml:space="preserve">, (vii) </w:t>
      </w:r>
      <w:r>
        <w:rPr>
          <w:rFonts w:ascii="Arial" w:cs="Arial" w:eastAsia="Arial" w:hAnsi="Arial"/>
          <w:sz w:val="16"/>
          <w:szCs w:val="16"/>
          <w:u w:val="single" w:color="auto"/>
          <w:color w:val="0000E1"/>
        </w:rPr>
        <w:t>other than</w:t>
      </w:r>
      <w:r>
        <w:rPr>
          <w:rFonts w:ascii="Arial" w:cs="Arial" w:eastAsia="Arial" w:hAnsi="Arial"/>
          <w:sz w:val="16"/>
          <w:szCs w:val="16"/>
          <w:color w:val="000000"/>
        </w:rPr>
        <w:t xml:space="preserve"> </w:t>
      </w:r>
      <w:r>
        <w:rPr>
          <w:rFonts w:ascii="Arial" w:cs="Arial" w:eastAsia="Arial" w:hAnsi="Arial"/>
          <w:sz w:val="16"/>
          <w:szCs w:val="16"/>
          <w:u w:val="single" w:color="auto"/>
          <w:color w:val="0000E1"/>
        </w:rPr>
        <w:t>during the Basket Suspension Period,</w:t>
      </w:r>
      <w:r>
        <w:rPr>
          <w:rFonts w:ascii="Arial" w:cs="Arial" w:eastAsia="Arial" w:hAnsi="Arial"/>
          <w:sz w:val="16"/>
          <w:szCs w:val="16"/>
          <w:color w:val="0000E1"/>
        </w:rPr>
        <w:t xml:space="preserve"> </w:t>
      </w:r>
      <w:r>
        <w:rPr>
          <w:rFonts w:ascii="Arial" w:cs="Arial" w:eastAsia="Arial" w:hAnsi="Arial"/>
          <w:sz w:val="16"/>
          <w:szCs w:val="16"/>
          <w:color w:val="000000"/>
        </w:rPr>
        <w:t>so long as no Event of Default has occurred and is continuing or would result therefrom, payments, prepayments,</w:t>
      </w:r>
      <w:r>
        <w:rPr>
          <w:rFonts w:ascii="Arial" w:cs="Arial" w:eastAsia="Arial" w:hAnsi="Arial"/>
          <w:sz w:val="16"/>
          <w:szCs w:val="16"/>
          <w:color w:val="0000E1"/>
        </w:rPr>
        <w:t xml:space="preserve"> </w:t>
      </w:r>
      <w:r>
        <w:rPr>
          <w:rFonts w:ascii="Arial" w:cs="Arial" w:eastAsia="Arial" w:hAnsi="Arial"/>
          <w:sz w:val="16"/>
          <w:szCs w:val="16"/>
          <w:color w:val="000000"/>
        </w:rPr>
        <w:t xml:space="preserve">redemptions or distributions in an amount not to exceed the Cumulative Credit as of such date and (viii) </w:t>
      </w:r>
      <w:r>
        <w:rPr>
          <w:rFonts w:ascii="Arial" w:cs="Arial" w:eastAsia="Arial" w:hAnsi="Arial"/>
          <w:sz w:val="16"/>
          <w:szCs w:val="16"/>
          <w:u w:val="single" w:color="auto"/>
          <w:color w:val="0000E1"/>
        </w:rPr>
        <w:t>other than during the Basket Suspension Period,</w:t>
      </w:r>
      <w:r>
        <w:rPr>
          <w:rFonts w:ascii="Arial" w:cs="Arial" w:eastAsia="Arial" w:hAnsi="Arial"/>
          <w:sz w:val="16"/>
          <w:szCs w:val="16"/>
          <w:color w:val="000000"/>
        </w:rPr>
        <w:t xml:space="preserve"> so long as the Total Leverage Ratio, determined on a Pro Forma Basis for the period of four consecutive fiscal quarters most recently ended for which financial statements are available, would not exceed 2.50:1.00;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-970915</wp:posOffset>
            </wp:positionV>
            <wp:extent cx="2202815"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2202815" cy="8890"/>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-833755</wp:posOffset>
            </wp:positionV>
            <wp:extent cx="186880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868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-696595</wp:posOffset>
            </wp:positionV>
            <wp:extent cx="32575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-559435</wp:posOffset>
            </wp:positionV>
            <wp:extent cx="462915"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-422275</wp:posOffset>
            </wp:positionV>
            <wp:extent cx="171450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-285115</wp:posOffset>
            </wp:positionV>
            <wp:extent cx="222885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980"/>
          </w:cols>
          <w:pgMar w:left="440" w:top="274" w:right="479" w:bottom="1440" w:gutter="0" w:footer="0" w:header="0"/>
        </w:sectPr>
      </w:pPr>
    </w:p>
    <w:bookmarkStart w:id="180" w:name="page181"/>
    <w:bookmarkEnd w:id="180"/>
    <w:p>
      <w:pPr>
        <w:jc w:val="both"/>
        <w:ind w:right="460" w:firstLine="987"/>
        <w:spacing w:after="0" w:line="263" w:lineRule="auto"/>
        <w:tabs>
          <w:tab w:leader="none" w:pos="1371"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 to any amendment, restatement, supplement or other modification to, or waiver of, any of its organization documents in a manner that is materially adverse to the interests of the Lenders after the Closing Date without obtaining the prior written consent of the Required Lenders to such amendment, restatement, supplement or other modification or waiver.</w:t>
      </w:r>
    </w:p>
    <w:p>
      <w:pPr>
        <w:spacing w:after="0" w:line="29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8.22</w:t>
      </w:r>
      <w:r>
        <w:rPr>
          <w:sz w:val="20"/>
          <w:szCs w:val="20"/>
          <w:color w:val="auto"/>
        </w:rPr>
        <w:tab/>
      </w:r>
      <w:r>
        <w:rPr>
          <w:rFonts w:ascii="Arial" w:cs="Arial" w:eastAsia="Arial" w:hAnsi="Arial"/>
          <w:sz w:val="16"/>
          <w:szCs w:val="16"/>
          <w:color w:val="auto"/>
        </w:rPr>
        <w:t>Financial Covenants</w:t>
      </w:r>
      <w:r>
        <w:rPr>
          <w:rFonts w:ascii="Arial" w:cs="Arial" w:eastAsia="Arial" w:hAnsi="Arial"/>
          <w:sz w:val="16"/>
          <w:szCs w:val="16"/>
          <w:color w:val="FF0000"/>
          <w:strike w:val="1"/>
        </w:rPr>
        <w:t>(a)</w:t>
      </w:r>
      <w:r>
        <w:rPr>
          <w:rFonts w:ascii="Arial" w:cs="Arial" w:eastAsia="Arial" w:hAnsi="Arial"/>
          <w:sz w:val="16"/>
          <w:szCs w:val="16"/>
          <w:color w:val="auto"/>
        </w:rPr>
        <w:t xml:space="preserve"> . </w:t>
      </w:r>
      <w:r>
        <w:rPr>
          <w:rFonts w:ascii="Arial" w:cs="Arial" w:eastAsia="Arial" w:hAnsi="Arial"/>
          <w:sz w:val="16"/>
          <w:szCs w:val="16"/>
          <w:color w:val="FF0000"/>
          <w:strike w:val="1"/>
        </w:rPr>
        <w:t>(a)</w:t>
      </w:r>
    </w:p>
    <w:p>
      <w:pPr>
        <w:spacing w:after="0" w:line="117" w:lineRule="exact"/>
        <w:rPr>
          <w:sz w:val="20"/>
          <w:szCs w:val="20"/>
          <w:color w:val="auto"/>
        </w:rPr>
      </w:pPr>
    </w:p>
    <w:p>
      <w:pPr>
        <w:ind w:firstLine="987"/>
        <w:spacing w:after="0" w:line="311" w:lineRule="auto"/>
        <w:tabs>
          <w:tab w:leader="none" w:pos="1406" w:val="left"/>
        </w:tabs>
        <w:numPr>
          <w:ilvl w:val="0"/>
          <w:numId w:val="225"/>
        </w:numPr>
        <w:rPr>
          <w:rFonts w:ascii="Arial" w:cs="Arial" w:eastAsia="Arial" w:hAnsi="Arial"/>
          <w:sz w:val="16"/>
          <w:szCs w:val="16"/>
          <w:u w:val="single" w:color="auto"/>
          <w:color w:val="0000E1"/>
        </w:rPr>
      </w:pPr>
      <w:r>
        <w:rPr>
          <w:rFonts w:ascii="Arial" w:cs="Arial" w:eastAsia="Arial" w:hAnsi="Arial"/>
          <w:sz w:val="16"/>
          <w:szCs w:val="16"/>
          <w:color w:val="auto"/>
        </w:rPr>
        <w:t xml:space="preserve">As of the last day of each fiscal quarter of the Borrower (commencing with the third fiscal quarter of Fiscal Year 2017), the Borrower shall not permit the Total Leverage Ratio to be greater than 3.50:1.00. </w:t>
      </w:r>
      <w:r>
        <w:rPr>
          <w:rFonts w:ascii="Arial" w:cs="Arial" w:eastAsia="Arial" w:hAnsi="Arial"/>
          <w:sz w:val="16"/>
          <w:szCs w:val="16"/>
          <w:u w:val="single" w:color="auto"/>
          <w:color w:val="0000E1"/>
        </w:rPr>
        <w:t>Notwithstanding the foregoing the Total Leverage Ratio covenant set forth above</w:t>
      </w:r>
      <w:r>
        <w:rPr>
          <w:rFonts w:ascii="Arial" w:cs="Arial" w:eastAsia="Arial" w:hAnsi="Arial"/>
          <w:sz w:val="16"/>
          <w:szCs w:val="16"/>
          <w:color w:val="auto"/>
        </w:rPr>
        <w:t xml:space="preserve"> </w:t>
      </w:r>
      <w:r>
        <w:rPr>
          <w:rFonts w:ascii="Arial" w:cs="Arial" w:eastAsia="Arial" w:hAnsi="Arial"/>
          <w:sz w:val="16"/>
          <w:szCs w:val="16"/>
          <w:u w:val="single" w:color="auto"/>
          <w:color w:val="0000E1"/>
        </w:rPr>
        <w:t>shall not be tested as of the last day of the fiscal quarters of the Borrower ending May 3, 2020, August 2, 2020 and November 1, 2020.</w:t>
      </w:r>
    </w:p>
    <w:p>
      <w:pPr>
        <w:spacing w:after="0" w:line="148" w:lineRule="exact"/>
        <w:rPr>
          <w:rFonts w:ascii="Arial" w:cs="Arial" w:eastAsia="Arial" w:hAnsi="Arial"/>
          <w:sz w:val="16"/>
          <w:szCs w:val="16"/>
          <w:u w:val="single" w:color="auto"/>
          <w:color w:val="0000E1"/>
        </w:rPr>
      </w:pPr>
    </w:p>
    <w:p>
      <w:pPr>
        <w:ind w:right="20" w:firstLine="987"/>
        <w:spacing w:after="0" w:line="311" w:lineRule="auto"/>
        <w:tabs>
          <w:tab w:leader="none" w:pos="1371"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As of the last day of each fiscal quarter of the Borrower (commencing with the third fiscal quarter of Fiscal Year 2017), the Borrower shall not permit the Fixed Charge Coverage Ratio to be less than 1.25:1.00. </w:t>
      </w:r>
      <w:r>
        <w:rPr>
          <w:rFonts w:ascii="Arial" w:cs="Arial" w:eastAsia="Arial" w:hAnsi="Arial"/>
          <w:sz w:val="16"/>
          <w:szCs w:val="16"/>
          <w:u w:val="single" w:color="auto"/>
          <w:color w:val="0000E1"/>
        </w:rPr>
        <w:t>Notwithstanding the foregoing the Fixed Charge Coverage Ratio covenant</w:t>
      </w:r>
      <w:r>
        <w:rPr>
          <w:rFonts w:ascii="Arial" w:cs="Arial" w:eastAsia="Arial" w:hAnsi="Arial"/>
          <w:sz w:val="16"/>
          <w:szCs w:val="16"/>
          <w:color w:val="auto"/>
        </w:rPr>
        <w:t xml:space="preserve"> </w:t>
      </w:r>
      <w:r>
        <w:rPr>
          <w:rFonts w:ascii="Arial" w:cs="Arial" w:eastAsia="Arial" w:hAnsi="Arial"/>
          <w:sz w:val="16"/>
          <w:szCs w:val="16"/>
          <w:u w:val="single" w:color="auto"/>
          <w:color w:val="0000E1"/>
        </w:rPr>
        <w:t>set forth above shall not be tested as of the last day of the fiscal quarters of the Borrower ending May 3, 2020, August 2, 2020 and November 1, 2020.</w:t>
      </w:r>
    </w:p>
    <w:p>
      <w:pPr>
        <w:spacing w:after="0" w:line="148" w:lineRule="exact"/>
        <w:rPr>
          <w:rFonts w:ascii="Arial" w:cs="Arial" w:eastAsia="Arial" w:hAnsi="Arial"/>
          <w:sz w:val="16"/>
          <w:szCs w:val="16"/>
          <w:color w:val="auto"/>
        </w:rPr>
      </w:pPr>
    </w:p>
    <w:p>
      <w:pPr>
        <w:ind w:right="740" w:firstLine="987"/>
        <w:spacing w:after="0" w:line="277" w:lineRule="auto"/>
        <w:tabs>
          <w:tab w:leader="none" w:pos="1371" w:val="left"/>
        </w:tabs>
        <w:numPr>
          <w:ilvl w:val="0"/>
          <w:numId w:val="225"/>
        </w:numPr>
        <w:rPr>
          <w:rFonts w:ascii="Arial" w:cs="Arial" w:eastAsia="Arial" w:hAnsi="Arial"/>
          <w:sz w:val="18"/>
          <w:szCs w:val="18"/>
          <w:u w:val="single" w:color="auto"/>
          <w:color w:val="0000E1"/>
        </w:rPr>
      </w:pPr>
      <w:r>
        <w:rPr>
          <w:rFonts w:ascii="Arial" w:cs="Arial" w:eastAsia="Arial" w:hAnsi="Arial"/>
          <w:sz w:val="18"/>
          <w:szCs w:val="18"/>
          <w:u w:val="single" w:color="auto"/>
          <w:color w:val="0000E1"/>
        </w:rPr>
        <w:t>The Borrower shall not permit the Liquidity Amount to be less than $30,000,000 at any time during the Financial Covenant Suspension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-1245235</wp:posOffset>
            </wp:positionV>
            <wp:extent cx="128905"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-1108075</wp:posOffset>
            </wp:positionV>
            <wp:extent cx="373761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37376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-970915</wp:posOffset>
            </wp:positionV>
            <wp:extent cx="6146165"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6146165" cy="8890"/>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-559435</wp:posOffset>
            </wp:positionV>
            <wp:extent cx="34290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34290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-422275</wp:posOffset>
            </wp:positionV>
            <wp:extent cx="684911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-147955</wp:posOffset>
            </wp:positionV>
            <wp:extent cx="588899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58889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87439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150"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Section 8.23 </w:t>
      </w:r>
      <w:r>
        <w:rPr>
          <w:rFonts w:ascii="Arial" w:cs="Arial" w:eastAsia="Arial" w:hAnsi="Arial"/>
          <w:sz w:val="16"/>
          <w:szCs w:val="16"/>
          <w:i w:val="1"/>
          <w:iCs w:val="1"/>
          <w:color w:val="auto"/>
        </w:rPr>
        <w:t>Holdings.</w:t>
      </w:r>
      <w:r>
        <w:rPr>
          <w:rFonts w:ascii="Arial" w:cs="Arial" w:eastAsia="Arial" w:hAnsi="Arial"/>
          <w:sz w:val="16"/>
          <w:szCs w:val="16"/>
          <w:color w:val="auto"/>
        </w:rPr>
        <w:t xml:space="preserve"> Holdings shall not (a) create, incur, assume or suffer to exist any Liens on any Equity Interests of the Borrower (other than Liens of the type permitted by (x) </w:t>
      </w:r>
      <w:r>
        <w:rPr>
          <w:rFonts w:ascii="Arial" w:cs="Arial" w:eastAsia="Arial" w:hAnsi="Arial"/>
          <w:sz w:val="16"/>
          <w:szCs w:val="16"/>
          <w:u w:val="single" w:color="auto"/>
          <w:color w:val="auto"/>
        </w:rPr>
        <w:t>Section 8.8(h)</w:t>
      </w:r>
      <w:r>
        <w:rPr>
          <w:rFonts w:ascii="Arial" w:cs="Arial" w:eastAsia="Arial" w:hAnsi="Arial"/>
          <w:sz w:val="16"/>
          <w:szCs w:val="16"/>
          <w:color w:val="auto"/>
        </w:rPr>
        <w:t xml:space="preserve"> (but solely to the extent such Liens secure indebtedness and other obligations incurred pursuant to, and subject to the restrictions under, </w:t>
      </w:r>
      <w:r>
        <w:rPr>
          <w:rFonts w:ascii="Arial" w:cs="Arial" w:eastAsia="Arial" w:hAnsi="Arial"/>
          <w:sz w:val="16"/>
          <w:szCs w:val="16"/>
          <w:u w:val="single" w:color="auto"/>
          <w:color w:val="auto"/>
        </w:rPr>
        <w:t>Section</w:t>
      </w:r>
      <w:r>
        <w:rPr>
          <w:rFonts w:ascii="Arial" w:cs="Arial" w:eastAsia="Arial" w:hAnsi="Arial"/>
          <w:sz w:val="16"/>
          <w:szCs w:val="16"/>
          <w:u w:val="single" w:color="auto"/>
          <w:color w:val="0000E1"/>
        </w:rPr>
        <w:t>s</w:t>
      </w:r>
      <w:r>
        <w:rPr>
          <w:rFonts w:ascii="Arial" w:cs="Arial" w:eastAsia="Arial" w:hAnsi="Arial"/>
          <w:sz w:val="16"/>
          <w:szCs w:val="16"/>
          <w:color w:val="auto"/>
        </w:rPr>
        <w:t xml:space="preserve"> 8.7(a) and </w:t>
      </w:r>
      <w:r>
        <w:rPr>
          <w:rFonts w:ascii="Arial" w:cs="Arial" w:eastAsia="Arial" w:hAnsi="Arial"/>
          <w:sz w:val="16"/>
          <w:szCs w:val="16"/>
          <w:u w:val="single" w:color="auto"/>
          <w:color w:val="auto"/>
        </w:rPr>
        <w:t>8.7(o)</w:t>
      </w:r>
      <w:r>
        <w:rPr>
          <w:rFonts w:ascii="Arial" w:cs="Arial" w:eastAsia="Arial" w:hAnsi="Arial"/>
          <w:sz w:val="16"/>
          <w:szCs w:val="16"/>
          <w:color w:val="auto"/>
        </w:rPr>
        <w:t xml:space="preserve">) and (y) </w:t>
      </w:r>
      <w:r>
        <w:rPr>
          <w:rFonts w:ascii="Arial" w:cs="Arial" w:eastAsia="Arial" w:hAnsi="Arial"/>
          <w:sz w:val="16"/>
          <w:szCs w:val="16"/>
          <w:u w:val="single" w:color="auto"/>
          <w:color w:val="auto"/>
        </w:rPr>
        <w:t>Section 8.8(y)</w:t>
      </w:r>
      <w:r>
        <w:rPr>
          <w:rFonts w:ascii="Arial" w:cs="Arial" w:eastAsia="Arial" w:hAnsi="Arial"/>
          <w:sz w:val="16"/>
          <w:szCs w:val="16"/>
          <w:color w:val="auto"/>
        </w:rPr>
        <w:t xml:space="preserve"> and nonconsensual Liens of the type otherwise permitted under </w:t>
      </w:r>
      <w:r>
        <w:rPr>
          <w:rFonts w:ascii="Arial" w:cs="Arial" w:eastAsia="Arial" w:hAnsi="Arial"/>
          <w:sz w:val="16"/>
          <w:szCs w:val="16"/>
          <w:u w:val="single" w:color="auto"/>
          <w:color w:val="auto"/>
        </w:rPr>
        <w:t>Section 8.8</w:t>
      </w:r>
      <w:r>
        <w:rPr>
          <w:rFonts w:ascii="Arial" w:cs="Arial" w:eastAsia="Arial" w:hAnsi="Arial"/>
          <w:sz w:val="16"/>
          <w:szCs w:val="16"/>
          <w:color w:val="auto"/>
        </w:rPr>
        <w:t xml:space="preserve">), or (b) conduct or engage in any operations or business or incur any indebtedness other than (i) those incidental to its ownership of the Equity Interests of the Borrower, (ii) the maintenance of its legal existence and good standing, (iii) entering into and performing its obligations under the Loan Documents and any Permitted Refinancing thereof, (iv) any public offering or other issuance of its Equity Interests to the extent not triggering a Change of Control, (v) any transaction that Holdings is expressly permitted or contemplated to enter into or consummate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(vi) guaranteeing the obligations of its Restricted Subsidiaries permitted hereunder, including under the Loan Documents or any Permitted Refinancing thereof, (vii) participating in tax, accounting and other administrative matters as a member of the consolidated, combined, unitary or similar group that includes Holdings and the Borrower, (viii) holding any cash or property received in connection with Restricted Payments made by the Borrower and its Restricted Subsidiaries pursuant to </w:t>
      </w:r>
      <w:r>
        <w:rPr>
          <w:rFonts w:ascii="Arial" w:cs="Arial" w:eastAsia="Arial" w:hAnsi="Arial"/>
          <w:sz w:val="16"/>
          <w:szCs w:val="16"/>
          <w:u w:val="single" w:color="auto"/>
          <w:color w:val="auto"/>
        </w:rPr>
        <w:t>Section 8.12</w:t>
      </w:r>
      <w:r>
        <w:rPr>
          <w:rFonts w:ascii="Arial" w:cs="Arial" w:eastAsia="Arial" w:hAnsi="Arial"/>
          <w:sz w:val="16"/>
          <w:szCs w:val="16"/>
          <w:color w:val="auto"/>
        </w:rPr>
        <w:t xml:space="preserve"> or by its Unrestricted Subsidiaries or contributions to its capital or in exchange for the sale or issuance of Equity Interests, (ix) providing indemnification to directors, officers, employees, members of management and consultants and (x) any activities incidental to any of the foregoing. </w:t>
      </w:r>
      <w:r>
        <w:rPr>
          <w:rFonts w:ascii="Arial" w:cs="Arial" w:eastAsia="Arial" w:hAnsi="Arial"/>
          <w:sz w:val="16"/>
          <w:szCs w:val="16"/>
          <w:color w:val="FF0000"/>
          <w:strike w:val="1"/>
        </w:rPr>
        <w:t>If</w:t>
      </w:r>
      <w:r>
        <w:rPr>
          <w:rFonts w:ascii="Arial" w:cs="Arial" w:eastAsia="Arial" w:hAnsi="Arial"/>
          <w:sz w:val="16"/>
          <w:szCs w:val="16"/>
          <w:u w:val="single" w:color="auto"/>
          <w:color w:val="0000E1"/>
        </w:rPr>
        <w:t>Other than during the Basket Suspension Period, if</w:t>
      </w:r>
      <w:r>
        <w:rPr>
          <w:rFonts w:ascii="Arial" w:cs="Arial" w:eastAsia="Arial" w:hAnsi="Arial"/>
          <w:sz w:val="16"/>
          <w:szCs w:val="16"/>
          <w:color w:val="auto"/>
        </w:rPr>
        <w:t xml:space="preserve"> no Default exists or would result therefrom, Holdings may merge or consolidate with any other Person; provided, that (x) Holdings shall be the continuing or surviving corporation or (y) if the Person formed by or surviving any such merger or consolidation is not Holdings (any such Person, the “</w:t>
      </w:r>
      <w:r>
        <w:rPr>
          <w:rFonts w:ascii="Arial" w:cs="Arial" w:eastAsia="Arial" w:hAnsi="Arial"/>
          <w:sz w:val="16"/>
          <w:szCs w:val="16"/>
          <w:i w:val="1"/>
          <w:iCs w:val="1"/>
          <w:color w:val="auto"/>
        </w:rPr>
        <w:t>Successor Holdings</w:t>
      </w:r>
      <w:r>
        <w:rPr>
          <w:rFonts w:ascii="Arial" w:cs="Arial" w:eastAsia="Arial" w:hAnsi="Arial"/>
          <w:sz w:val="16"/>
          <w:szCs w:val="16"/>
          <w:color w:val="auto"/>
        </w:rPr>
        <w:t xml:space="preserve">”), (A) the Successor Holdings shall (1) be an entity organized or existing under the laws of the United States, any state thereof, the District of Columbia or any territory thereof and (2) at the time such entity becomes the Successor Holdings, would comply with the requirements of this </w:t>
      </w:r>
      <w:r>
        <w:rPr>
          <w:rFonts w:ascii="Arial" w:cs="Arial" w:eastAsia="Arial" w:hAnsi="Arial"/>
          <w:sz w:val="16"/>
          <w:szCs w:val="16"/>
          <w:u w:val="single" w:color="auto"/>
          <w:color w:val="auto"/>
        </w:rPr>
        <w:t>Section 8.23</w:t>
      </w:r>
      <w:r>
        <w:rPr>
          <w:rFonts w:ascii="Arial" w:cs="Arial" w:eastAsia="Arial" w:hAnsi="Arial"/>
          <w:sz w:val="16"/>
          <w:szCs w:val="16"/>
          <w:color w:val="auto"/>
        </w:rPr>
        <w:t xml:space="preserve"> as if they had applied to the Successor Holdings immediately prior to such time and (B) the Successor Holdings shall expressly assume all the obligations of Holdings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-2067560</wp:posOffset>
            </wp:positionV>
            <wp:extent cx="4318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-2101850</wp:posOffset>
            </wp:positionV>
            <wp:extent cx="29845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298450" cy="825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-1047115</wp:posOffset>
            </wp:positionV>
            <wp:extent cx="2857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-695960</wp:posOffset>
            </wp:positionV>
            <wp:extent cx="232283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00"/>
          </w:cols>
          <w:pgMar w:left="440" w:top="274" w:right="459" w:bottom="1440" w:gutter="0" w:footer="0" w:header="0"/>
        </w:sectPr>
      </w:pPr>
    </w:p>
    <w:bookmarkStart w:id="181" w:name="page182"/>
    <w:bookmarkEnd w:id="181"/>
    <w:p>
      <w:pPr>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Agreement and the other Loan Documents to which Holdings is a party pursuant to a supplement hereto or thereto in form reasonably satisfactory to the Administrative Agent; provided, further</w:t>
      </w:r>
      <w:r>
        <w:rPr>
          <w:rFonts w:ascii="Arial" w:cs="Arial" w:eastAsia="Arial" w:hAnsi="Arial"/>
          <w:sz w:val="18"/>
          <w:szCs w:val="18"/>
          <w:u w:val="single" w:color="auto"/>
          <w:color w:val="0000E1"/>
        </w:rPr>
        <w:t>,</w:t>
      </w:r>
      <w:r>
        <w:rPr>
          <w:rFonts w:ascii="Arial" w:cs="Arial" w:eastAsia="Arial" w:hAnsi="Arial"/>
          <w:sz w:val="18"/>
          <w:szCs w:val="18"/>
          <w:color w:val="auto"/>
        </w:rPr>
        <w:t xml:space="preserve"> that if the foregoing are satisfied, the Successor Holdings will succeed to, and be substituted for, Holdings under this Agreement and the other Loan Documents to which it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1997075</wp:posOffset>
            </wp:positionH>
            <wp:positionV relativeFrom="paragraph">
              <wp:posOffset>-139700</wp:posOffset>
            </wp:positionV>
            <wp:extent cx="2540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64"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 xml:space="preserve">Section 8.24 </w:t>
      </w:r>
      <w:r>
        <w:rPr>
          <w:rFonts w:ascii="Arial" w:cs="Arial" w:eastAsia="Arial" w:hAnsi="Arial"/>
          <w:sz w:val="18"/>
          <w:szCs w:val="18"/>
          <w:i w:val="1"/>
          <w:iCs w:val="1"/>
          <w:color w:val="auto"/>
        </w:rPr>
        <w:t>Anti-Corruption Laws</w:t>
      </w:r>
      <w:r>
        <w:rPr>
          <w:rFonts w:ascii="Arial" w:cs="Arial" w:eastAsia="Arial" w:hAnsi="Arial"/>
          <w:sz w:val="18"/>
          <w:szCs w:val="18"/>
          <w:color w:val="auto"/>
        </w:rPr>
        <w:t>. The Borrower shall not use any part of the proceeds of the Loans,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FCPA.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-353695</wp:posOffset>
            </wp:positionV>
            <wp:extent cx="28575"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72" w:lineRule="exact"/>
        <w:rPr>
          <w:sz w:val="20"/>
          <w:szCs w:val="20"/>
          <w:color w:val="auto"/>
        </w:rPr>
      </w:pPr>
    </w:p>
    <w:p>
      <w:pPr>
        <w:ind w:left="4"/>
        <w:spacing w:after="0"/>
        <w:tabs>
          <w:tab w:leader="none" w:pos="1104" w:val="left"/>
        </w:tabs>
        <w:rPr>
          <w:sz w:val="20"/>
          <w:szCs w:val="20"/>
          <w:color w:val="auto"/>
        </w:rPr>
      </w:pPr>
      <w:r>
        <w:rPr>
          <w:rFonts w:ascii="Arial" w:cs="Arial" w:eastAsia="Arial" w:hAnsi="Arial"/>
          <w:sz w:val="18"/>
          <w:szCs w:val="18"/>
          <w:color w:val="auto"/>
        </w:rPr>
        <w:t>SECTION 9.</w:t>
        <w:tab/>
        <w:t>E</w:t>
      </w:r>
      <w:r>
        <w:rPr>
          <w:rFonts w:ascii="Arial" w:cs="Arial" w:eastAsia="Arial" w:hAnsi="Arial"/>
          <w:sz w:val="14"/>
          <w:szCs w:val="14"/>
          <w:color w:val="auto"/>
        </w:rPr>
        <w:t>VENTS OF</w:t>
      </w:r>
      <w:r>
        <w:rPr>
          <w:rFonts w:ascii="Arial" w:cs="Arial" w:eastAsia="Arial" w:hAnsi="Arial"/>
          <w:sz w:val="18"/>
          <w:szCs w:val="18"/>
          <w:color w:val="auto"/>
        </w:rPr>
        <w:t xml:space="preserve"> D</w:t>
      </w:r>
      <w:r>
        <w:rPr>
          <w:rFonts w:ascii="Arial" w:cs="Arial" w:eastAsia="Arial" w:hAnsi="Arial"/>
          <w:sz w:val="14"/>
          <w:szCs w:val="14"/>
          <w:color w:val="auto"/>
        </w:rPr>
        <w:t>EFAULT AND</w:t>
      </w:r>
      <w:r>
        <w:rPr>
          <w:rFonts w:ascii="Arial" w:cs="Arial" w:eastAsia="Arial" w:hAnsi="Arial"/>
          <w:sz w:val="18"/>
          <w:szCs w:val="18"/>
          <w:color w:val="auto"/>
        </w:rPr>
        <w:t xml:space="preserve"> R</w:t>
      </w:r>
      <w:r>
        <w:rPr>
          <w:rFonts w:ascii="Arial" w:cs="Arial" w:eastAsia="Arial" w:hAnsi="Arial"/>
          <w:sz w:val="14"/>
          <w:szCs w:val="14"/>
          <w:color w:val="auto"/>
        </w:rPr>
        <w:t>EMEDIES</w:t>
      </w:r>
      <w:r>
        <w:rPr>
          <w:rFonts w:ascii="Arial" w:cs="Arial" w:eastAsia="Arial" w:hAnsi="Arial"/>
          <w:sz w:val="18"/>
          <w:szCs w:val="18"/>
          <w:color w:val="auto"/>
        </w:rPr>
        <w:t>.</w:t>
      </w:r>
    </w:p>
    <w:p>
      <w:pPr>
        <w:spacing w:after="0" w:line="117" w:lineRule="exact"/>
        <w:rPr>
          <w:sz w:val="20"/>
          <w:szCs w:val="20"/>
          <w:color w:val="auto"/>
        </w:rPr>
      </w:pPr>
    </w:p>
    <w:p>
      <w:pPr>
        <w:ind w:left="444"/>
        <w:spacing w:after="0"/>
        <w:tabs>
          <w:tab w:leader="none" w:pos="1404"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i w:val="1"/>
          <w:iCs w:val="1"/>
          <w:color w:val="auto"/>
        </w:rPr>
        <w:t xml:space="preserve">Events of Default. </w:t>
      </w:r>
      <w:r>
        <w:rPr>
          <w:rFonts w:ascii="Arial" w:cs="Arial" w:eastAsia="Arial" w:hAnsi="Arial"/>
          <w:sz w:val="16"/>
          <w:szCs w:val="16"/>
          <w:color w:val="auto"/>
        </w:rPr>
        <w:t>Any one or more of the following shall constitute an “</w:t>
      </w:r>
      <w:r>
        <w:rPr>
          <w:rFonts w:ascii="Arial" w:cs="Arial" w:eastAsia="Arial" w:hAnsi="Arial"/>
          <w:sz w:val="16"/>
          <w:szCs w:val="16"/>
          <w:i w:val="1"/>
          <w:iCs w:val="1"/>
          <w:color w:val="auto"/>
        </w:rPr>
        <w:t>Event of Default</w:t>
      </w:r>
      <w:r>
        <w:rPr>
          <w:rFonts w:ascii="Arial" w:cs="Arial" w:eastAsia="Arial" w:hAnsi="Arial"/>
          <w:sz w:val="16"/>
          <w:szCs w:val="16"/>
          <w:color w:val="auto"/>
        </w:rPr>
        <w: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1729740</wp:posOffset>
            </wp:positionH>
            <wp:positionV relativeFrom="paragraph">
              <wp:posOffset>-53340</wp:posOffset>
            </wp:positionV>
            <wp:extent cx="28575"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ind w:left="4" w:right="200" w:firstLine="987"/>
        <w:spacing w:after="0" w:line="263" w:lineRule="auto"/>
        <w:tabs>
          <w:tab w:leader="none" w:pos="1375" w:val="left"/>
        </w:tabs>
        <w:numPr>
          <w:ilvl w:val="1"/>
          <w:numId w:val="226"/>
        </w:numPr>
        <w:rPr>
          <w:rFonts w:ascii="Arial" w:cs="Arial" w:eastAsia="Arial" w:hAnsi="Arial"/>
          <w:sz w:val="18"/>
          <w:szCs w:val="18"/>
          <w:color w:val="auto"/>
        </w:rPr>
      </w:pPr>
      <w:r>
        <w:rPr>
          <w:rFonts w:ascii="Arial" w:cs="Arial" w:eastAsia="Arial" w:hAnsi="Arial"/>
          <w:sz w:val="18"/>
          <w:szCs w:val="18"/>
          <w:color w:val="auto"/>
        </w:rPr>
        <w:t>default by any Loan Party in the payment when due of all or any part of the principal of any Loan (whether at the stated maturity thereof or at any other time provided for in this Agreement), or default for a period of five (5) Business Days in the payment when due of interest, any fee or other amount payable hereunder or under any other Loan Document;</w:t>
      </w:r>
    </w:p>
    <w:p>
      <w:pPr>
        <w:spacing w:after="0" w:line="183" w:lineRule="exact"/>
        <w:rPr>
          <w:rFonts w:ascii="Arial" w:cs="Arial" w:eastAsia="Arial" w:hAnsi="Arial"/>
          <w:sz w:val="18"/>
          <w:szCs w:val="18"/>
          <w:color w:val="auto"/>
        </w:rPr>
      </w:pPr>
    </w:p>
    <w:p>
      <w:pPr>
        <w:ind w:left="4" w:firstLine="987"/>
        <w:spacing w:after="0" w:line="287" w:lineRule="auto"/>
        <w:tabs>
          <w:tab w:leader="none" w:pos="1385" w:val="left"/>
        </w:tabs>
        <w:numPr>
          <w:ilvl w:val="1"/>
          <w:numId w:val="226"/>
        </w:numPr>
        <w:rPr>
          <w:rFonts w:ascii="Arial" w:cs="Arial" w:eastAsia="Arial" w:hAnsi="Arial"/>
          <w:sz w:val="16"/>
          <w:szCs w:val="16"/>
          <w:color w:val="auto"/>
        </w:rPr>
      </w:pPr>
      <w:r>
        <w:rPr>
          <w:rFonts w:ascii="Arial" w:cs="Arial" w:eastAsia="Arial" w:hAnsi="Arial"/>
          <w:sz w:val="16"/>
          <w:szCs w:val="16"/>
          <w:u w:val="single" w:color="auto"/>
          <w:color w:val="0000E1"/>
        </w:rPr>
        <w:t>(i )</w:t>
      </w:r>
      <w:r>
        <w:rPr>
          <w:rFonts w:ascii="Arial" w:cs="Arial" w:eastAsia="Arial" w:hAnsi="Arial"/>
          <w:sz w:val="16"/>
          <w:szCs w:val="16"/>
          <w:color w:val="0000E1"/>
        </w:rPr>
        <w:t xml:space="preserve"> </w:t>
      </w:r>
      <w:r>
        <w:rPr>
          <w:rFonts w:ascii="Arial" w:cs="Arial" w:eastAsia="Arial" w:hAnsi="Arial"/>
          <w:sz w:val="16"/>
          <w:szCs w:val="16"/>
          <w:color w:val="000000"/>
        </w:rPr>
        <w:t>default by any Loan Party in the observance or performance of any covenant set forth in</w:t>
      </w:r>
      <w:r>
        <w:rPr>
          <w:rFonts w:ascii="Arial" w:cs="Arial" w:eastAsia="Arial" w:hAnsi="Arial"/>
          <w:sz w:val="16"/>
          <w:szCs w:val="16"/>
          <w:color w:val="0000E1"/>
        </w:rPr>
        <w:t xml:space="preserve"> </w:t>
      </w:r>
      <w:r>
        <w:rPr>
          <w:rFonts w:ascii="Arial" w:cs="Arial" w:eastAsia="Arial" w:hAnsi="Arial"/>
          <w:sz w:val="16"/>
          <w:szCs w:val="16"/>
          <w:u w:val="single" w:color="auto"/>
          <w:color w:val="000000"/>
        </w:rPr>
        <w:t>Sections 8.1</w:t>
      </w:r>
      <w:r>
        <w:rPr>
          <w:rFonts w:ascii="Arial" w:cs="Arial" w:eastAsia="Arial" w:hAnsi="Arial"/>
          <w:sz w:val="16"/>
          <w:szCs w:val="16"/>
          <w:color w:val="0000E1"/>
        </w:rPr>
        <w:t xml:space="preserve"> </w:t>
      </w:r>
      <w:r>
        <w:rPr>
          <w:rFonts w:ascii="Arial" w:cs="Arial" w:eastAsia="Arial" w:hAnsi="Arial"/>
          <w:sz w:val="16"/>
          <w:szCs w:val="16"/>
          <w:color w:val="000000"/>
        </w:rPr>
        <w:t>(with respect to the</w:t>
      </w:r>
      <w:r>
        <w:rPr>
          <w:rFonts w:ascii="Arial" w:cs="Arial" w:eastAsia="Arial" w:hAnsi="Arial"/>
          <w:sz w:val="16"/>
          <w:szCs w:val="16"/>
          <w:color w:val="0000E1"/>
        </w:rPr>
        <w:t xml:space="preserve"> </w:t>
      </w:r>
      <w:r>
        <w:rPr>
          <w:rFonts w:ascii="Arial" w:cs="Arial" w:eastAsia="Arial" w:hAnsi="Arial"/>
          <w:sz w:val="16"/>
          <w:szCs w:val="16"/>
          <w:color w:val="000000"/>
        </w:rPr>
        <w:t xml:space="preserve">organizational existence of the Borrower), </w:t>
      </w:r>
      <w:r>
        <w:rPr>
          <w:rFonts w:ascii="Arial" w:cs="Arial" w:eastAsia="Arial" w:hAnsi="Arial"/>
          <w:sz w:val="16"/>
          <w:szCs w:val="16"/>
          <w:u w:val="single" w:color="auto"/>
          <w:color w:val="000000"/>
        </w:rPr>
        <w:t>8.5(e)(ii)</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8.7</w:t>
      </w:r>
      <w:r>
        <w:rPr>
          <w:rFonts w:ascii="Arial" w:cs="Arial" w:eastAsia="Arial" w:hAnsi="Arial"/>
          <w:sz w:val="16"/>
          <w:szCs w:val="16"/>
          <w:color w:val="000000"/>
        </w:rPr>
        <w:t xml:space="preserve"> through (and including) </w:t>
      </w:r>
      <w:r>
        <w:rPr>
          <w:rFonts w:ascii="Arial" w:cs="Arial" w:eastAsia="Arial" w:hAnsi="Arial"/>
          <w:sz w:val="16"/>
          <w:szCs w:val="16"/>
          <w:u w:val="single" w:color="auto"/>
          <w:color w:val="000000"/>
        </w:rPr>
        <w:t>8.10</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8.12</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8.15</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8.16</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8.18</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8.20</w:t>
      </w:r>
      <w:r>
        <w:rPr>
          <w:rFonts w:ascii="Arial" w:cs="Arial" w:eastAsia="Arial" w:hAnsi="Arial"/>
          <w:sz w:val="16"/>
          <w:szCs w:val="16"/>
          <w:color w:val="000000"/>
        </w:rPr>
        <w:t xml:space="preserve"> through (and including) </w:t>
      </w:r>
      <w:r>
        <w:rPr>
          <w:rFonts w:ascii="Arial" w:cs="Arial" w:eastAsia="Arial" w:hAnsi="Arial"/>
          <w:sz w:val="16"/>
          <w:szCs w:val="16"/>
          <w:color w:val="FF0000"/>
          <w:strike w:val="1"/>
        </w:rPr>
        <w:t>8.22 and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8.23</w:t>
      </w:r>
      <w:r>
        <w:rPr>
          <w:rFonts w:ascii="Arial" w:cs="Arial" w:eastAsia="Arial" w:hAnsi="Arial"/>
          <w:sz w:val="16"/>
          <w:szCs w:val="16"/>
          <w:color w:val="000000"/>
        </w:rPr>
        <w:t xml:space="preserve"> </w:t>
      </w:r>
      <w:r>
        <w:rPr>
          <w:rFonts w:ascii="Arial" w:cs="Arial" w:eastAsia="Arial" w:hAnsi="Arial"/>
          <w:sz w:val="16"/>
          <w:szCs w:val="16"/>
          <w:color w:val="FF0000"/>
          <w:strike w:val="1"/>
        </w:rPr>
        <w:t>hereof</w:t>
      </w:r>
      <w:r>
        <w:rPr>
          <w:rFonts w:ascii="Arial" w:cs="Arial" w:eastAsia="Arial" w:hAnsi="Arial"/>
          <w:sz w:val="16"/>
          <w:szCs w:val="16"/>
          <w:u w:val="single" w:color="auto"/>
          <w:color w:val="0000E1"/>
          <w:strike w:val="1"/>
        </w:rPr>
        <w:t>or (ii) default by any Loan Party in the observance or performance of the covenant set forth in Section 8.5(i), which is not remedied within two</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27"/>
        </w:numPr>
        <w:rPr>
          <w:rFonts w:ascii="Arial" w:cs="Arial" w:eastAsia="Arial" w:hAnsi="Arial"/>
          <w:sz w:val="18"/>
          <w:szCs w:val="18"/>
          <w:u w:val="single" w:color="auto"/>
          <w:color w:val="0000E1"/>
        </w:rPr>
      </w:pPr>
      <w:r>
        <w:rPr>
          <w:rFonts w:ascii="Arial" w:cs="Arial" w:eastAsia="Arial" w:hAnsi="Arial"/>
          <w:sz w:val="18"/>
          <w:szCs w:val="18"/>
          <w:u w:val="single" w:color="auto"/>
          <w:color w:val="0000E1"/>
        </w:rPr>
        <w:t>Business Days</w:t>
      </w:r>
      <w:r>
        <w:rPr>
          <w:rFonts w:ascii="Arial" w:cs="Arial" w:eastAsia="Arial" w:hAnsi="Arial"/>
          <w:sz w:val="18"/>
          <w:szCs w:val="18"/>
          <w:color w:val="000000"/>
        </w:rPr>
        <w:t>;</w:t>
      </w:r>
    </w:p>
    <w:p>
      <w:pPr>
        <w:spacing w:after="0" w:line="210" w:lineRule="exact"/>
        <w:rPr>
          <w:rFonts w:ascii="Arial" w:cs="Arial" w:eastAsia="Arial" w:hAnsi="Arial"/>
          <w:sz w:val="18"/>
          <w:szCs w:val="18"/>
          <w:u w:val="single" w:color="auto"/>
          <w:color w:val="0000E1"/>
        </w:rPr>
      </w:pPr>
    </w:p>
    <w:p>
      <w:pPr>
        <w:ind w:left="4" w:right="160" w:firstLine="987"/>
        <w:spacing w:after="0" w:line="263" w:lineRule="auto"/>
        <w:tabs>
          <w:tab w:leader="none" w:pos="1375"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default by any Loan Party in the observance or performance of any covenant (other than the covenants set forth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or other provision hereof or of any other Loan Document which is not remedied within thirty (30) days after written notice thereof is given to the Borrower by the Administrative Agent;</w:t>
      </w:r>
    </w:p>
    <w:p>
      <w:pPr>
        <w:spacing w:after="0" w:line="183" w:lineRule="exact"/>
        <w:rPr>
          <w:rFonts w:ascii="Arial" w:cs="Arial" w:eastAsia="Arial" w:hAnsi="Arial"/>
          <w:sz w:val="18"/>
          <w:szCs w:val="18"/>
          <w:color w:val="auto"/>
        </w:rPr>
      </w:pPr>
    </w:p>
    <w:p>
      <w:pPr>
        <w:ind w:left="4" w:right="220" w:firstLine="987"/>
        <w:spacing w:after="0" w:line="263" w:lineRule="auto"/>
        <w:tabs>
          <w:tab w:leader="none" w:pos="1385"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representation or warranty of any Loan Party made herein or in any other Loan Document or in any certificate furnished to the Administrative Agent or the Lenders pursuant hereto or thereto proves untrue in any material respect as of the date of the making or deemed making thereof;</w:t>
      </w:r>
    </w:p>
    <w:p>
      <w:pPr>
        <w:spacing w:after="0" w:line="183" w:lineRule="exact"/>
        <w:rPr>
          <w:rFonts w:ascii="Arial" w:cs="Arial" w:eastAsia="Arial" w:hAnsi="Arial"/>
          <w:sz w:val="18"/>
          <w:szCs w:val="18"/>
          <w:color w:val="auto"/>
        </w:rPr>
      </w:pPr>
    </w:p>
    <w:p>
      <w:pPr>
        <w:ind w:left="4" w:right="40" w:firstLine="987"/>
        <w:spacing w:after="0" w:line="289" w:lineRule="auto"/>
        <w:tabs>
          <w:tab w:leader="none" w:pos="1375" w:val="left"/>
        </w:tabs>
        <w:numPr>
          <w:ilvl w:val="1"/>
          <w:numId w:val="227"/>
        </w:numPr>
        <w:rPr>
          <w:rFonts w:ascii="Arial" w:cs="Arial" w:eastAsia="Arial" w:hAnsi="Arial"/>
          <w:sz w:val="16"/>
          <w:szCs w:val="16"/>
          <w:color w:val="auto"/>
        </w:rPr>
      </w:pPr>
      <w:r>
        <w:rPr>
          <w:rFonts w:ascii="Arial" w:cs="Arial" w:eastAsia="Arial" w:hAnsi="Arial"/>
          <w:sz w:val="16"/>
          <w:szCs w:val="16"/>
          <w:color w:val="auto"/>
        </w:rPr>
        <w:t>(i) any Loan Document shall for any reason not be or shall cease to be in full force and effect against any Loan Party or is declared to be null and void as to any Loan Party, or the Borrower or any Guarantor shall so assert in writing; (ii) the Collateral Documents shall for any reason fail to create a valid and perfected Lien, subject to Permitted Liens, in favor of the Administrative Agent in any Collateral purported to be covered thereby except as expressly permitted by the terms hereof or thereof, or the Borrower or any Guarantor shall so assert in writing, and except as is solely due to the failure of the Administrative Agent or any Lender to take any action within its sole control; (iii) Holdings or any of its Restricted Subsidiaries takes any action for the purpose of terminating, repudiating or rescinding any Loan Document executed by it or any of its obligations thereunder except as otherwise permitted by the Loan Documents; or (iv) any Subordinated Debt individually or in an aggregate principal amount in excess of the Threshold Amount and permitted hereunder or the guarantees thereof shall cease, for any reason, to be validly subordinated to the Obligations of the Borrower and the Guarantors hereunder, as provided in the indenture governing such Subordinated Debt, or the Borrower or any Guarantor shall so assert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-2893695</wp:posOffset>
            </wp:positionV>
            <wp:extent cx="13716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-2619375</wp:posOffset>
            </wp:positionV>
            <wp:extent cx="6557645"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-2482215</wp:posOffset>
            </wp:positionV>
            <wp:extent cx="831215"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04"/>
          </w:cols>
          <w:pgMar w:left="436" w:top="274" w:right="459" w:bottom="1440" w:gutter="0" w:footer="0" w:header="0"/>
        </w:sectPr>
      </w:pPr>
    </w:p>
    <w:bookmarkStart w:id="182" w:name="page183"/>
    <w:bookmarkEnd w:id="182"/>
    <w:p>
      <w:pPr>
        <w:ind w:left="4" w:right="100" w:firstLine="987"/>
        <w:spacing w:after="0" w:line="271" w:lineRule="auto"/>
        <w:tabs>
          <w:tab w:leader="none" w:pos="1355" w:val="left"/>
        </w:tabs>
        <w:numPr>
          <w:ilvl w:val="1"/>
          <w:numId w:val="2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default shall occur under any Indebtedness for Borrowed Money issued, assumed or guaranteed by the Borrower or any Restricted Subsidiary aggregating in excess of the Threshold Amount, or under any indenture, agreement or other instrument under which the same may be issued (other than, with respect to indebtedness consisting of Hedging Liabilities, any termination event or equivalent event pursuant to the terms of such Hedg</w:t>
      </w:r>
      <w:r>
        <w:rPr>
          <w:rFonts w:ascii="Arial" w:cs="Arial" w:eastAsia="Arial" w:hAnsi="Arial"/>
          <w:sz w:val="17"/>
          <w:szCs w:val="17"/>
          <w:color w:val="FF0000"/>
          <w:strike w:val="1"/>
        </w:rPr>
        <w:t>e</w:t>
      </w:r>
      <w:r>
        <w:rPr>
          <w:rFonts w:ascii="Arial" w:cs="Arial" w:eastAsia="Arial" w:hAnsi="Arial"/>
          <w:sz w:val="17"/>
          <w:szCs w:val="17"/>
          <w:u w:val="single" w:color="auto"/>
          <w:color w:val="0000E1"/>
        </w:rPr>
        <w:t>ing</w:t>
      </w:r>
      <w:r>
        <w:rPr>
          <w:rFonts w:ascii="Arial" w:cs="Arial" w:eastAsia="Arial" w:hAnsi="Arial"/>
          <w:sz w:val="17"/>
          <w:szCs w:val="17"/>
          <w:color w:val="auto"/>
        </w:rPr>
        <w:t xml:space="preserve"> Liabilities which (i) is not as a result of any default thereunder by any Loan Party or any Restricted Subsidiary and (ii) does not give the counterparty thereto the right to cause payment thereunder of an amount in excess of the Threshold Amount, unless such amount is timely paid when due), and such default shall continue for a period of time sufficient to permit the acceleration of the maturity of any such Indebtedness for Borrowed Money (whether or not such maturity is in fact accelerated), or any such Indebtedness for Borrowed Money shall not be paid when due (whether by demand, lapse of time, acceleration or otherwise),</w:t>
      </w:r>
    </w:p>
    <w:p>
      <w:pPr>
        <w:spacing w:after="0" w:line="178" w:lineRule="exact"/>
        <w:rPr>
          <w:rFonts w:ascii="Arial" w:cs="Arial" w:eastAsia="Arial" w:hAnsi="Arial"/>
          <w:sz w:val="17"/>
          <w:szCs w:val="17"/>
          <w:color w:val="auto"/>
        </w:rPr>
      </w:pPr>
    </w:p>
    <w:p>
      <w:pPr>
        <w:ind w:left="4" w:firstLine="987"/>
        <w:spacing w:after="0" w:line="296" w:lineRule="auto"/>
        <w:tabs>
          <w:tab w:leader="none" w:pos="1385" w:val="left"/>
        </w:tabs>
        <w:numPr>
          <w:ilvl w:val="1"/>
          <w:numId w:val="228"/>
        </w:numPr>
        <w:rPr>
          <w:rFonts w:ascii="Arial" w:cs="Arial" w:eastAsia="Arial" w:hAnsi="Arial"/>
          <w:sz w:val="16"/>
          <w:szCs w:val="16"/>
          <w:color w:val="auto"/>
        </w:rPr>
      </w:pPr>
      <w:r>
        <w:rPr>
          <w:rFonts w:ascii="Arial" w:cs="Arial" w:eastAsia="Arial" w:hAnsi="Arial"/>
          <w:sz w:val="16"/>
          <w:szCs w:val="16"/>
          <w:color w:val="auto"/>
        </w:rPr>
        <w:t>any final judgment or judgments, final writ or writs or warrant or warrants of attachment, or any similar process or processes, shall be entered or filed against Holdings, the Borrower or any Restricted Subsidiary, or against any of its Property, in an aggregate amount in excess of the Threshold Amount (except to the extent (i) fully covered (other than deductibles) by insurance pursuant to which the insurer has not denied liability therefor in writing or (ii) fully covered (other than deductibles) by an enforceable indemnity providing for prompt payment from a financially sound, reputable and credit-worthy Person), and which remains undischarged, unvacated, unbonded or unstayed for a period of thirty (30) consecutive days;</w:t>
      </w:r>
    </w:p>
    <w:p>
      <w:pPr>
        <w:spacing w:after="0" w:line="161" w:lineRule="exact"/>
        <w:rPr>
          <w:rFonts w:ascii="Arial" w:cs="Arial" w:eastAsia="Arial" w:hAnsi="Arial"/>
          <w:sz w:val="16"/>
          <w:szCs w:val="16"/>
          <w:color w:val="auto"/>
        </w:rPr>
      </w:pPr>
    </w:p>
    <w:p>
      <w:pPr>
        <w:ind w:left="4" w:right="140" w:firstLine="987"/>
        <w:spacing w:after="0" w:line="283" w:lineRule="auto"/>
        <w:tabs>
          <w:tab w:leader="none" w:pos="1385" w:val="left"/>
        </w:tabs>
        <w:numPr>
          <w:ilvl w:val="1"/>
          <w:numId w:val="228"/>
        </w:numPr>
        <w:rPr>
          <w:rFonts w:ascii="Arial" w:cs="Arial" w:eastAsia="Arial" w:hAnsi="Arial"/>
          <w:sz w:val="16"/>
          <w:szCs w:val="16"/>
          <w:color w:val="auto"/>
        </w:rPr>
      </w:pPr>
      <w:r>
        <w:rPr>
          <w:rFonts w:ascii="Arial" w:cs="Arial" w:eastAsia="Arial" w:hAnsi="Arial"/>
          <w:sz w:val="16"/>
          <w:szCs w:val="16"/>
          <w:color w:val="auto"/>
        </w:rPr>
        <w:t>to the extent resulting in (x) a Material Adverse Effect or (y) the imposition by the PBGC of a Lien in excess of the Threshold Amount, Holdings, the Borrower or any Restricted Subsidiary, or any member of its Controlled Group, shall fail to pay when due any amount or amounts which it shall have become liable to pay to the PBGC or to a Plan under Title IV of ERISA; or notice of intent to terminate a Plan or Plans having Unfunded Vested Liabilities, to the extent such termination would result in either (x) a Material Adverse Effect or (y) the imposition by the PBGC of a Lien in excess of the Threshold Amount (collectively, a “</w:t>
      </w:r>
      <w:r>
        <w:rPr>
          <w:rFonts w:ascii="Arial" w:cs="Arial" w:eastAsia="Arial" w:hAnsi="Arial"/>
          <w:sz w:val="16"/>
          <w:szCs w:val="16"/>
          <w:i w:val="1"/>
          <w:iCs w:val="1"/>
          <w:color w:val="auto"/>
        </w:rPr>
        <w:t>Material Plan</w:t>
      </w:r>
      <w:r>
        <w:rPr>
          <w:rFonts w:ascii="Arial" w:cs="Arial" w:eastAsia="Arial" w:hAnsi="Arial"/>
          <w:sz w:val="16"/>
          <w:szCs w:val="16"/>
          <w:color w:val="auto"/>
        </w:rPr>
        <w:t>”), shall be filed under Title IV of ERISA by the Borrower or any Restricted Subsidiary, or any other member of its Controlled Group, any plan administrator or any combination of the foregoing; to the extent resulting in either (x) a Material Adverse Effect or (y) the imposition by the PBGC of a Lien in excess of the Threshold Amount, the PBGC shall institute proceedings under Title IV of ERISA to terminate or to cause a trustee to be appointed to administer any Material Plan or to the extent resulting in a Material Adverse Effect, a proceeding shall be instituted by a fiduciary of any Material Plan against the Borrower or any Restricted Subsidiary, or any member of its Controlled Group, to enforce Section 515 or 4219(c)(5) of ERISA and such proceeding shall not have been dismissed within thirty</w:t>
      </w:r>
    </w:p>
    <w:p>
      <w:pPr>
        <w:spacing w:after="0" w:line="4" w:lineRule="exact"/>
        <w:rPr>
          <w:rFonts w:ascii="Arial" w:cs="Arial" w:eastAsia="Arial" w:hAnsi="Arial"/>
          <w:sz w:val="16"/>
          <w:szCs w:val="16"/>
          <w:color w:val="auto"/>
        </w:rPr>
      </w:pPr>
    </w:p>
    <w:p>
      <w:pPr>
        <w:ind w:left="4" w:right="20" w:hanging="4"/>
        <w:spacing w:after="0" w:line="255" w:lineRule="auto"/>
        <w:tabs>
          <w:tab w:leader="none" w:pos="34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days thereafter; or to the extent such termination would result in either (x) a Material Adverse Effect or (y) the imposition by the PBGC of a Lien in excess of the Threshold Amount, a condition shall exist by reason of which the PBGC would be entitled to obtain a decree adjudicating that any Material Plan must be terminated;</w:t>
      </w:r>
    </w:p>
    <w:p>
      <w:pPr>
        <w:spacing w:after="0" w:line="189" w:lineRule="exact"/>
        <w:rPr>
          <w:rFonts w:ascii="Arial" w:cs="Arial" w:eastAsia="Arial" w:hAnsi="Arial"/>
          <w:sz w:val="18"/>
          <w:szCs w:val="18"/>
          <w:color w:val="auto"/>
        </w:rPr>
      </w:pPr>
    </w:p>
    <w:p>
      <w:pPr>
        <w:ind w:left="1344" w:hanging="353"/>
        <w:spacing w:after="0"/>
        <w:tabs>
          <w:tab w:leader="none" w:pos="134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Change of Control shall occur;</w:t>
      </w:r>
    </w:p>
    <w:p>
      <w:pPr>
        <w:spacing w:after="0" w:line="225" w:lineRule="exact"/>
        <w:rPr>
          <w:rFonts w:ascii="Arial" w:cs="Arial" w:eastAsia="Arial" w:hAnsi="Arial"/>
          <w:sz w:val="18"/>
          <w:szCs w:val="18"/>
          <w:color w:val="auto"/>
        </w:rPr>
      </w:pPr>
    </w:p>
    <w:p>
      <w:pPr>
        <w:ind w:left="4" w:right="60" w:firstLine="987"/>
        <w:spacing w:after="0" w:line="293" w:lineRule="auto"/>
        <w:tabs>
          <w:tab w:leader="none" w:pos="1345" w:val="left"/>
        </w:tabs>
        <w:numPr>
          <w:ilvl w:val="1"/>
          <w:numId w:val="229"/>
        </w:numPr>
        <w:rPr>
          <w:rFonts w:ascii="Arial" w:cs="Arial" w:eastAsia="Arial" w:hAnsi="Arial"/>
          <w:sz w:val="16"/>
          <w:szCs w:val="16"/>
          <w:color w:val="auto"/>
        </w:rPr>
      </w:pPr>
      <w:r>
        <w:rPr>
          <w:rFonts w:ascii="Arial" w:cs="Arial" w:eastAsia="Arial" w:hAnsi="Arial"/>
          <w:sz w:val="16"/>
          <w:szCs w:val="16"/>
          <w:color w:val="auto"/>
        </w:rPr>
        <w:t>Holdings, the Borrower or any Restricted Subsidiary shall (i) have entered involuntarily against it an order for relief under the United States Bankruptcy Code, (ii) not pay, or admit in writing its inability to pay, its debts generally as they become due, (iii) make an assignment for the benefit of creditors, (iv) apply for, seek, consent to or acquiesce in, the appointment of a receiver, custodian, trustee, examiner, liquidator or similar official for it or any substantial part of its Property or (v) institute any proceeding seeking to have entered against it an order for relief under the United States Bankruptcy Code to adjudicate it insolvent, or seeking dissolution, winding up, liquidation, reorganization, arrangement, adjustment or composition of it or its debts under any law relating to bankruptcy, insolvency or reorganization or relief of debtors;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-4540885</wp:posOffset>
            </wp:positionV>
            <wp:extent cx="14541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7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4"/>
          </w:cols>
          <w:pgMar w:left="436" w:top="274" w:right="459" w:bottom="1440" w:gutter="0" w:footer="0" w:header="0"/>
        </w:sectPr>
      </w:pPr>
    </w:p>
    <w:bookmarkStart w:id="183" w:name="page184"/>
    <w:bookmarkEnd w:id="183"/>
    <w:p>
      <w:pPr>
        <w:jc w:val="both"/>
        <w:ind w:left="4" w:right="40" w:firstLine="987"/>
        <w:spacing w:after="0" w:line="287" w:lineRule="auto"/>
        <w:tabs>
          <w:tab w:leader="none" w:pos="1385" w:val="left"/>
        </w:tabs>
        <w:numPr>
          <w:ilvl w:val="1"/>
          <w:numId w:val="2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 custodian, receiver, trustee, examiner, liquidator or similar official shall be appointed for Holdings, the Borrower or any Restricted Subsidiary, or any substantial part of any of its Property, or a proceeding described in </w:t>
      </w:r>
      <w:r>
        <w:rPr>
          <w:rFonts w:ascii="Arial" w:cs="Arial" w:eastAsia="Arial" w:hAnsi="Arial"/>
          <w:sz w:val="16"/>
          <w:szCs w:val="16"/>
          <w:u w:val="single" w:color="auto"/>
          <w:color w:val="auto"/>
        </w:rPr>
        <w:t>Section 9.1(j)(i)</w:t>
      </w:r>
      <w:r>
        <w:rPr>
          <w:rFonts w:ascii="Arial" w:cs="Arial" w:eastAsia="Arial" w:hAnsi="Arial"/>
          <w:sz w:val="16"/>
          <w:szCs w:val="16"/>
          <w:color w:val="auto"/>
        </w:rPr>
        <w:t xml:space="preserve"> shall be instituted against Holdings, the Borrower or any Restricted Subsidiary, and such appointment continues undischarged or such proceeding continues undismissed or unstayed for a period of sixty</w:t>
      </w:r>
    </w:p>
    <w:p>
      <w:pPr>
        <w:spacing w:after="0" w:line="2" w:lineRule="exact"/>
        <w:rPr>
          <w:rFonts w:ascii="Arial" w:cs="Arial" w:eastAsia="Arial" w:hAnsi="Arial"/>
          <w:sz w:val="16"/>
          <w:szCs w:val="16"/>
          <w:color w:val="auto"/>
        </w:rPr>
      </w:pPr>
    </w:p>
    <w:p>
      <w:pPr>
        <w:ind w:left="344" w:hanging="344"/>
        <w:spacing w:after="0"/>
        <w:tabs>
          <w:tab w:leader="none" w:pos="34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consecutive days;</w:t>
      </w:r>
    </w:p>
    <w:p>
      <w:pPr>
        <w:spacing w:after="0" w:line="211"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FF0000"/>
          <w:strike w:val="1"/>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that, notwithstanding anything to the contrary contained herein, no Event of Default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clauses (a)</w:t>
      </w:r>
      <w:r>
        <w:rPr>
          <w:rFonts w:ascii="Arial" w:cs="Arial" w:eastAsia="Arial" w:hAnsi="Arial"/>
          <w:sz w:val="18"/>
          <w:szCs w:val="18"/>
          <w:i w:val="1"/>
          <w:iCs w:val="1"/>
          <w:color w:val="auto"/>
        </w:rPr>
        <w:t xml:space="preserve"> </w:t>
      </w:r>
      <w:r>
        <w:rPr>
          <w:rFonts w:ascii="Arial" w:cs="Arial" w:eastAsia="Arial" w:hAnsi="Arial"/>
          <w:sz w:val="18"/>
          <w:szCs w:val="18"/>
          <w:color w:val="auto"/>
        </w:rPr>
        <w:t>through</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i w:val="1"/>
          <w:iCs w:val="1"/>
          <w:color w:val="auto"/>
        </w:rPr>
        <w:t xml:space="preserve"> </w:t>
      </w:r>
      <w:r>
        <w:rPr>
          <w:rFonts w:ascii="Arial" w:cs="Arial" w:eastAsia="Arial" w:hAnsi="Arial"/>
          <w:sz w:val="18"/>
          <w:szCs w:val="18"/>
          <w:color w:val="auto"/>
        </w:rPr>
        <w:t>above shall arise with</w:t>
      </w:r>
      <w:r>
        <w:rPr>
          <w:rFonts w:ascii="Arial" w:cs="Arial" w:eastAsia="Arial" w:hAnsi="Arial"/>
          <w:sz w:val="18"/>
          <w:szCs w:val="18"/>
          <w:i w:val="1"/>
          <w:iCs w:val="1"/>
          <w:color w:val="auto"/>
        </w:rPr>
        <w:t xml:space="preserve"> </w:t>
      </w:r>
      <w:r>
        <w:rPr>
          <w:rFonts w:ascii="Arial" w:cs="Arial" w:eastAsia="Arial" w:hAnsi="Arial"/>
          <w:sz w:val="18"/>
          <w:szCs w:val="18"/>
          <w:color w:val="auto"/>
        </w:rPr>
        <w:t>solely as a result of a failure of performance, inaccuracy of a representation or warranty, breach of covenant or invalidity or impairment of a security interest, in each case specified in or required by an Application other than by reference to a representation, warranty, covenant, undertaking, default or security requirement set forth in this Agreement or the Security Agreement.</w:t>
      </w:r>
    </w:p>
    <w:p>
      <w:pPr>
        <w:spacing w:after="0" w:line="187"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i w:val="1"/>
          <w:iCs w:val="1"/>
          <w:color w:val="auto"/>
        </w:rPr>
        <w:t>Non-Bankruptcy Defaults.</w:t>
      </w:r>
      <w:r>
        <w:rPr>
          <w:rFonts w:ascii="Arial" w:cs="Arial" w:eastAsia="Arial" w:hAnsi="Arial"/>
          <w:sz w:val="16"/>
          <w:szCs w:val="16"/>
          <w:color w:val="auto"/>
        </w:rPr>
        <w:t xml:space="preserve"> When any Event of Default other than those described in </w:t>
      </w:r>
      <w:r>
        <w:rPr>
          <w:rFonts w:ascii="Arial" w:cs="Arial" w:eastAsia="Arial" w:hAnsi="Arial"/>
          <w:sz w:val="16"/>
          <w:szCs w:val="16"/>
          <w:u w:val="single" w:color="auto"/>
          <w:color w:val="auto"/>
        </w:rPr>
        <w:t>subsection (j)</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(k)</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has occurred and is continuing, the Administrative Agent may, and at the request of the Required Lenders shall, by written notice to the Borrower: (a) if so directed by the Required Lenders, terminate the remaining Commitments and all other obligations of the Lenders hereunder on the date stated in such notice (which may be the date thereof); (b) if so directed by the Required Lenders, declare the principal of and the accrued interest on all outstanding Loans to be forthwith due and payable and thereupon all outstanding Loans, including both principal and interest thereon, shall be and become immediately due and payable together with all other amounts payable under the Loan Documents without further demand, presentment, protest or notice of any kind; and (c) if so directed by the Required Lenders, demand that the Borrower immediately pay to the Administrative Agent 103% of the full amount then available for drawing under each or any Letter of Credit to be held as collateral pursuant to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hereof, and the Borrower agrees to immediately make such payment and acknowledges and agrees that the Lenders would not have an adequate remedy at law for failure by the Borrower to honor any such demand and that the Administrative Agent, for the benefit of the Lenders, shall have the right to require the Borrower to specifically perform such undertaking whether or not any drawings or other demands for payment have been made under any Letter of Credit. The Administrative Agent, after giving notice to the Borrower pursuant to </w:t>
      </w:r>
      <w:r>
        <w:rPr>
          <w:rFonts w:ascii="Arial" w:cs="Arial" w:eastAsia="Arial" w:hAnsi="Arial"/>
          <w:sz w:val="16"/>
          <w:szCs w:val="16"/>
          <w:u w:val="single" w:color="auto"/>
          <w:color w:val="auto"/>
        </w:rPr>
        <w:t>Section 9.1(c)</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9.2</w:t>
      </w:r>
      <w:r>
        <w:rPr>
          <w:rFonts w:ascii="Arial" w:cs="Arial" w:eastAsia="Arial" w:hAnsi="Arial"/>
          <w:sz w:val="16"/>
          <w:szCs w:val="16"/>
          <w:color w:val="auto"/>
        </w:rPr>
        <w:t>, shall also promptly send a copy of such notice to the other Lenders, but the failure to do so shall not impair or annul the effect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-1731645</wp:posOffset>
            </wp:positionV>
            <wp:extent cx="2857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4" w:lineRule="exact"/>
        <w:rPr>
          <w:sz w:val="20"/>
          <w:szCs w:val="20"/>
          <w:color w:val="auto"/>
        </w:rPr>
      </w:pPr>
    </w:p>
    <w:p>
      <w:pPr>
        <w:ind w:left="4" w:right="80" w:firstLine="440"/>
        <w:spacing w:after="0" w:line="290" w:lineRule="auto"/>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i w:val="1"/>
          <w:iCs w:val="1"/>
          <w:color w:val="auto"/>
        </w:rPr>
        <w:t>Bankruptcy Defaults</w:t>
      </w:r>
      <w:r>
        <w:rPr>
          <w:rFonts w:ascii="Arial" w:cs="Arial" w:eastAsia="Arial" w:hAnsi="Arial"/>
          <w:sz w:val="16"/>
          <w:szCs w:val="16"/>
          <w:color w:val="auto"/>
        </w:rPr>
        <w:t xml:space="preserve">. When any Event of Default described in </w:t>
      </w:r>
      <w:r>
        <w:rPr>
          <w:rFonts w:ascii="Arial" w:cs="Arial" w:eastAsia="Arial" w:hAnsi="Arial"/>
          <w:sz w:val="16"/>
          <w:szCs w:val="16"/>
          <w:u w:val="single" w:color="auto"/>
          <w:color w:val="auto"/>
        </w:rPr>
        <w:t>subsections (j)</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(k)</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has occurred and is continuing, then all outstanding Loans shall immediately become due and payable together with all other amounts payable under the Loan Documents without presentment, demand, protest or notice of any kind, the obligation of the Lenders to extend further credit pursuant to any of the terms hereof shall immediately terminate without presentment, demand, protest or notice of any kind, and the Borrower shall immediately pay to the Administrative Agent 103% of the full amount then available for drawing under all outstanding Letters of Credit to be held as collateral pursuant to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the Borrower acknowledging and agreeing that the Lenders would not have an adequate remedy at law for failure by the Borrower to honor any such demand and that the Lenders, and the Administrative Agent on their behalf, shall have the right to require the Borrower to specifically perform such undertaking whether or not any draws or other demands for payment have been made under any of the Letters of Credit.</w:t>
      </w:r>
    </w:p>
    <w:p>
      <w:pPr>
        <w:spacing w:after="0" w:line="273" w:lineRule="exact"/>
        <w:rPr>
          <w:sz w:val="20"/>
          <w:szCs w:val="20"/>
          <w:color w:val="auto"/>
        </w:rPr>
      </w:pPr>
    </w:p>
    <w:p>
      <w:pPr>
        <w:ind w:left="444"/>
        <w:spacing w:after="0"/>
        <w:tabs>
          <w:tab w:leader="none" w:pos="1404"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i w:val="1"/>
          <w:iCs w:val="1"/>
          <w:color w:val="auto"/>
        </w:rPr>
        <w:t>Collateral for Undrawn Letters of Credit</w:t>
      </w:r>
      <w:r>
        <w:rPr>
          <w:rFonts w:ascii="Arial" w:cs="Arial" w:eastAsia="Arial" w:hAnsi="Arial"/>
          <w:sz w:val="16"/>
          <w:szCs w:val="16"/>
          <w:color w:val="FF0000"/>
          <w:strike w:val="1"/>
        </w:rPr>
        <w:t>(a)</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FF0000"/>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-53340</wp:posOffset>
            </wp:positionV>
            <wp:extent cx="15494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54940" cy="8255"/>
                    </a:xfrm>
                    <a:prstGeom prst="rect">
                      <a:avLst/>
                    </a:prstGeom>
                    <a:noFill/>
                  </pic:spPr>
                </pic:pic>
              </a:graphicData>
            </a:graphic>
          </wp:anchor>
        </w:drawing>
      </w:r>
    </w:p>
    <w:p>
      <w:pPr>
        <w:spacing w:after="0" w:line="97" w:lineRule="exact"/>
        <w:rPr>
          <w:sz w:val="20"/>
          <w:szCs w:val="20"/>
          <w:color w:val="auto"/>
        </w:rPr>
      </w:pPr>
    </w:p>
    <w:p>
      <w:pPr>
        <w:jc w:val="both"/>
        <w:ind w:left="4" w:firstLine="987"/>
        <w:spacing w:after="0" w:line="263" w:lineRule="auto"/>
        <w:tabs>
          <w:tab w:leader="none" w:pos="1420" w:val="left"/>
        </w:tabs>
        <w:numPr>
          <w:ilvl w:val="0"/>
          <w:numId w:val="232"/>
        </w:numPr>
        <w:rPr>
          <w:rFonts w:ascii="Arial" w:cs="Arial" w:eastAsia="Arial" w:hAnsi="Arial"/>
          <w:sz w:val="18"/>
          <w:szCs w:val="18"/>
          <w:u w:val="single" w:color="auto"/>
          <w:color w:val="0000E1"/>
        </w:rPr>
      </w:pPr>
      <w:r>
        <w:rPr>
          <w:rFonts w:ascii="Arial" w:cs="Arial" w:eastAsia="Arial" w:hAnsi="Arial"/>
          <w:sz w:val="18"/>
          <w:szCs w:val="18"/>
          <w:color w:val="auto"/>
        </w:rPr>
        <w:t xml:space="preserve">If the prepayment of the amount available for drawing under any or all outstanding Letters of Credit is required under </w:t>
      </w:r>
      <w:r>
        <w:rPr>
          <w:rFonts w:ascii="Arial" w:cs="Arial" w:eastAsia="Arial" w:hAnsi="Arial"/>
          <w:sz w:val="18"/>
          <w:szCs w:val="18"/>
          <w:u w:val="single" w:color="auto"/>
          <w:color w:val="auto"/>
        </w:rPr>
        <w:t>Section 1.9(b)</w:t>
      </w:r>
      <w:r>
        <w:rPr>
          <w:rFonts w:ascii="Arial" w:cs="Arial" w:eastAsia="Arial" w:hAnsi="Arial"/>
          <w:sz w:val="18"/>
          <w:szCs w:val="18"/>
          <w:color w:val="auto"/>
        </w:rPr>
        <w:t xml:space="preserve"> or under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w:t>
      </w:r>
      <w:r>
        <w:rPr>
          <w:rFonts w:ascii="Arial" w:cs="Arial" w:eastAsia="Arial" w:hAnsi="Arial"/>
          <w:sz w:val="18"/>
          <w:szCs w:val="18"/>
          <w:color w:val="FF0000"/>
          <w:strike w:val="1"/>
        </w:rPr>
        <w:t>above</w:t>
      </w:r>
      <w:r>
        <w:rPr>
          <w:rFonts w:ascii="Arial" w:cs="Arial" w:eastAsia="Arial" w:hAnsi="Arial"/>
          <w:sz w:val="18"/>
          <w:szCs w:val="18"/>
          <w:color w:val="auto"/>
        </w:rPr>
        <w:t xml:space="preserve">, the Borrower shall forthwith pay in cash the amount required to be so prepaid, to be held by the Administrative Agent as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-276860</wp:posOffset>
            </wp:positionV>
            <wp:extent cx="12890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84"/>
          </w:cols>
          <w:pgMar w:left="436" w:top="274" w:right="479" w:bottom="1440" w:gutter="0" w:footer="0" w:header="0"/>
        </w:sectPr>
      </w:pPr>
    </w:p>
    <w:bookmarkStart w:id="184" w:name="page185"/>
    <w:bookmarkEnd w:id="184"/>
    <w:p>
      <w:pPr>
        <w:ind w:firstLine="987"/>
        <w:spacing w:after="0" w:line="268" w:lineRule="auto"/>
        <w:tabs>
          <w:tab w:leader="none" w:pos="1371" w:val="left"/>
        </w:tabs>
        <w:numPr>
          <w:ilvl w:val="0"/>
          <w:numId w:val="2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All amounts prepaid pursuant to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above shall be held by the Administrative Agent in one or more separate collateral accounts (each such account, and the credit balances, properties, and any investments from time to time held therein, and any substitutions for such account, any certificate of deposit or other instrument evidencing any of the foregoing and all proceeds of and earnings on any of the foregoing being collectively called the “</w:t>
      </w:r>
      <w:r>
        <w:rPr>
          <w:rFonts w:ascii="Arial" w:cs="Arial" w:eastAsia="Arial" w:hAnsi="Arial"/>
          <w:sz w:val="17"/>
          <w:szCs w:val="17"/>
          <w:i w:val="1"/>
          <w:iCs w:val="1"/>
          <w:color w:val="auto"/>
        </w:rPr>
        <w:t>Collateral Account</w:t>
      </w:r>
      <w:r>
        <w:rPr>
          <w:rFonts w:ascii="Arial" w:cs="Arial" w:eastAsia="Arial" w:hAnsi="Arial"/>
          <w:sz w:val="17"/>
          <w:szCs w:val="17"/>
          <w:color w:val="auto"/>
        </w:rPr>
        <w:t>”) as security for, and for application by the Administrative Agent (to the extent available) to, the reimbursement of any payment under any Letter of Credit then or thereafter made by the L/C Issuer, and, thereafter, to the payment of the unpaid balance of all other Obligations (and to all Hedging Liability and Funds Transfer, Deposit Account Liability and Foreign LCs)</w:t>
      </w:r>
      <w:r>
        <w:rPr>
          <w:rFonts w:ascii="Arial" w:cs="Arial" w:eastAsia="Arial" w:hAnsi="Arial"/>
          <w:sz w:val="17"/>
          <w:szCs w:val="17"/>
          <w:color w:val="FF0000"/>
          <w:strike w:val="1"/>
        </w:rPr>
        <w:t>.</w:t>
      </w:r>
      <w:r>
        <w:rPr>
          <w:rFonts w:ascii="Arial" w:cs="Arial" w:eastAsia="Arial" w:hAnsi="Arial"/>
          <w:sz w:val="17"/>
          <w:szCs w:val="17"/>
          <w:color w:val="auto"/>
        </w:rPr>
        <w:t xml:space="preserve"> The Collateral Account shall be held in the name of and subject to the exclusive dominion and control of the Administrative Agent for the benefit of the Administrative Agent, the Lenders, and the L/C Issuer</w:t>
      </w:r>
      <w:r>
        <w:rPr>
          <w:rFonts w:ascii="Arial" w:cs="Arial" w:eastAsia="Arial" w:hAnsi="Arial"/>
          <w:sz w:val="17"/>
          <w:szCs w:val="17"/>
          <w:color w:val="FF0000"/>
          <w:strike w:val="1"/>
        </w:rPr>
        <w:t>.</w:t>
      </w:r>
      <w:r>
        <w:rPr>
          <w:rFonts w:ascii="Arial" w:cs="Arial" w:eastAsia="Arial" w:hAnsi="Arial"/>
          <w:sz w:val="17"/>
          <w:szCs w:val="17"/>
          <w:color w:val="auto"/>
        </w:rPr>
        <w:t xml:space="preserve"> If and when requested by the Borrower, the Administrative Agent shall invest funds held in the Collateral Account from time to time in direct obligations of, or obligations the principal of and interest on which are unconditionally guaranteed by, the United States of America with a remaining maturity of one year or less</w:t>
      </w:r>
      <w:r>
        <w:rPr>
          <w:rFonts w:ascii="Arial" w:cs="Arial" w:eastAsia="Arial" w:hAnsi="Arial"/>
          <w:sz w:val="17"/>
          <w:szCs w:val="17"/>
          <w:color w:val="FF0000"/>
          <w:strike w:val="1"/>
        </w:rPr>
        <w:t>,</w:t>
      </w:r>
      <w:r>
        <w:rPr>
          <w:rFonts w:ascii="Arial" w:cs="Arial" w:eastAsia="Arial" w:hAnsi="Arial"/>
          <w:sz w:val="17"/>
          <w:szCs w:val="17"/>
          <w:u w:val="single" w:color="auto"/>
          <w:color w:val="0000E1"/>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is irrevocably authorized to sell investments held in the Collateral Account when and as required to make payments out of the Collateral Account for application to amounts due and owing from the Borrower to the L/C Issuer, the Administrative Agent or the Lenders;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Borrower shall have made payment of all obligations referred to in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above required under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9.3</w:t>
      </w:r>
      <w:r>
        <w:rPr>
          <w:rFonts w:ascii="Arial" w:cs="Arial" w:eastAsia="Arial" w:hAnsi="Arial"/>
          <w:sz w:val="17"/>
          <w:szCs w:val="17"/>
          <w:color w:val="auto"/>
        </w:rPr>
        <w:t xml:space="preserve"> </w:t>
      </w:r>
      <w:r>
        <w:rPr>
          <w:rFonts w:ascii="Arial" w:cs="Arial" w:eastAsia="Arial" w:hAnsi="Arial"/>
          <w:sz w:val="17"/>
          <w:szCs w:val="17"/>
          <w:color w:val="FF0000"/>
          <w:strike w:val="1"/>
        </w:rPr>
        <w:t>hereof</w:t>
      </w:r>
      <w:r>
        <w:rPr>
          <w:rFonts w:ascii="Arial" w:cs="Arial" w:eastAsia="Arial" w:hAnsi="Arial"/>
          <w:sz w:val="17"/>
          <w:szCs w:val="17"/>
          <w:color w:val="auto"/>
        </w:rPr>
        <w:t>, so long as no Letters of Credit, Commitments, Loans or other Obligations (other than contingent indemnification obligations), remain outstanding, at the request of the Borrower, the Administrative Agent shall release to the Borrower any remaining amounts held in the Collateral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-688975</wp:posOffset>
            </wp:positionV>
            <wp:extent cx="342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2" w:lineRule="exact"/>
        <w:rPr>
          <w:sz w:val="20"/>
          <w:szCs w:val="20"/>
          <w:color w:val="auto"/>
        </w:rPr>
      </w:pPr>
    </w:p>
    <w:p>
      <w:pPr>
        <w:ind w:right="860" w:firstLine="440"/>
        <w:spacing w:after="0" w:line="308"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i w:val="1"/>
          <w:iCs w:val="1"/>
          <w:color w:val="auto"/>
        </w:rPr>
        <w:t>Notice of Default</w:t>
      </w:r>
      <w:r>
        <w:rPr>
          <w:rFonts w:ascii="Arial" w:cs="Arial" w:eastAsia="Arial" w:hAnsi="Arial"/>
          <w:sz w:val="17"/>
          <w:szCs w:val="17"/>
          <w:color w:val="FF0000"/>
          <w:strike w:val="1"/>
        </w:rPr>
        <w:t>.</w:t>
      </w:r>
      <w:r>
        <w:rPr>
          <w:rFonts w:ascii="Arial" w:cs="Arial" w:eastAsia="Arial" w:hAnsi="Arial"/>
          <w:sz w:val="17"/>
          <w:szCs w:val="17"/>
          <w:color w:val="auto"/>
        </w:rPr>
        <w:t xml:space="preserve"> The Administrative Agent shall give notice to the Borrower to the extent required under </w:t>
      </w:r>
      <w:r>
        <w:rPr>
          <w:rFonts w:ascii="Arial" w:cs="Arial" w:eastAsia="Arial" w:hAnsi="Arial"/>
          <w:sz w:val="17"/>
          <w:szCs w:val="17"/>
          <w:u w:val="single" w:color="auto"/>
          <w:color w:val="auto"/>
        </w:rPr>
        <w:t>Section 9.1(c</w:t>
      </w:r>
      <w:r>
        <w:rPr>
          <w:rFonts w:ascii="Arial" w:cs="Arial" w:eastAsia="Arial" w:hAnsi="Arial"/>
          <w:sz w:val="17"/>
          <w:szCs w:val="17"/>
          <w:color w:val="auto"/>
        </w:rPr>
        <w:t xml:space="preserve">) </w:t>
      </w:r>
      <w:r>
        <w:rPr>
          <w:rFonts w:ascii="Arial" w:cs="Arial" w:eastAsia="Arial" w:hAnsi="Arial"/>
          <w:sz w:val="17"/>
          <w:szCs w:val="17"/>
          <w:color w:val="FF0000"/>
          <w:strike w:val="1"/>
        </w:rPr>
        <w:t>hereof</w:t>
      </w:r>
      <w:r>
        <w:rPr>
          <w:rFonts w:ascii="Arial" w:cs="Arial" w:eastAsia="Arial" w:hAnsi="Arial"/>
          <w:sz w:val="17"/>
          <w:szCs w:val="17"/>
          <w:color w:val="FF0000"/>
        </w:rPr>
        <w:t xml:space="preserve"> </w:t>
      </w:r>
      <w:r>
        <w:rPr>
          <w:rFonts w:ascii="Arial" w:cs="Arial" w:eastAsia="Arial" w:hAnsi="Arial"/>
          <w:sz w:val="17"/>
          <w:szCs w:val="17"/>
          <w:color w:val="000000"/>
        </w:rPr>
        <w:t>promptly upon being requested to do so by the Required Lenders and shall thereupon notify all the Lenders thereof.</w:t>
      </w:r>
    </w:p>
    <w:p>
      <w:pPr>
        <w:spacing w:after="0" w:line="25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10.</w:t>
        <w:tab/>
        <w:t>C</w:t>
      </w:r>
      <w:r>
        <w:rPr>
          <w:rFonts w:ascii="Arial" w:cs="Arial" w:eastAsia="Arial" w:hAnsi="Arial"/>
          <w:sz w:val="14"/>
          <w:szCs w:val="14"/>
          <w:color w:val="auto"/>
        </w:rPr>
        <w:t>HANGE IN</w:t>
      </w:r>
      <w:r>
        <w:rPr>
          <w:rFonts w:ascii="Arial" w:cs="Arial" w:eastAsia="Arial" w:hAnsi="Arial"/>
          <w:sz w:val="18"/>
          <w:szCs w:val="18"/>
          <w:color w:val="auto"/>
        </w:rPr>
        <w:t xml:space="preserve"> C</w:t>
      </w:r>
      <w:r>
        <w:rPr>
          <w:rFonts w:ascii="Arial" w:cs="Arial" w:eastAsia="Arial" w:hAnsi="Arial"/>
          <w:sz w:val="14"/>
          <w:szCs w:val="14"/>
          <w:color w:val="auto"/>
        </w:rPr>
        <w:t>IRCUMSTANCES</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Change in Law</w:t>
      </w:r>
      <w:r>
        <w:rPr>
          <w:rFonts w:ascii="Arial" w:cs="Arial" w:eastAsia="Arial" w:hAnsi="Arial"/>
          <w:sz w:val="16"/>
          <w:szCs w:val="16"/>
          <w:color w:val="FF0000"/>
          <w:strike w:val="1"/>
        </w:rPr>
        <w:t>.</w:t>
      </w:r>
      <w:r>
        <w:rPr>
          <w:rFonts w:ascii="Arial" w:cs="Arial" w:eastAsia="Arial" w:hAnsi="Arial"/>
          <w:sz w:val="16"/>
          <w:szCs w:val="16"/>
          <w:color w:val="auto"/>
        </w:rPr>
        <w:t xml:space="preserve"> Notwithstanding any other provisions of this Agreement or any other Loan Document, if at any time any change in applicable law or regulation or in the interpretation thereof makes it unlawful for any Lender or its Lending Office to </w:t>
      </w:r>
      <w:r>
        <w:rPr>
          <w:rFonts w:ascii="Arial" w:cs="Arial" w:eastAsia="Arial" w:hAnsi="Arial"/>
          <w:sz w:val="16"/>
          <w:szCs w:val="16"/>
          <w:color w:val="FF0000"/>
          <w:strike w:val="1"/>
        </w:rPr>
        <w:t>perform any of its obligations</w:t>
      </w:r>
      <w:r>
        <w:rPr>
          <w:rFonts w:ascii="Arial" w:cs="Arial" w:eastAsia="Arial" w:hAnsi="Arial"/>
          <w:sz w:val="16"/>
          <w:szCs w:val="16"/>
          <w:color w:val="auto"/>
        </w:rPr>
        <w:t xml:space="preserve"> </w:t>
      </w:r>
      <w:r>
        <w:rPr>
          <w:rFonts w:ascii="Arial" w:cs="Arial" w:eastAsia="Arial" w:hAnsi="Arial"/>
          <w:sz w:val="16"/>
          <w:szCs w:val="16"/>
          <w:color w:val="FF0000"/>
          <w:strike w:val="1"/>
        </w:rPr>
        <w:t>hereunder or</w:t>
      </w:r>
      <w:r>
        <w:rPr>
          <w:rFonts w:ascii="Arial" w:cs="Arial" w:eastAsia="Arial" w:hAnsi="Arial"/>
          <w:sz w:val="16"/>
          <w:szCs w:val="16"/>
          <w:color w:val="FF0000"/>
        </w:rPr>
        <w:t xml:space="preserve"> </w:t>
      </w:r>
      <w:r>
        <w:rPr>
          <w:rFonts w:ascii="Arial" w:cs="Arial" w:eastAsia="Arial" w:hAnsi="Arial"/>
          <w:sz w:val="16"/>
          <w:szCs w:val="16"/>
          <w:color w:val="000000"/>
        </w:rPr>
        <w:t>make, maintain or fund</w:t>
      </w:r>
      <w:r>
        <w:rPr>
          <w:rFonts w:ascii="Arial" w:cs="Arial" w:eastAsia="Arial" w:hAnsi="Arial"/>
          <w:sz w:val="16"/>
          <w:szCs w:val="16"/>
          <w:color w:val="FF0000"/>
        </w:rPr>
        <w:t xml:space="preserve"> </w:t>
      </w:r>
      <w:r>
        <w:rPr>
          <w:rFonts w:ascii="Arial" w:cs="Arial" w:eastAsia="Arial" w:hAnsi="Arial"/>
          <w:sz w:val="16"/>
          <w:szCs w:val="16"/>
          <w:color w:val="FF0000"/>
          <w:strike w:val="1"/>
        </w:rPr>
        <w:t>or charge</w:t>
      </w:r>
      <w:r>
        <w:rPr>
          <w:rFonts w:ascii="Arial" w:cs="Arial" w:eastAsia="Arial" w:hAnsi="Arial"/>
          <w:sz w:val="16"/>
          <w:szCs w:val="16"/>
          <w:u w:val="single" w:color="auto"/>
          <w:color w:val="0000E1"/>
        </w:rPr>
        <w:t>Loans whose</w:t>
      </w:r>
      <w:r>
        <w:rPr>
          <w:rFonts w:ascii="Arial" w:cs="Arial" w:eastAsia="Arial" w:hAnsi="Arial"/>
          <w:sz w:val="16"/>
          <w:szCs w:val="16"/>
          <w:color w:val="FF0000"/>
        </w:rPr>
        <w:t xml:space="preserve"> </w:t>
      </w:r>
      <w:r>
        <w:rPr>
          <w:rFonts w:ascii="Arial" w:cs="Arial" w:eastAsia="Arial" w:hAnsi="Arial"/>
          <w:sz w:val="16"/>
          <w:szCs w:val="16"/>
          <w:color w:val="000000"/>
        </w:rPr>
        <w:t>interest</w:t>
      </w:r>
      <w:r>
        <w:rPr>
          <w:rFonts w:ascii="Arial" w:cs="Arial" w:eastAsia="Arial" w:hAnsi="Arial"/>
          <w:sz w:val="16"/>
          <w:szCs w:val="16"/>
          <w:color w:val="FF0000"/>
        </w:rPr>
        <w:t xml:space="preserve"> </w:t>
      </w:r>
      <w:r>
        <w:rPr>
          <w:rFonts w:ascii="Arial" w:cs="Arial" w:eastAsia="Arial" w:hAnsi="Arial"/>
          <w:sz w:val="16"/>
          <w:szCs w:val="16"/>
          <w:color w:val="FF0000"/>
          <w:strike w:val="1"/>
        </w:rPr>
        <w:t>with respect to any credit extension</w:t>
      </w:r>
      <w:r>
        <w:rPr>
          <w:rFonts w:ascii="Arial" w:cs="Arial" w:eastAsia="Arial" w:hAnsi="Arial"/>
          <w:sz w:val="16"/>
          <w:szCs w:val="16"/>
          <w:u w:val="single" w:color="auto"/>
          <w:color w:val="0000E1"/>
        </w:rPr>
        <w:t>is determined by reference to the Eurodollar</w:t>
      </w:r>
      <w:r>
        <w:rPr>
          <w:rFonts w:ascii="Arial" w:cs="Arial" w:eastAsia="Arial" w:hAnsi="Arial"/>
          <w:sz w:val="16"/>
          <w:szCs w:val="16"/>
          <w:color w:val="FF0000"/>
        </w:rPr>
        <w:t xml:space="preserve"> </w:t>
      </w:r>
      <w:r>
        <w:rPr>
          <w:rFonts w:ascii="Arial" w:cs="Arial" w:eastAsia="Arial" w:hAnsi="Arial"/>
          <w:sz w:val="16"/>
          <w:szCs w:val="16"/>
          <w:u w:val="single" w:color="auto"/>
          <w:color w:val="0000E1"/>
        </w:rPr>
        <w:t>Rate,</w:t>
      </w:r>
      <w:r>
        <w:rPr>
          <w:rFonts w:ascii="Arial" w:cs="Arial" w:eastAsia="Arial" w:hAnsi="Arial"/>
          <w:sz w:val="16"/>
          <w:szCs w:val="16"/>
          <w:color w:val="0000E1"/>
        </w:rPr>
        <w:t xml:space="preserve"> </w:t>
      </w:r>
      <w:r>
        <w:rPr>
          <w:rFonts w:ascii="Arial" w:cs="Arial" w:eastAsia="Arial" w:hAnsi="Arial"/>
          <w:sz w:val="16"/>
          <w:szCs w:val="16"/>
          <w:color w:val="000000"/>
        </w:rPr>
        <w:t>or to determine or charge interest rates based upon the Eurodollar Rate, of any governmental authority has imposed material restrictions on the</w:t>
      </w:r>
      <w:r>
        <w:rPr>
          <w:rFonts w:ascii="Arial" w:cs="Arial" w:eastAsia="Arial" w:hAnsi="Arial"/>
          <w:sz w:val="16"/>
          <w:szCs w:val="16"/>
          <w:color w:val="0000E1"/>
        </w:rPr>
        <w:t xml:space="preserve"> </w:t>
      </w:r>
      <w:r>
        <w:rPr>
          <w:rFonts w:ascii="Arial" w:cs="Arial" w:eastAsia="Arial" w:hAnsi="Arial"/>
          <w:sz w:val="16"/>
          <w:szCs w:val="16"/>
          <w:color w:val="000000"/>
        </w:rPr>
        <w:t xml:space="preserve">authority of such Lender to purchase or sell, or to take deposits of, Dollars in the London interbank market, such Lender shall promptly give notice thereof to the Borrower through the Administrative Agent and (i) any obligation of such Lender to </w:t>
      </w:r>
      <w:r>
        <w:rPr>
          <w:rFonts w:ascii="Arial" w:cs="Arial" w:eastAsia="Arial" w:hAnsi="Arial"/>
          <w:sz w:val="16"/>
          <w:szCs w:val="16"/>
          <w:color w:val="FF0000"/>
          <w:strike w:val="1"/>
        </w:rPr>
        <w:t>issue,</w:t>
      </w:r>
      <w:r>
        <w:rPr>
          <w:rFonts w:ascii="Arial" w:cs="Arial" w:eastAsia="Arial" w:hAnsi="Arial"/>
          <w:sz w:val="16"/>
          <w:szCs w:val="16"/>
          <w:color w:val="000000"/>
        </w:rPr>
        <w:t xml:space="preserve"> make</w:t>
      </w:r>
      <w:r>
        <w:rPr>
          <w:rFonts w:ascii="Arial" w:cs="Arial" w:eastAsia="Arial" w:hAnsi="Arial"/>
          <w:sz w:val="16"/>
          <w:szCs w:val="16"/>
          <w:color w:val="FF0000"/>
          <w:strike w:val="1"/>
        </w:rPr>
        <w:t>, maintain, fund or charge interest</w:t>
      </w:r>
      <w:r>
        <w:rPr>
          <w:rFonts w:ascii="Arial" w:cs="Arial" w:eastAsia="Arial" w:hAnsi="Arial"/>
          <w:sz w:val="16"/>
          <w:szCs w:val="16"/>
          <w:color w:val="000000"/>
        </w:rPr>
        <w:t xml:space="preserve"> </w:t>
      </w:r>
      <w:r>
        <w:rPr>
          <w:rFonts w:ascii="Arial" w:cs="Arial" w:eastAsia="Arial" w:hAnsi="Arial"/>
          <w:sz w:val="16"/>
          <w:szCs w:val="16"/>
          <w:color w:val="008000"/>
          <w:strike w:val="1"/>
        </w:rPr>
        <w:t>with</w:t>
      </w:r>
      <w:r>
        <w:rPr>
          <w:rFonts w:ascii="Arial" w:cs="Arial" w:eastAsia="Arial" w:hAnsi="Arial"/>
          <w:sz w:val="16"/>
          <w:szCs w:val="16"/>
          <w:color w:val="000000"/>
        </w:rPr>
        <w:t xml:space="preserve"> </w:t>
      </w:r>
      <w:r>
        <w:rPr>
          <w:rFonts w:ascii="Arial" w:cs="Arial" w:eastAsia="Arial" w:hAnsi="Arial"/>
          <w:sz w:val="16"/>
          <w:szCs w:val="16"/>
          <w:color w:val="008000"/>
          <w:strike w:val="1"/>
        </w:rPr>
        <w:t>respect to any such</w:t>
      </w:r>
      <w:r>
        <w:rPr>
          <w:rFonts w:ascii="Arial" w:cs="Arial" w:eastAsia="Arial" w:hAnsi="Arial"/>
          <w:sz w:val="16"/>
          <w:szCs w:val="16"/>
          <w:color w:val="008000"/>
        </w:rPr>
        <w:t xml:space="preserve"> </w:t>
      </w:r>
      <w:r>
        <w:rPr>
          <w:rFonts w:ascii="Arial" w:cs="Arial" w:eastAsia="Arial" w:hAnsi="Arial"/>
          <w:sz w:val="16"/>
          <w:szCs w:val="16"/>
          <w:color w:val="FF0000"/>
          <w:strike w:val="1"/>
        </w:rPr>
        <w:t>credit extension</w:t>
      </w:r>
      <w:r>
        <w:rPr>
          <w:rFonts w:ascii="Arial" w:cs="Arial" w:eastAsia="Arial" w:hAnsi="Arial"/>
          <w:sz w:val="16"/>
          <w:szCs w:val="16"/>
          <w:color w:val="008000"/>
        </w:rPr>
        <w:t xml:space="preserve"> </w:t>
      </w:r>
      <w:r>
        <w:rPr>
          <w:rFonts w:ascii="Arial" w:cs="Arial" w:eastAsia="Arial" w:hAnsi="Arial"/>
          <w:sz w:val="16"/>
          <w:szCs w:val="16"/>
          <w:color w:val="000000"/>
        </w:rPr>
        <w:t>or continue Eurodollar Loans or to convert Base Rate Loans to Eurodollar Loans shall be suspended, and (ii) if such</w:t>
      </w:r>
      <w:r>
        <w:rPr>
          <w:rFonts w:ascii="Arial" w:cs="Arial" w:eastAsia="Arial" w:hAnsi="Arial"/>
          <w:sz w:val="16"/>
          <w:szCs w:val="16"/>
          <w:color w:val="008000"/>
        </w:rPr>
        <w:t xml:space="preserve"> </w:t>
      </w:r>
      <w:r>
        <w:rPr>
          <w:rFonts w:ascii="Arial" w:cs="Arial" w:eastAsia="Arial" w:hAnsi="Arial"/>
          <w:sz w:val="16"/>
          <w:szCs w:val="16"/>
          <w:color w:val="000000"/>
        </w:rPr>
        <w:t>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Loans of such Lender to Base Rate Loans (the interest rate on which Base Rate Loans of such Lender shall, if necessary to avoid such illegality, be determined by the Administrative Agent without reference to the Eurodollar Rate component of the Base Rate), either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-1519555</wp:posOffset>
            </wp:positionV>
            <wp:extent cx="60007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-1519555</wp:posOffset>
            </wp:positionV>
            <wp:extent cx="202311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2023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-1382395</wp:posOffset>
            </wp:positionV>
            <wp:extent cx="24003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-1184910</wp:posOffset>
            </wp:positionV>
            <wp:extent cx="28575"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5299710</wp:posOffset>
            </wp:positionH>
            <wp:positionV relativeFrom="paragraph">
              <wp:posOffset>-499110</wp:posOffset>
            </wp:positionV>
            <wp:extent cx="28575"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440" w:top="274" w:right="459" w:bottom="1440" w:gutter="0" w:footer="0" w:header="0"/>
        </w:sectPr>
      </w:pPr>
    </w:p>
    <w:bookmarkStart w:id="185" w:name="page186"/>
    <w:bookmarkEnd w:id="185"/>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last day of the Interest Period therefor, if such Lender may lawfully continue to maintain such Eurodollar Loans to such day, or immediately, if such Lender may not lawfully continue to maintain such Eurodollar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r>
        <w:rPr>
          <w:rFonts w:ascii="Arial" w:cs="Arial" w:eastAsia="Arial" w:hAnsi="Arial"/>
          <w:sz w:val="16"/>
          <w:szCs w:val="16"/>
          <w:u w:val="single" w:color="auto"/>
          <w:color w:val="0000E1"/>
        </w:rPr>
        <w:t>, together with any additional amounts required pursuant to Section 1.12</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-14605</wp:posOffset>
            </wp:positionV>
            <wp:extent cx="333502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3335020" cy="8890"/>
                    </a:xfrm>
                    <a:prstGeom prst="rect">
                      <a:avLst/>
                    </a:prstGeom>
                    <a:noFill/>
                  </pic:spPr>
                </pic:pic>
              </a:graphicData>
            </a:graphic>
          </wp:anchor>
        </w:drawing>
      </w:r>
    </w:p>
    <w:p>
      <w:pPr>
        <w:spacing w:after="0" w:line="252"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u w:val="single" w:color="auto"/>
          <w:color w:val="0000E1"/>
        </w:rPr>
        <w:t>Section 10.2</w:t>
      </w:r>
      <w:r>
        <w:rPr>
          <w:sz w:val="20"/>
          <w:szCs w:val="20"/>
          <w:color w:val="auto"/>
        </w:rPr>
        <w:tab/>
      </w:r>
      <w:r>
        <w:rPr>
          <w:rFonts w:ascii="Arial" w:cs="Arial" w:eastAsia="Arial" w:hAnsi="Arial"/>
          <w:sz w:val="16"/>
          <w:szCs w:val="16"/>
          <w:i w:val="1"/>
          <w:iCs w:val="1"/>
          <w:u w:val="single" w:color="auto"/>
          <w:color w:val="0000E1"/>
        </w:rPr>
        <w:t>Inability to Determine Rates</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2005965"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9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FF0000"/>
          <w:strike w:val="1"/>
        </w:rPr>
        <w:t>Section</w:t>
      </w:r>
      <w:r>
        <w:rPr>
          <w:rFonts w:ascii="Arial" w:cs="Arial" w:eastAsia="Arial" w:hAnsi="Arial"/>
          <w:sz w:val="18"/>
          <w:szCs w:val="18"/>
          <w:color w:val="FF0000"/>
        </w:rPr>
        <w:t xml:space="preserve"> 10.2 </w:t>
      </w:r>
      <w:r>
        <w:rPr>
          <w:rFonts w:ascii="Arial" w:cs="Arial" w:eastAsia="Arial" w:hAnsi="Arial"/>
          <w:sz w:val="18"/>
          <w:szCs w:val="18"/>
          <w:i w:val="1"/>
          <w:iCs w:val="1"/>
          <w:color w:val="FF0000"/>
        </w:rPr>
        <w:t>Unavailability of Deposits or Inability to Ascertain, or Inadequacy of, Eurodollar Rate</w:t>
      </w:r>
      <w:r>
        <w:rPr>
          <w:rFonts w:ascii="Arial" w:cs="Arial" w:eastAsia="Arial" w:hAnsi="Arial"/>
          <w:sz w:val="18"/>
          <w:szCs w:val="18"/>
          <w:color w:val="FF0000"/>
        </w:rPr>
        <w:t xml:space="preserve">. If on or prior to the first day of any Interest </w:t>
      </w:r>
      <w:r>
        <w:rPr>
          <w:rFonts w:ascii="Arial" w:cs="Arial" w:eastAsia="Arial" w:hAnsi="Arial"/>
          <w:sz w:val="18"/>
          <w:szCs w:val="18"/>
          <w:color w:val="FF0000"/>
          <w:strike w:val="1"/>
        </w:rPr>
        <w:t>Period for any Borrowing of Eurodollar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-224790</wp:posOffset>
            </wp:positionV>
            <wp:extent cx="625983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6259830" cy="8890"/>
                    </a:xfrm>
                    <a:prstGeom prst="rect">
                      <a:avLst/>
                    </a:prstGeom>
                    <a:noFill/>
                  </pic:spPr>
                </pic:pic>
              </a:graphicData>
            </a:graphic>
          </wp:anchor>
        </w:drawing>
      </w:r>
    </w:p>
    <w:p>
      <w:pPr>
        <w:spacing w:after="0" w:line="150" w:lineRule="exact"/>
        <w:rPr>
          <w:sz w:val="20"/>
          <w:szCs w:val="20"/>
          <w:color w:val="auto"/>
        </w:rPr>
      </w:pPr>
    </w:p>
    <w:p>
      <w:pPr>
        <w:jc w:val="both"/>
        <w:ind w:right="700" w:firstLine="987"/>
        <w:spacing w:after="0" w:line="263" w:lineRule="auto"/>
        <w:tabs>
          <w:tab w:leader="none" w:pos="1236" w:val="left"/>
        </w:tabs>
        <w:numPr>
          <w:ilvl w:val="0"/>
          <w:numId w:val="234"/>
        </w:numPr>
        <w:rPr>
          <w:rFonts w:ascii="Arial" w:cs="Arial" w:eastAsia="Arial" w:hAnsi="Arial"/>
          <w:sz w:val="18"/>
          <w:szCs w:val="18"/>
          <w:color w:val="FF0000"/>
          <w:strike w:val="1"/>
        </w:rPr>
      </w:pPr>
      <w:r>
        <w:rPr>
          <w:rFonts w:ascii="Arial" w:cs="Arial" w:eastAsia="Arial" w:hAnsi="Arial"/>
          <w:sz w:val="18"/>
          <w:szCs w:val="18"/>
          <w:color w:val="008000"/>
          <w:strike w:val="1"/>
        </w:rPr>
        <w:t xml:space="preserve">the Administrative Agent determines that deposits in U.S. Dollars (in the applicable amounts) are not being offered to </w:t>
      </w:r>
      <w:r>
        <w:rPr>
          <w:rFonts w:ascii="Arial" w:cs="Arial" w:eastAsia="Arial" w:hAnsi="Arial"/>
          <w:sz w:val="18"/>
          <w:szCs w:val="18"/>
          <w:color w:val="FF0000"/>
          <w:strike w:val="1"/>
        </w:rPr>
        <w:t>it in the</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 xml:space="preserve">interbank eurodollar </w:t>
      </w:r>
      <w:r>
        <w:rPr>
          <w:rFonts w:ascii="Arial" w:cs="Arial" w:eastAsia="Arial" w:hAnsi="Arial"/>
          <w:sz w:val="18"/>
          <w:szCs w:val="18"/>
          <w:color w:val="008000"/>
          <w:strike w:val="1"/>
        </w:rPr>
        <w:t>market for such Interest Period, or</w:t>
      </w:r>
      <w:r>
        <w:rPr>
          <w:rFonts w:ascii="Arial" w:cs="Arial" w:eastAsia="Arial" w:hAnsi="Arial"/>
          <w:sz w:val="18"/>
          <w:szCs w:val="18"/>
          <w:color w:val="FF0000"/>
          <w:strike w:val="1"/>
        </w:rPr>
        <w:t xml:space="preserve"> that by reason of circumstances affecting the interbank eurodollar market </w:t>
      </w:r>
      <w:r>
        <w:rPr>
          <w:rFonts w:ascii="Arial" w:cs="Arial" w:eastAsia="Arial" w:hAnsi="Arial"/>
          <w:sz w:val="18"/>
          <w:szCs w:val="18"/>
          <w:color w:val="008000"/>
          <w:strike w:val="1"/>
        </w:rPr>
        <w:t>adequate and</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reasonable means do not exist for ascertaining the applicable Eurodollar Rate, or</w:t>
      </w:r>
    </w:p>
    <w:p>
      <w:pPr>
        <w:spacing w:after="0" w:line="183" w:lineRule="exact"/>
        <w:rPr>
          <w:rFonts w:ascii="Arial" w:cs="Arial" w:eastAsia="Arial" w:hAnsi="Arial"/>
          <w:sz w:val="18"/>
          <w:szCs w:val="18"/>
          <w:color w:val="FF0000"/>
          <w:strike w:val="1"/>
        </w:rPr>
      </w:pPr>
    </w:p>
    <w:p>
      <w:pPr>
        <w:ind w:right="320" w:firstLine="987"/>
        <w:spacing w:after="0" w:line="277" w:lineRule="auto"/>
        <w:tabs>
          <w:tab w:leader="none" w:pos="1246" w:val="left"/>
        </w:tabs>
        <w:numPr>
          <w:ilvl w:val="0"/>
          <w:numId w:val="234"/>
        </w:numPr>
        <w:rPr>
          <w:rFonts w:ascii="Arial" w:cs="Arial" w:eastAsia="Arial" w:hAnsi="Arial"/>
          <w:sz w:val="18"/>
          <w:szCs w:val="18"/>
          <w:color w:val="FF0000"/>
          <w:strike w:val="1"/>
        </w:rPr>
      </w:pPr>
      <w:r>
        <w:rPr>
          <w:rFonts w:ascii="Arial" w:cs="Arial" w:eastAsia="Arial" w:hAnsi="Arial"/>
          <w:sz w:val="18"/>
          <w:szCs w:val="18"/>
          <w:color w:val="FF0000"/>
          <w:strike w:val="1"/>
        </w:rPr>
        <w:t>the Required Lenders advise the Administrative Agent that the Eurodollar Rate as determined by the Administrative Agent will</w:t>
      </w:r>
      <w:r>
        <w:rPr>
          <w:rFonts w:ascii="Arial" w:cs="Arial" w:eastAsia="Arial" w:hAnsi="Arial"/>
          <w:sz w:val="18"/>
          <w:szCs w:val="18"/>
          <w:color w:val="FF0000"/>
        </w:rPr>
        <w:t xml:space="preserve"> </w:t>
      </w:r>
      <w:r>
        <w:rPr>
          <w:rFonts w:ascii="Arial" w:cs="Arial" w:eastAsia="Arial" w:hAnsi="Arial"/>
          <w:sz w:val="18"/>
          <w:szCs w:val="18"/>
          <w:color w:val="008000"/>
        </w:rPr>
        <w:t>not</w:t>
      </w:r>
      <w:r>
        <w:rPr>
          <w:rFonts w:ascii="Arial" w:cs="Arial" w:eastAsia="Arial" w:hAnsi="Arial"/>
          <w:sz w:val="18"/>
          <w:szCs w:val="18"/>
          <w:color w:val="FF0000"/>
        </w:rPr>
        <w:t xml:space="preserve"> </w:t>
      </w:r>
      <w:r>
        <w:rPr>
          <w:rFonts w:ascii="Arial" w:cs="Arial" w:eastAsia="Arial" w:hAnsi="Arial"/>
          <w:sz w:val="18"/>
          <w:szCs w:val="18"/>
          <w:color w:val="008000"/>
          <w:strike w:val="1"/>
        </w:rPr>
        <w:t>adequately and fairly reflect the cost to such Lenders of funding their Eurodollar Loans for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6610985</wp:posOffset>
            </wp:positionH>
            <wp:positionV relativeFrom="paragraph">
              <wp:posOffset>-224790</wp:posOffset>
            </wp:positionV>
            <wp:extent cx="174625"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74625" cy="8255"/>
                    </a:xfrm>
                    <a:prstGeom prst="rect">
                      <a:avLst/>
                    </a:prstGeom>
                    <a:noFill/>
                  </pic:spPr>
                </pic:pic>
              </a:graphicData>
            </a:graphic>
          </wp:anchor>
        </w:drawing>
      </w:r>
    </w:p>
    <w:p>
      <w:pPr>
        <w:spacing w:after="0" w:line="150" w:lineRule="exact"/>
        <w:rPr>
          <w:sz w:val="20"/>
          <w:szCs w:val="20"/>
          <w:color w:val="auto"/>
        </w:rPr>
      </w:pPr>
    </w:p>
    <w:p>
      <w:pPr>
        <w:ind w:firstLine="987"/>
        <w:spacing w:after="0" w:line="267" w:lineRule="auto"/>
        <w:tabs>
          <w:tab w:leader="none" w:pos="1461" w:val="left"/>
        </w:tabs>
        <w:numPr>
          <w:ilvl w:val="0"/>
          <w:numId w:val="235"/>
        </w:numPr>
        <w:rPr>
          <w:rFonts w:ascii="Arial" w:cs="Arial" w:eastAsia="Arial" w:hAnsi="Arial"/>
          <w:sz w:val="17"/>
          <w:szCs w:val="17"/>
          <w:u w:val="single" w:color="auto"/>
          <w:color w:val="0000E1"/>
        </w:rPr>
      </w:pPr>
      <w:r>
        <w:rPr>
          <w:rFonts w:ascii="Arial" w:cs="Arial" w:eastAsia="Arial" w:hAnsi="Arial"/>
          <w:sz w:val="17"/>
          <w:szCs w:val="17"/>
          <w:color w:val="FF0000"/>
          <w:strike w:val="1"/>
        </w:rPr>
        <w:t>then</w:t>
      </w:r>
      <w:r>
        <w:rPr>
          <w:rFonts w:ascii="Arial" w:cs="Arial" w:eastAsia="Arial" w:hAnsi="Arial"/>
          <w:sz w:val="17"/>
          <w:szCs w:val="17"/>
          <w:color w:val="FF0000"/>
        </w:rPr>
        <w:t xml:space="preserve"> </w:t>
      </w:r>
      <w:r>
        <w:rPr>
          <w:rFonts w:ascii="Arial" w:cs="Arial" w:eastAsia="Arial" w:hAnsi="Arial"/>
          <w:sz w:val="17"/>
          <w:szCs w:val="17"/>
          <w:color w:val="0000E1"/>
        </w:rPr>
        <w:t>If in connection with any request for a Eurodollar Loan or a conversion to or continuation thereof, (i</w:t>
      </w:r>
      <w:r>
        <w:rPr>
          <w:rFonts w:ascii="Arial" w:cs="Arial" w:eastAsia="Arial" w:hAnsi="Arial"/>
          <w:sz w:val="17"/>
          <w:szCs w:val="17"/>
          <w:u w:val="single" w:color="auto"/>
          <w:color w:val="0000E1"/>
        </w:rPr>
        <w:t>)</w:t>
      </w:r>
      <w:r>
        <w:rPr>
          <w:rFonts w:ascii="Arial" w:cs="Arial" w:eastAsia="Arial" w:hAnsi="Arial"/>
          <w:sz w:val="17"/>
          <w:szCs w:val="17"/>
          <w:color w:val="FF0000"/>
        </w:rPr>
        <w:t xml:space="preserve"> </w:t>
      </w:r>
      <w:r>
        <w:rPr>
          <w:rFonts w:ascii="Arial" w:cs="Arial" w:eastAsia="Arial" w:hAnsi="Arial"/>
          <w:sz w:val="17"/>
          <w:szCs w:val="17"/>
          <w:color w:val="008000"/>
        </w:rPr>
        <w:t>the Administrative Agent</w:t>
      </w:r>
      <w:r>
        <w:rPr>
          <w:rFonts w:ascii="Arial" w:cs="Arial" w:eastAsia="Arial" w:hAnsi="Arial"/>
          <w:sz w:val="17"/>
          <w:szCs w:val="17"/>
          <w:color w:val="FF0000"/>
        </w:rPr>
        <w:t xml:space="preserve"> </w:t>
      </w:r>
      <w:r>
        <w:rPr>
          <w:rFonts w:ascii="Arial" w:cs="Arial" w:eastAsia="Arial" w:hAnsi="Arial"/>
          <w:sz w:val="17"/>
          <w:szCs w:val="17"/>
          <w:u w:val="single" w:color="auto"/>
          <w:color w:val="008000"/>
        </w:rPr>
        <w:t xml:space="preserve">determines that </w:t>
      </w:r>
      <w:r>
        <w:rPr>
          <w:rFonts w:ascii="Arial" w:cs="Arial" w:eastAsia="Arial" w:hAnsi="Arial"/>
          <w:sz w:val="17"/>
          <w:szCs w:val="17"/>
          <w:u w:val="single" w:color="auto"/>
          <w:color w:val="0000E1"/>
        </w:rPr>
        <w:t>(A)</w:t>
      </w:r>
      <w:r>
        <w:rPr>
          <w:rFonts w:ascii="Arial" w:cs="Arial" w:eastAsia="Arial" w:hAnsi="Arial"/>
          <w:sz w:val="17"/>
          <w:szCs w:val="17"/>
          <w:u w:val="single" w:color="auto"/>
          <w:color w:val="008000"/>
        </w:rPr>
        <w:t xml:space="preserve"> deposits in U.S. Dollars (in the applicable amounts) are not being offered to </w:t>
      </w:r>
      <w:r>
        <w:rPr>
          <w:rFonts w:ascii="Arial" w:cs="Arial" w:eastAsia="Arial" w:hAnsi="Arial"/>
          <w:sz w:val="17"/>
          <w:szCs w:val="17"/>
          <w:u w:val="single" w:color="auto"/>
          <w:color w:val="0000E1"/>
        </w:rPr>
        <w:t>banks in the interbank Eurodollar</w:t>
      </w:r>
      <w:r>
        <w:rPr>
          <w:rFonts w:ascii="Arial" w:cs="Arial" w:eastAsia="Arial" w:hAnsi="Arial"/>
          <w:sz w:val="17"/>
          <w:szCs w:val="17"/>
          <w:u w:val="single" w:color="auto"/>
          <w:color w:val="008000"/>
        </w:rPr>
        <w:t xml:space="preserve"> market for such Interest Period, or </w:t>
      </w:r>
      <w:r>
        <w:rPr>
          <w:rFonts w:ascii="Arial" w:cs="Arial" w:eastAsia="Arial" w:hAnsi="Arial"/>
          <w:sz w:val="17"/>
          <w:szCs w:val="17"/>
          <w:u w:val="single" w:color="auto"/>
          <w:color w:val="0000E1"/>
        </w:rPr>
        <w:t>(B) (x)</w:t>
      </w:r>
      <w:r>
        <w:rPr>
          <w:rFonts w:ascii="Arial" w:cs="Arial" w:eastAsia="Arial" w:hAnsi="Arial"/>
          <w:sz w:val="17"/>
          <w:szCs w:val="17"/>
          <w:u w:val="single" w:color="auto"/>
          <w:color w:val="008000"/>
        </w:rPr>
        <w:t xml:space="preserve"> adequate and reasonable means do not exist for </w:t>
      </w:r>
      <w:r>
        <w:rPr>
          <w:rFonts w:ascii="Arial" w:cs="Arial" w:eastAsia="Arial" w:hAnsi="Arial"/>
          <w:sz w:val="17"/>
          <w:szCs w:val="17"/>
          <w:u w:val="single" w:color="auto"/>
          <w:color w:val="0000E1"/>
        </w:rPr>
        <w:t>determining the Eurodollar Rate for any requested Interest Period with respect</w:t>
      </w:r>
      <w:r>
        <w:rPr>
          <w:rFonts w:ascii="Arial" w:cs="Arial" w:eastAsia="Arial" w:hAnsi="Arial"/>
          <w:sz w:val="17"/>
          <w:szCs w:val="17"/>
          <w:u w:val="single" w:color="auto"/>
          <w:color w:val="008000"/>
        </w:rPr>
        <w:t xml:space="preserve"> </w:t>
      </w:r>
      <w:r>
        <w:rPr>
          <w:rFonts w:ascii="Arial" w:cs="Arial" w:eastAsia="Arial" w:hAnsi="Arial"/>
          <w:sz w:val="17"/>
          <w:szCs w:val="17"/>
          <w:u w:val="single" w:color="auto"/>
          <w:color w:val="0000E1"/>
        </w:rPr>
        <w:t>to a proposed Eurodollar Loan or in connection with an existing or proposed Base Rate Loan and (y) the circumstances described in Section</w:t>
      </w:r>
      <w:r>
        <w:rPr>
          <w:rFonts w:ascii="Arial" w:cs="Arial" w:eastAsia="Arial" w:hAnsi="Arial"/>
          <w:sz w:val="17"/>
          <w:szCs w:val="17"/>
          <w:color w:val="0000E1"/>
        </w:rPr>
        <w:t xml:space="preserve"> 10.2(c)( i</w:t>
      </w:r>
      <w:r>
        <w:rPr>
          <w:rFonts w:ascii="Arial" w:cs="Arial" w:eastAsia="Arial" w:hAnsi="Arial"/>
          <w:sz w:val="17"/>
          <w:szCs w:val="17"/>
          <w:u w:val="single" w:color="auto"/>
          <w:color w:val="0000E1"/>
        </w:rPr>
        <w:t>)</w:t>
      </w:r>
      <w:r>
        <w:rPr>
          <w:rFonts w:ascii="Arial" w:cs="Arial" w:eastAsia="Arial" w:hAnsi="Arial"/>
          <w:sz w:val="17"/>
          <w:szCs w:val="17"/>
          <w:color w:val="0000E1"/>
        </w:rPr>
        <w:t xml:space="preserve"> </w:t>
      </w:r>
      <w:r>
        <w:rPr>
          <w:rFonts w:ascii="Arial" w:cs="Arial" w:eastAsia="Arial" w:hAnsi="Arial"/>
          <w:sz w:val="17"/>
          <w:szCs w:val="17"/>
          <w:u w:val="single" w:color="auto"/>
          <w:color w:val="0000E1"/>
        </w:rPr>
        <w:t>do not apply (in each case with respect to this clause (i), “</w:t>
      </w:r>
      <w:r>
        <w:rPr>
          <w:rFonts w:ascii="Arial" w:cs="Arial" w:eastAsia="Arial" w:hAnsi="Arial"/>
          <w:sz w:val="17"/>
          <w:szCs w:val="17"/>
          <w:i w:val="1"/>
          <w:iCs w:val="1"/>
          <w:u w:val="single" w:color="auto"/>
          <w:color w:val="0000E1"/>
        </w:rPr>
        <w:t>Impacted Loans</w:t>
      </w:r>
      <w:r>
        <w:rPr>
          <w:rFonts w:ascii="Arial" w:cs="Arial" w:eastAsia="Arial" w:hAnsi="Arial"/>
          <w:sz w:val="17"/>
          <w:szCs w:val="17"/>
          <w:u w:val="single" w:color="auto"/>
          <w:color w:val="0000E1"/>
        </w:rPr>
        <w:t xml:space="preserve">”), or (ii) the Administrative Agent or the Required Lenders determine that for any reason the Eurodollar Rate for any requested Interest Period with respect to a proposed Eurodollar Loan does not adequately and fairly reflect the cost to such Lenders of funding </w:t>
      </w:r>
      <w:r>
        <w:rPr>
          <w:rFonts w:ascii="Arial" w:cs="Arial" w:eastAsia="Arial" w:hAnsi="Arial"/>
          <w:sz w:val="17"/>
          <w:szCs w:val="17"/>
          <w:u w:val="single" w:color="auto"/>
          <w:color w:val="008000"/>
        </w:rPr>
        <w:t>their Eurodollar Loans for such Interest Period,</w:t>
      </w:r>
      <w:r>
        <w:rPr>
          <w:rFonts w:ascii="Arial" w:cs="Arial" w:eastAsia="Arial" w:hAnsi="Arial"/>
          <w:sz w:val="17"/>
          <w:szCs w:val="17"/>
          <w:u w:val="single" w:color="auto"/>
          <w:color w:val="0000E1"/>
        </w:rPr>
        <w:t xml:space="preserve"> the Administrative Agent will promptly so notify the Borrower and each Lender. Thereafter, (x)</w:t>
      </w:r>
      <w:r>
        <w:rPr>
          <w:rFonts w:ascii="Arial" w:cs="Arial" w:eastAsia="Arial" w:hAnsi="Arial"/>
          <w:sz w:val="17"/>
          <w:szCs w:val="17"/>
          <w:color w:val="0000E1"/>
        </w:rPr>
        <w:t xml:space="preserve"> </w:t>
      </w:r>
      <w:r>
        <w:rPr>
          <w:rFonts w:ascii="Arial" w:cs="Arial" w:eastAsia="Arial" w:hAnsi="Arial"/>
          <w:sz w:val="17"/>
          <w:szCs w:val="17"/>
          <w:color w:val="000000"/>
        </w:rPr>
        <w:t>the obligation of the Lenders to make or maintain Eurodollar Loans shall be suspended (to the extent of the affected Eurodollar</w:t>
      </w:r>
      <w:r>
        <w:rPr>
          <w:rFonts w:ascii="Arial" w:cs="Arial" w:eastAsia="Arial" w:hAnsi="Arial"/>
          <w:sz w:val="17"/>
          <w:szCs w:val="17"/>
          <w:color w:val="0000E1"/>
        </w:rPr>
        <w:t xml:space="preserve"> </w:t>
      </w:r>
      <w:r>
        <w:rPr>
          <w:rFonts w:ascii="Arial" w:cs="Arial" w:eastAsia="Arial" w:hAnsi="Arial"/>
          <w:sz w:val="17"/>
          <w:szCs w:val="17"/>
          <w:color w:val="000000"/>
        </w:rPr>
        <w:t xml:space="preserve">Loans or Interest Periods) and </w:t>
      </w:r>
      <w:r>
        <w:rPr>
          <w:rFonts w:ascii="Arial" w:cs="Arial" w:eastAsia="Arial" w:hAnsi="Arial"/>
          <w:sz w:val="17"/>
          <w:szCs w:val="17"/>
          <w:u w:val="single" w:color="auto"/>
          <w:color w:val="0000E1"/>
        </w:rPr>
        <w:t>(y)</w:t>
      </w:r>
      <w:r>
        <w:rPr>
          <w:rFonts w:ascii="Arial" w:cs="Arial" w:eastAsia="Arial" w:hAnsi="Arial"/>
          <w:sz w:val="17"/>
          <w:szCs w:val="17"/>
          <w:color w:val="000000"/>
        </w:rPr>
        <w:t xml:space="preserve"> in the event of a determination described in the preceding sentence with respect to the Eurodollar Rate component of the Base Rate, the utilization of the Eurodollar Rate component in determining the Base Rate shall be suspended, in each case until the Administrative Agent </w:t>
      </w:r>
      <w:r>
        <w:rPr>
          <w:rFonts w:ascii="Arial" w:cs="Arial" w:eastAsia="Arial" w:hAnsi="Arial"/>
          <w:sz w:val="17"/>
          <w:szCs w:val="17"/>
          <w:color w:val="FF0000"/>
          <w:strike w:val="1"/>
        </w:rPr>
        <w:t>upon the instruction of the affected Lenders revokes such notice. The Administrative Agent shall forthwith give notice thereof to the Borrower</w:t>
      </w:r>
      <w:r>
        <w:rPr>
          <w:rFonts w:ascii="Arial" w:cs="Arial" w:eastAsia="Arial" w:hAnsi="Arial"/>
          <w:sz w:val="17"/>
          <w:szCs w:val="17"/>
          <w:color w:val="000000"/>
        </w:rPr>
        <w:t xml:space="preserve"> </w:t>
      </w:r>
      <w:r>
        <w:rPr>
          <w:rFonts w:ascii="Arial" w:cs="Arial" w:eastAsia="Arial" w:hAnsi="Arial"/>
          <w:sz w:val="17"/>
          <w:szCs w:val="17"/>
          <w:color w:val="FF0000"/>
          <w:strike w:val="1"/>
        </w:rPr>
        <w:t>and the Lenders, whereupon</w:t>
      </w:r>
      <w:r>
        <w:rPr>
          <w:rFonts w:ascii="Arial" w:cs="Arial" w:eastAsia="Arial" w:hAnsi="Arial"/>
          <w:sz w:val="17"/>
          <w:szCs w:val="17"/>
          <w:u w:val="single" w:color="auto"/>
          <w:color w:val="0000E1"/>
        </w:rPr>
        <w:t>(or, in the case of a determination by the Required Lenders described in clause (ii) of this Section 10.2(a),</w:t>
      </w:r>
      <w:r>
        <w:rPr>
          <w:rFonts w:ascii="Arial" w:cs="Arial" w:eastAsia="Arial" w:hAnsi="Arial"/>
          <w:sz w:val="17"/>
          <w:szCs w:val="17"/>
          <w:color w:val="FF0000"/>
        </w:rPr>
        <w:t xml:space="preserve"> </w:t>
      </w:r>
      <w:r>
        <w:rPr>
          <w:rFonts w:ascii="Arial" w:cs="Arial" w:eastAsia="Arial" w:hAnsi="Arial"/>
          <w:sz w:val="17"/>
          <w:szCs w:val="17"/>
          <w:color w:val="000000"/>
        </w:rPr>
        <w:t>until the</w:t>
      </w:r>
      <w:r>
        <w:rPr>
          <w:rFonts w:ascii="Arial" w:cs="Arial" w:eastAsia="Arial" w:hAnsi="Arial"/>
          <w:sz w:val="17"/>
          <w:szCs w:val="17"/>
          <w:color w:val="FF0000"/>
        </w:rPr>
        <w:t xml:space="preserve"> </w:t>
      </w:r>
      <w:r>
        <w:rPr>
          <w:rFonts w:ascii="Arial" w:cs="Arial" w:eastAsia="Arial" w:hAnsi="Arial"/>
          <w:sz w:val="17"/>
          <w:szCs w:val="17"/>
          <w:color w:val="000000"/>
        </w:rPr>
        <w:t xml:space="preserve">Administrative Agent </w:t>
      </w:r>
      <w:r>
        <w:rPr>
          <w:rFonts w:ascii="Arial" w:cs="Arial" w:eastAsia="Arial" w:hAnsi="Arial"/>
          <w:sz w:val="17"/>
          <w:szCs w:val="17"/>
          <w:color w:val="FF0000"/>
          <w:strike w:val="1"/>
        </w:rPr>
        <w:t>notifies the Borrower that the circumstances giving rise to such suspension no longer exist, the obligations</w:t>
      </w:r>
      <w:r>
        <w:rPr>
          <w:rFonts w:ascii="Arial" w:cs="Arial" w:eastAsia="Arial" w:hAnsi="Arial"/>
          <w:sz w:val="17"/>
          <w:szCs w:val="17"/>
          <w:color w:val="000000"/>
        </w:rPr>
        <w:t xml:space="preserve"> </w:t>
      </w:r>
      <w:r>
        <w:rPr>
          <w:rFonts w:ascii="Arial" w:cs="Arial" w:eastAsia="Arial" w:hAnsi="Arial"/>
          <w:sz w:val="17"/>
          <w:szCs w:val="17"/>
          <w:color w:val="008000"/>
          <w:strike w:val="1"/>
        </w:rPr>
        <w:t>of the Lenders to make</w:t>
      </w:r>
      <w:r>
        <w:rPr>
          <w:rFonts w:ascii="Arial" w:cs="Arial" w:eastAsia="Arial" w:hAnsi="Arial"/>
          <w:sz w:val="17"/>
          <w:szCs w:val="17"/>
          <w:color w:val="000000"/>
        </w:rPr>
        <w:t xml:space="preserve"> </w:t>
      </w:r>
      <w:r>
        <w:rPr>
          <w:rFonts w:ascii="Arial" w:cs="Arial" w:eastAsia="Arial" w:hAnsi="Arial"/>
          <w:sz w:val="17"/>
          <w:szCs w:val="17"/>
          <w:color w:val="008000"/>
          <w:strike w:val="1"/>
        </w:rPr>
        <w:t>Eurodollar Loans shall be suspended</w:t>
      </w:r>
      <w:r>
        <w:rPr>
          <w:rFonts w:ascii="Arial" w:cs="Arial" w:eastAsia="Arial" w:hAnsi="Arial"/>
          <w:sz w:val="17"/>
          <w:szCs w:val="17"/>
          <w:color w:val="FF0000"/>
          <w:strike w:val="1"/>
        </w:rPr>
        <w:t>;</w:t>
      </w:r>
      <w:r>
        <w:rPr>
          <w:rFonts w:ascii="Arial" w:cs="Arial" w:eastAsia="Arial" w:hAnsi="Arial"/>
          <w:sz w:val="17"/>
          <w:szCs w:val="17"/>
          <w:color w:val="008000"/>
          <w:strike w:val="1"/>
        </w:rPr>
        <w:t xml:space="preserve"> </w:t>
      </w:r>
      <w:r>
        <w:rPr>
          <w:rFonts w:ascii="Arial" w:cs="Arial" w:eastAsia="Arial" w:hAnsi="Arial"/>
          <w:sz w:val="17"/>
          <w:szCs w:val="17"/>
          <w:i w:val="1"/>
          <w:iCs w:val="1"/>
          <w:color w:val="FF0000"/>
          <w:strike w:val="1"/>
        </w:rPr>
        <w:t>provided, however,</w:t>
      </w:r>
      <w:r>
        <w:rPr>
          <w:rFonts w:ascii="Arial" w:cs="Arial" w:eastAsia="Arial" w:hAnsi="Arial"/>
          <w:sz w:val="17"/>
          <w:szCs w:val="17"/>
          <w:color w:val="008000"/>
          <w:strike w:val="1"/>
        </w:rPr>
        <w:t xml:space="preserve"> </w:t>
      </w:r>
      <w:r>
        <w:rPr>
          <w:rFonts w:ascii="Arial" w:cs="Arial" w:eastAsia="Arial" w:hAnsi="Arial"/>
          <w:sz w:val="17"/>
          <w:szCs w:val="17"/>
          <w:color w:val="FF0000"/>
          <w:strike w:val="1"/>
        </w:rPr>
        <w:t>subject to all of the terms and conditions of this Agreement</w:t>
      </w:r>
      <w:r>
        <w:rPr>
          <w:rFonts w:ascii="Arial" w:cs="Arial" w:eastAsia="Arial" w:hAnsi="Arial"/>
          <w:sz w:val="17"/>
          <w:szCs w:val="17"/>
          <w:u w:val="single" w:color="auto"/>
          <w:color w:val="0000E1"/>
          <w:strike w:val="1"/>
        </w:rPr>
        <w:t>upon instruction of the Required</w:t>
      </w:r>
      <w:r>
        <w:rPr>
          <w:rFonts w:ascii="Arial" w:cs="Arial" w:eastAsia="Arial" w:hAnsi="Arial"/>
          <w:sz w:val="17"/>
          <w:szCs w:val="17"/>
          <w:color w:val="008000"/>
          <w:strike w:val="1"/>
        </w:rPr>
        <w:t xml:space="preserve"> </w:t>
      </w:r>
      <w:r>
        <w:rPr>
          <w:rFonts w:ascii="Arial" w:cs="Arial" w:eastAsia="Arial" w:hAnsi="Arial"/>
          <w:sz w:val="17"/>
          <w:szCs w:val="17"/>
          <w:u w:val="single" w:color="auto"/>
          <w:color w:val="0000E1"/>
          <w:strike w:val="1"/>
        </w:rPr>
        <w:t>Lenders) revokes such notice. Upon receipt of such notice</w:t>
      </w:r>
      <w:r>
        <w:rPr>
          <w:rFonts w:ascii="Arial" w:cs="Arial" w:eastAsia="Arial" w:hAnsi="Arial"/>
          <w:sz w:val="17"/>
          <w:szCs w:val="17"/>
          <w:color w:val="000000"/>
          <w:strike w:val="1"/>
        </w:rPr>
        <w:t>, the Borrower may</w:t>
      </w:r>
      <w:r>
        <w:rPr>
          <w:rFonts w:ascii="Arial" w:cs="Arial" w:eastAsia="Arial" w:hAnsi="Arial"/>
          <w:sz w:val="17"/>
          <w:szCs w:val="17"/>
          <w:color w:val="0000E1"/>
          <w:strike w:val="1"/>
        </w:rPr>
        <w:t xml:space="preserve"> </w:t>
      </w:r>
      <w:r>
        <w:rPr>
          <w:rFonts w:ascii="Arial" w:cs="Arial" w:eastAsia="Arial" w:hAnsi="Arial"/>
          <w:sz w:val="17"/>
          <w:szCs w:val="17"/>
          <w:color w:val="FF0000"/>
          <w:strike w:val="1"/>
        </w:rPr>
        <w:t>then elect to borrow the principal amount of</w:t>
      </w:r>
      <w:r>
        <w:rPr>
          <w:rFonts w:ascii="Arial" w:cs="Arial" w:eastAsia="Arial" w:hAnsi="Arial"/>
          <w:sz w:val="17"/>
          <w:szCs w:val="17"/>
          <w:u w:val="single" w:color="auto"/>
          <w:color w:val="0000E1"/>
          <w:strike w:val="1"/>
        </w:rPr>
        <w:t>revoke any pending request</w:t>
      </w:r>
      <w:r>
        <w:rPr>
          <w:rFonts w:ascii="Arial" w:cs="Arial" w:eastAsia="Arial" w:hAnsi="Arial"/>
          <w:sz w:val="17"/>
          <w:szCs w:val="17"/>
          <w:color w:val="0000E1"/>
          <w:strike w:val="1"/>
        </w:rPr>
        <w:t xml:space="preserve"> </w:t>
      </w:r>
      <w:r>
        <w:rPr>
          <w:rFonts w:ascii="Arial" w:cs="Arial" w:eastAsia="Arial" w:hAnsi="Arial"/>
          <w:sz w:val="17"/>
          <w:szCs w:val="17"/>
          <w:u w:val="single" w:color="auto"/>
          <w:color w:val="0000E1"/>
          <w:strike w:val="1"/>
        </w:rPr>
        <w:t>for a Borrowing of, conversion to or continuation of Eurodollar Loans (to the extent of</w:t>
      </w:r>
      <w:r>
        <w:rPr>
          <w:rFonts w:ascii="Arial" w:cs="Arial" w:eastAsia="Arial" w:hAnsi="Arial"/>
          <w:sz w:val="17"/>
          <w:szCs w:val="17"/>
          <w:color w:val="0000E1"/>
          <w:strike w:val="1"/>
        </w:rPr>
        <w:t xml:space="preserve"> </w:t>
      </w:r>
      <w:r>
        <w:rPr>
          <w:rFonts w:ascii="Arial" w:cs="Arial" w:eastAsia="Arial" w:hAnsi="Arial"/>
          <w:sz w:val="17"/>
          <w:szCs w:val="17"/>
          <w:color w:val="000000"/>
          <w:strike w:val="1"/>
        </w:rPr>
        <w:t>the affected Eurodollar Loans</w:t>
      </w:r>
      <w:r>
        <w:rPr>
          <w:rFonts w:ascii="Arial" w:cs="Arial" w:eastAsia="Arial" w:hAnsi="Arial"/>
          <w:sz w:val="17"/>
          <w:szCs w:val="17"/>
          <w:color w:val="0000E1"/>
          <w:strike w:val="1"/>
        </w:rPr>
        <w:t xml:space="preserve"> </w:t>
      </w:r>
      <w:r>
        <w:rPr>
          <w:rFonts w:ascii="Arial" w:cs="Arial" w:eastAsia="Arial" w:hAnsi="Arial"/>
          <w:sz w:val="17"/>
          <w:szCs w:val="17"/>
          <w:color w:val="FF0000"/>
          <w:strike w:val="1"/>
        </w:rPr>
        <w:t>from such Lenders by means of</w:t>
      </w:r>
      <w:r>
        <w:rPr>
          <w:rFonts w:ascii="Arial" w:cs="Arial" w:eastAsia="Arial" w:hAnsi="Arial"/>
          <w:sz w:val="17"/>
          <w:szCs w:val="17"/>
          <w:color w:val="0000E1"/>
          <w:strike w:val="1"/>
        </w:rPr>
        <w:t xml:space="preserve"> </w:t>
      </w:r>
      <w:r>
        <w:rPr>
          <w:rFonts w:ascii="Arial" w:cs="Arial" w:eastAsia="Arial" w:hAnsi="Arial"/>
          <w:sz w:val="17"/>
          <w:szCs w:val="17"/>
          <w:color w:val="FF0000"/>
          <w:strike w:val="1"/>
        </w:rPr>
        <w:t>Base Rate Loans from such Lenders, which Base Rate Loans shall not be made ratably by the Lenders but only from such affected Lenders, or</w:t>
      </w:r>
      <w:r>
        <w:rPr>
          <w:rFonts w:ascii="Arial" w:cs="Arial" w:eastAsia="Arial" w:hAnsi="Arial"/>
          <w:sz w:val="17"/>
          <w:szCs w:val="17"/>
          <w:u w:val="single" w:color="auto"/>
          <w:color w:val="0000E1"/>
          <w:strike w:val="1"/>
        </w:rPr>
        <w:t>or Interest</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E1"/>
          <w:strike w:val="1"/>
        </w:rPr>
        <w:t>Periods) or</w:t>
      </w:r>
      <w:r>
        <w:rPr>
          <w:rFonts w:ascii="Arial" w:cs="Arial" w:eastAsia="Arial" w:hAnsi="Arial"/>
          <w:sz w:val="17"/>
          <w:szCs w:val="17"/>
          <w:color w:val="000000"/>
          <w:strike w:val="1"/>
        </w:rPr>
        <w:t>, failing that, will be deemed to have converted such request into a request for a Borrowing of Base Rate Loans in the amount specified</w:t>
      </w:r>
      <w:r>
        <w:rPr>
          <w:rFonts w:ascii="Arial" w:cs="Arial" w:eastAsia="Arial" w:hAnsi="Arial"/>
          <w:sz w:val="17"/>
          <w:szCs w:val="17"/>
          <w:color w:val="0000E1"/>
          <w:strike w:val="1"/>
        </w:rPr>
        <w:t xml:space="preserve"> </w:t>
      </w:r>
      <w:r>
        <w:rPr>
          <w:rFonts w:ascii="Arial" w:cs="Arial" w:eastAsia="Arial" w:hAnsi="Arial"/>
          <w:sz w:val="17"/>
          <w:szCs w:val="17"/>
          <w:color w:val="000000"/>
          <w:strike w:val="1"/>
        </w:rPr>
        <w:t>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-2502535</wp:posOffset>
            </wp:positionV>
            <wp:extent cx="6336030" cy="4318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6336030" cy="4318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-2331085</wp:posOffset>
            </wp:positionV>
            <wp:extent cx="163195"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-2331085</wp:posOffset>
            </wp:positionV>
            <wp:extent cx="153416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53416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-2193925</wp:posOffset>
            </wp:positionV>
            <wp:extent cx="3429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-2193925</wp:posOffset>
            </wp:positionV>
            <wp:extent cx="3574415"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-2091055</wp:posOffset>
            </wp:positionV>
            <wp:extent cx="4533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453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-2056765</wp:posOffset>
            </wp:positionV>
            <wp:extent cx="689229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-1919605</wp:posOffset>
            </wp:positionV>
            <wp:extent cx="696087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-1782445</wp:posOffset>
            </wp:positionV>
            <wp:extent cx="6840855"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-1645285</wp:posOffset>
            </wp:positionV>
            <wp:extent cx="144018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440180"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-1645285</wp:posOffset>
            </wp:positionV>
            <wp:extent cx="331724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33172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-1508125</wp:posOffset>
            </wp:positionV>
            <wp:extent cx="1045845"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045845" cy="8890"/>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-1370965</wp:posOffset>
            </wp:positionV>
            <wp:extent cx="128905"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-959485</wp:posOffset>
            </wp:positionV>
            <wp:extent cx="4852035"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-685165</wp:posOffset>
            </wp:positionV>
            <wp:extent cx="149161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4916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-548005</wp:posOffset>
            </wp:positionV>
            <wp:extent cx="2657475"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2657475" cy="8890"/>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-548005</wp:posOffset>
            </wp:positionV>
            <wp:extent cx="125984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598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3960495"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3960495"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-273685</wp:posOffset>
            </wp:positionV>
            <wp:extent cx="471805"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50546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440" w:top="274" w:right="459" w:bottom="1440" w:gutter="0" w:footer="0" w:header="0"/>
        </w:sectPr>
      </w:pPr>
    </w:p>
    <w:bookmarkStart w:id="186" w:name="page187"/>
    <w:bookmarkEnd w:id="186"/>
    <w:p>
      <w:pPr>
        <w:ind w:right="100" w:firstLine="987"/>
        <w:spacing w:after="0" w:line="289" w:lineRule="auto"/>
        <w:tabs>
          <w:tab w:leader="none" w:pos="1426" w:val="left"/>
        </w:tabs>
        <w:numPr>
          <w:ilvl w:val="0"/>
          <w:numId w:val="236"/>
        </w:numPr>
        <w:rPr>
          <w:rFonts w:ascii="Arial" w:cs="Arial" w:eastAsia="Arial" w:hAnsi="Arial"/>
          <w:sz w:val="16"/>
          <w:szCs w:val="16"/>
          <w:u w:val="single" w:color="auto"/>
          <w:color w:val="0000E1"/>
        </w:rPr>
      </w:pPr>
      <w:r>
        <w:rPr>
          <w:rFonts w:ascii="Arial" w:cs="Arial" w:eastAsia="Arial" w:hAnsi="Arial"/>
          <w:sz w:val="16"/>
          <w:szCs w:val="16"/>
          <w:u w:val="single" w:color="auto"/>
          <w:color w:val="0000E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foregoing, if the Administrative Agent has made the determination described in clause (i) of the first sentence of Section 10.2(a), the Administrative Agent, in consultation with the Borrower, may establish an alternative interest rate for the Impacted Loans, in which case, such alternative rate of interest shall apply with respect to the Impacted Loans until (i) the Administrative Agent revokes the notice delivered with respect to the Impacted Loans under clause (i) of the first sentence of Section 10.2(a), (ii) the Administrative Agent or the Required Lender</w:t>
      </w:r>
      <w:r>
        <w:rPr>
          <w:rFonts w:ascii="Arial" w:cs="Arial" w:eastAsia="Arial" w:hAnsi="Arial"/>
          <w:sz w:val="16"/>
          <w:szCs w:val="16"/>
          <w:b w:val="1"/>
          <w:bCs w:val="1"/>
          <w:u w:val="single" w:color="auto"/>
          <w:color w:val="0000E1"/>
        </w:rPr>
        <w:t>s</w:t>
      </w:r>
      <w:r>
        <w:rPr>
          <w:rFonts w:ascii="Arial" w:cs="Arial" w:eastAsia="Arial" w:hAnsi="Arial"/>
          <w:sz w:val="16"/>
          <w:szCs w:val="16"/>
          <w:u w:val="single" w:color="auto"/>
          <w:color w:val="0000E1"/>
        </w:rPr>
        <w:t xml:space="preserve"> notify the Administrative Agent and the Borrower that such alternative interest rate does </w:t>
      </w:r>
      <w:r>
        <w:rPr>
          <w:rFonts w:ascii="Arial" w:cs="Arial" w:eastAsia="Arial" w:hAnsi="Arial"/>
          <w:sz w:val="16"/>
          <w:szCs w:val="16"/>
          <w:u w:val="single" w:color="auto"/>
          <w:color w:val="008000"/>
        </w:rPr>
        <w:t>not adequately and fairly reflect the cost to such</w:t>
      </w:r>
      <w:r>
        <w:rPr>
          <w:rFonts w:ascii="Arial" w:cs="Arial" w:eastAsia="Arial" w:hAnsi="Arial"/>
          <w:sz w:val="16"/>
          <w:szCs w:val="16"/>
          <w:u w:val="single" w:color="auto"/>
          <w:color w:val="0000E1"/>
        </w:rPr>
        <w:t xml:space="preserve"> </w:t>
      </w:r>
      <w:r>
        <w:rPr>
          <w:rFonts w:ascii="Arial" w:cs="Arial" w:eastAsia="Arial" w:hAnsi="Arial"/>
          <w:sz w:val="16"/>
          <w:szCs w:val="16"/>
          <w:u w:val="single" w:color="auto"/>
          <w:color w:val="008000"/>
        </w:rPr>
        <w:t xml:space="preserve">Lenders of funding </w:t>
      </w:r>
      <w:r>
        <w:rPr>
          <w:rFonts w:ascii="Arial" w:cs="Arial" w:eastAsia="Arial" w:hAnsi="Arial"/>
          <w:sz w:val="16"/>
          <w:szCs w:val="16"/>
          <w:u w:val="single" w:color="auto"/>
          <w:color w:val="0000E1"/>
        </w:rPr>
        <w:t>the Impacted Loans, or (iii) any Lender determines that any law has made it unlawful, or that any governmental authority has</w:t>
      </w:r>
      <w:r>
        <w:rPr>
          <w:rFonts w:ascii="Arial" w:cs="Arial" w:eastAsia="Arial" w:hAnsi="Arial"/>
          <w:sz w:val="16"/>
          <w:szCs w:val="16"/>
          <w:u w:val="single" w:color="auto"/>
          <w:color w:val="008000"/>
        </w:rPr>
        <w:t xml:space="preserve"> </w:t>
      </w:r>
      <w:r>
        <w:rPr>
          <w:rFonts w:ascii="Arial" w:cs="Arial" w:eastAsia="Arial" w:hAnsi="Arial"/>
          <w:sz w:val="16"/>
          <w:szCs w:val="16"/>
          <w:u w:val="single" w:color="auto"/>
          <w:color w:val="0000E1"/>
        </w:rPr>
        <w:t>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66" w:lineRule="exact"/>
        <w:rPr>
          <w:rFonts w:ascii="Arial" w:cs="Arial" w:eastAsia="Arial" w:hAnsi="Arial"/>
          <w:sz w:val="16"/>
          <w:szCs w:val="16"/>
          <w:u w:val="single" w:color="auto"/>
          <w:color w:val="0000E1"/>
        </w:rPr>
      </w:pPr>
    </w:p>
    <w:p>
      <w:pPr>
        <w:ind w:right="20" w:firstLine="987"/>
        <w:spacing w:after="0" w:line="286" w:lineRule="auto"/>
        <w:tabs>
          <w:tab w:leader="none" w:pos="1371" w:val="left"/>
        </w:tabs>
        <w:numPr>
          <w:ilvl w:val="0"/>
          <w:numId w:val="236"/>
        </w:numPr>
        <w:rPr>
          <w:rFonts w:ascii="Arial" w:cs="Arial" w:eastAsia="Arial" w:hAnsi="Arial"/>
          <w:sz w:val="17"/>
          <w:szCs w:val="17"/>
          <w:u w:val="single" w:color="auto"/>
          <w:color w:val="0000E1"/>
        </w:rPr>
      </w:pPr>
      <w:r>
        <w:rPr>
          <w:rFonts w:ascii="Arial" w:cs="Arial" w:eastAsia="Arial" w:hAnsi="Arial"/>
          <w:sz w:val="17"/>
          <w:szCs w:val="17"/>
          <w:u w:val="single" w:color="auto"/>
          <w:color w:val="0000E1"/>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65" w:lineRule="exact"/>
        <w:rPr>
          <w:rFonts w:ascii="Arial" w:cs="Arial" w:eastAsia="Arial" w:hAnsi="Arial"/>
          <w:sz w:val="17"/>
          <w:szCs w:val="17"/>
          <w:u w:val="single" w:color="auto"/>
          <w:color w:val="0000E1"/>
        </w:rPr>
      </w:pPr>
    </w:p>
    <w:p>
      <w:pPr>
        <w:jc w:val="both"/>
        <w:ind w:right="420" w:firstLine="1428"/>
        <w:spacing w:after="0" w:line="342" w:lineRule="auto"/>
        <w:tabs>
          <w:tab w:leader="none" w:pos="1827" w:val="left"/>
        </w:tabs>
        <w:numPr>
          <w:ilvl w:val="1"/>
          <w:numId w:val="236"/>
        </w:numPr>
        <w:rPr>
          <w:rFonts w:ascii="Arial" w:cs="Arial" w:eastAsia="Arial" w:hAnsi="Arial"/>
          <w:sz w:val="16"/>
          <w:szCs w:val="16"/>
          <w:u w:val="single" w:color="auto"/>
          <w:color w:val="0000E1"/>
        </w:rPr>
      </w:pPr>
      <w:r>
        <w:rPr>
          <w:rFonts w:ascii="Arial" w:cs="Arial" w:eastAsia="Arial" w:hAnsi="Arial"/>
          <w:sz w:val="16"/>
          <w:szCs w:val="16"/>
          <w:u w:val="single" w:color="auto"/>
          <w:color w:val="0000E1"/>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-2098040</wp:posOffset>
            </wp:positionV>
            <wp:extent cx="627507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62750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-1960880</wp:posOffset>
            </wp:positionV>
            <wp:extent cx="6763385"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-1823720</wp:posOffset>
            </wp:positionV>
            <wp:extent cx="658368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-1686560</wp:posOffset>
            </wp:positionV>
            <wp:extent cx="6729095"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67290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-1549400</wp:posOffset>
            </wp:positionV>
            <wp:extent cx="4440555"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4440555"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-1412240</wp:posOffset>
            </wp:positionV>
            <wp:extent cx="572643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57264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-1275080</wp:posOffset>
            </wp:positionV>
            <wp:extent cx="6917690"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-1137920</wp:posOffset>
            </wp:positionV>
            <wp:extent cx="671195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-1000760</wp:posOffset>
            </wp:positionV>
            <wp:extent cx="685800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-726440</wp:posOffset>
            </wp:positionV>
            <wp:extent cx="6214745"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62147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-589280</wp:posOffset>
            </wp:positionV>
            <wp:extent cx="696087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-452120</wp:posOffset>
            </wp:positionV>
            <wp:extent cx="5803265"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5803265"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-177800</wp:posOffset>
            </wp:positionV>
            <wp:extent cx="5777865"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57778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671195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104" w:lineRule="exact"/>
        <w:rPr>
          <w:sz w:val="20"/>
          <w:szCs w:val="20"/>
          <w:color w:val="auto"/>
        </w:rPr>
      </w:pPr>
    </w:p>
    <w:p>
      <w:pPr>
        <w:ind w:firstLine="1432"/>
        <w:spacing w:after="0" w:line="279" w:lineRule="auto"/>
        <w:rPr>
          <w:sz w:val="20"/>
          <w:szCs w:val="20"/>
          <w:color w:val="auto"/>
        </w:rPr>
      </w:pPr>
      <w:r>
        <w:rPr>
          <w:rFonts w:ascii="Arial" w:cs="Arial" w:eastAsia="Arial" w:hAnsi="Arial"/>
          <w:sz w:val="17"/>
          <w:szCs w:val="17"/>
          <w:u w:val="single" w:color="auto"/>
          <w:color w:val="0000E1"/>
        </w:rPr>
        <w:t>(ii</w:t>
      </w:r>
      <w:r>
        <w:rPr>
          <w:rFonts w:ascii="Arial" w:cs="Arial" w:eastAsia="Arial" w:hAnsi="Arial"/>
          <w:sz w:val="17"/>
          <w:szCs w:val="17"/>
          <w:color w:val="000000"/>
        </w:rPr>
        <w:t>)</w:t>
      </w:r>
      <w:r>
        <w:rPr>
          <w:rFonts w:ascii="Arial" w:cs="Arial" w:eastAsia="Arial" w:hAnsi="Arial"/>
          <w:sz w:val="17"/>
          <w:szCs w:val="17"/>
          <w:color w:val="0000E1"/>
        </w:rPr>
        <w:t xml:space="preserve"> </w:t>
      </w:r>
      <w:r>
        <w:rPr>
          <w:rFonts w:ascii="Arial" w:cs="Arial" w:eastAsia="Arial" w:hAnsi="Arial"/>
          <w:sz w:val="17"/>
          <w:szCs w:val="17"/>
          <w:u w:val="single" w:color="auto"/>
          <w:color w:val="0000E1"/>
        </w:rPr>
        <w:t>the administrator of the LIBOR Screen Rate or a governmental authority having jurisdiction over the Administrative Agent has</w:t>
      </w:r>
      <w:r>
        <w:rPr>
          <w:rFonts w:ascii="Arial" w:cs="Arial" w:eastAsia="Arial" w:hAnsi="Arial"/>
          <w:sz w:val="17"/>
          <w:szCs w:val="17"/>
          <w:color w:val="0000E1"/>
        </w:rPr>
        <w:t xml:space="preserve"> </w:t>
      </w:r>
      <w:r>
        <w:rPr>
          <w:rFonts w:ascii="Arial" w:cs="Arial" w:eastAsia="Arial" w:hAnsi="Arial"/>
          <w:sz w:val="17"/>
          <w:szCs w:val="17"/>
          <w:u w:val="single" w:color="auto"/>
          <w:color w:val="0000E1"/>
        </w:rPr>
        <w:t xml:space="preserve">made a public statement identifying a specific date after which LIBOR or the LIBOR Screen Rate shall no longer be made available, or used for determining the interest rate of loans; </w:t>
      </w:r>
      <w:r>
        <w:rPr>
          <w:rFonts w:ascii="Arial" w:cs="Arial" w:eastAsia="Arial" w:hAnsi="Arial"/>
          <w:sz w:val="17"/>
          <w:szCs w:val="17"/>
          <w:i w:val="1"/>
          <w:iCs w:val="1"/>
          <w:u w:val="single" w:color="auto"/>
          <w:color w:val="0000E1"/>
        </w:rPr>
        <w:t>provided</w:t>
      </w:r>
      <w:r>
        <w:rPr>
          <w:rFonts w:ascii="Arial" w:cs="Arial" w:eastAsia="Arial" w:hAnsi="Arial"/>
          <w:sz w:val="17"/>
          <w:szCs w:val="17"/>
          <w:u w:val="single" w:color="auto"/>
          <w:color w:val="0000E1"/>
        </w:rPr>
        <w:t xml:space="preserve"> that, at the time of such statement, there is no successor administrator that is satisfactory to the Administrative Agent, that will continue to provide LIBOR after such specific date (such specific date, the “</w:t>
      </w:r>
      <w:r>
        <w:rPr>
          <w:rFonts w:ascii="Arial" w:cs="Arial" w:eastAsia="Arial" w:hAnsi="Arial"/>
          <w:sz w:val="17"/>
          <w:szCs w:val="17"/>
          <w:i w:val="1"/>
          <w:iCs w:val="1"/>
          <w:u w:val="single" w:color="auto"/>
          <w:color w:val="0000E1"/>
        </w:rPr>
        <w:t>Scheduled Unavailability Date</w:t>
      </w:r>
      <w:r>
        <w:rPr>
          <w:rFonts w:ascii="Arial" w:cs="Arial" w:eastAsia="Arial" w:hAnsi="Arial"/>
          <w:sz w:val="17"/>
          <w:szCs w:val="17"/>
          <w:u w:val="single" w:color="auto"/>
          <w:color w:val="0000E1"/>
        </w:rPr>
        <w:t>”) ;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-421640</wp:posOffset>
            </wp:positionV>
            <wp:extent cx="6060440"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-284480</wp:posOffset>
            </wp:positionV>
            <wp:extent cx="659193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-147320</wp:posOffset>
            </wp:positionV>
            <wp:extent cx="6489065"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6626225"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51" w:lineRule="exact"/>
        <w:rPr>
          <w:sz w:val="20"/>
          <w:szCs w:val="20"/>
          <w:color w:val="auto"/>
        </w:rPr>
      </w:pPr>
    </w:p>
    <w:p>
      <w:pPr>
        <w:ind w:right="240" w:firstLine="1428"/>
        <w:spacing w:after="0" w:line="277" w:lineRule="auto"/>
        <w:tabs>
          <w:tab w:leader="none" w:pos="1927" w:val="left"/>
        </w:tabs>
        <w:numPr>
          <w:ilvl w:val="0"/>
          <w:numId w:val="237"/>
        </w:numPr>
        <w:rPr>
          <w:rFonts w:ascii="Arial" w:cs="Arial" w:eastAsia="Arial" w:hAnsi="Arial"/>
          <w:sz w:val="18"/>
          <w:szCs w:val="18"/>
          <w:u w:val="single" w:color="auto"/>
          <w:color w:val="0000E1"/>
        </w:rPr>
      </w:pPr>
      <w:r>
        <w:rPr>
          <w:rFonts w:ascii="Arial" w:cs="Arial" w:eastAsia="Arial" w:hAnsi="Arial"/>
          <w:sz w:val="18"/>
          <w:szCs w:val="18"/>
          <w:u w:val="single" w:color="auto"/>
          <w:color w:val="0000E1"/>
        </w:rPr>
        <w:t>syndicated loans currently being executed, or that include language similar to that contained in this Section 10.2, are being executed or amended (as applicable) to incorporate or adopt a new benchmark interest rate to replace 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-147955</wp:posOffset>
            </wp:positionV>
            <wp:extent cx="5915025"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501459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150" w:lineRule="exact"/>
        <w:rPr>
          <w:sz w:val="20"/>
          <w:szCs w:val="20"/>
          <w:color w:val="auto"/>
        </w:rPr>
      </w:pPr>
    </w:p>
    <w:p>
      <w:pPr>
        <w:spacing w:after="0" w:line="269" w:lineRule="auto"/>
        <w:rPr>
          <w:sz w:val="20"/>
          <w:szCs w:val="20"/>
          <w:color w:val="auto"/>
        </w:rPr>
      </w:pPr>
      <w:r>
        <w:rPr>
          <w:rFonts w:ascii="Arial" w:cs="Arial" w:eastAsia="Arial" w:hAnsi="Arial"/>
          <w:sz w:val="17"/>
          <w:szCs w:val="17"/>
          <w:u w:val="single" w:color="auto"/>
          <w:color w:val="0000E1"/>
        </w:rPr>
        <w:t>then, reasonably promptly after such determination by the Administrative Agent or receipt by the Administrative Agent of such notice, as applicable, the Administrative Agent and the Borrower may amend this Agreement solely for the purpose of replacing LIBOR in accordance with this Section 10.2 with (x) one or more SOFR-Based Rates or (y) another alternate benchmark rate giving due consideration to any evolving or then existing convention for similar U.S. Dollar denominated syndicated credit facilities for such alternative benchmarks and, in each case, including any mathematical or other adjustments to such benchmark giving due consideration to any evolving or then existing convention for similar U.S. Dollar denominated syndicated credit facilities for such benchmarks, which adjustment or method for calculating such adjustment shall be published on an information service as selected by the Administrative Agent from time to time in its reasonable discretion and may be periodically updated (the “</w:t>
      </w:r>
      <w:r>
        <w:rPr>
          <w:rFonts w:ascii="Arial" w:cs="Arial" w:eastAsia="Arial" w:hAnsi="Arial"/>
          <w:sz w:val="17"/>
          <w:szCs w:val="17"/>
          <w:i w:val="1"/>
          <w:iCs w:val="1"/>
          <w:u w:val="single" w:color="auto"/>
          <w:color w:val="0000E1"/>
        </w:rPr>
        <w:t>Adjustment</w:t>
      </w:r>
      <w:r>
        <w:rPr>
          <w:rFonts w:ascii="Arial" w:cs="Arial" w:eastAsia="Arial" w:hAnsi="Arial"/>
          <w:sz w:val="17"/>
          <w:szCs w:val="17"/>
          <w:u w:val="single" w:color="auto"/>
          <w:color w:val="0000E1"/>
        </w:rPr>
        <w:t xml:space="preserve"> ”, and any such proposed rate, a “</w:t>
      </w:r>
      <w:r>
        <w:rPr>
          <w:rFonts w:ascii="Arial" w:cs="Arial" w:eastAsia="Arial" w:hAnsi="Arial"/>
          <w:sz w:val="17"/>
          <w:szCs w:val="17"/>
          <w:i w:val="1"/>
          <w:iCs w:val="1"/>
          <w:u w:val="single" w:color="auto"/>
          <w:color w:val="0000E1"/>
        </w:rPr>
        <w:t>LIBOR Successor Rate</w:t>
      </w:r>
      <w:r>
        <w:rPr>
          <w:rFonts w:ascii="Arial" w:cs="Arial" w:eastAsia="Arial" w:hAnsi="Arial"/>
          <w:sz w:val="17"/>
          <w:szCs w:val="17"/>
          <w:u w:val="single" w:color="auto"/>
          <w:color w:val="0000E1"/>
        </w:rPr>
        <w:t>”),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(A) in the case of an amendment to replace LIBOR with a rate described in clause (x), object to the Adjustment; or (B) in the case of an amendment to replace LIBOR with a rate described in clause (y), object to such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-1513840</wp:posOffset>
            </wp:positionV>
            <wp:extent cx="6978015"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-1376680</wp:posOffset>
            </wp:positionV>
            <wp:extent cx="6763385"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-1239520</wp:posOffset>
            </wp:positionV>
            <wp:extent cx="684911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-1102360</wp:posOffset>
            </wp:positionV>
            <wp:extent cx="688340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-965200</wp:posOffset>
            </wp:positionV>
            <wp:extent cx="6806565"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-828040</wp:posOffset>
            </wp:positionV>
            <wp:extent cx="6660515"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-690880</wp:posOffset>
            </wp:positionV>
            <wp:extent cx="6831965"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-553720</wp:posOffset>
            </wp:positionV>
            <wp:extent cx="637794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-416560</wp:posOffset>
            </wp:positionV>
            <wp:extent cx="68580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-279400</wp:posOffset>
            </wp:positionV>
            <wp:extent cx="675513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-142240</wp:posOffset>
            </wp:positionV>
            <wp:extent cx="670369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wp:posOffset>
            </wp:positionV>
            <wp:extent cx="1731645"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980"/>
          </w:cols>
          <w:pgMar w:left="440" w:top="274" w:right="479" w:bottom="1440" w:gutter="0" w:footer="0" w:header="0"/>
        </w:sectPr>
      </w:pPr>
    </w:p>
    <w:bookmarkStart w:id="187" w:name="page188"/>
    <w:bookmarkEnd w:id="187"/>
    <w:p>
      <w:pPr>
        <w:ind w:left="4" w:right="40"/>
        <w:spacing w:after="0" w:line="279" w:lineRule="auto"/>
        <w:rPr>
          <w:sz w:val="20"/>
          <w:szCs w:val="20"/>
          <w:color w:val="auto"/>
        </w:rPr>
      </w:pPr>
      <w:r>
        <w:rPr>
          <w:rFonts w:ascii="Arial" w:cs="Arial" w:eastAsia="Arial" w:hAnsi="Arial"/>
          <w:sz w:val="17"/>
          <w:szCs w:val="17"/>
          <w:i w:val="1"/>
          <w:iCs w:val="1"/>
          <w:u w:val="single" w:color="auto"/>
          <w:color w:val="0000E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provided </w:t>
      </w:r>
      <w:r>
        <w:rPr>
          <w:rFonts w:ascii="Arial" w:cs="Arial" w:eastAsia="Arial" w:hAnsi="Arial"/>
          <w:sz w:val="17"/>
          <w:szCs w:val="17"/>
          <w:u w:val="single" w:color="auto"/>
          <w:color w:val="0000E1"/>
        </w:rPr>
        <w:t>that for the avoidance of doubt, in the case of clause (A), the Required Lenders shall not be entitled to object to any SOFR-Based Rate</w:t>
      </w:r>
      <w:r>
        <w:rPr>
          <w:rFonts w:ascii="Arial" w:cs="Arial" w:eastAsia="Arial" w:hAnsi="Arial"/>
          <w:sz w:val="17"/>
          <w:szCs w:val="17"/>
          <w:i w:val="1"/>
          <w:iCs w:val="1"/>
          <w:u w:val="single" w:color="auto"/>
          <w:color w:val="0000E1"/>
        </w:rPr>
        <w:t xml:space="preserve"> </w:t>
      </w:r>
      <w:r>
        <w:rPr>
          <w:rFonts w:ascii="Arial" w:cs="Arial" w:eastAsia="Arial" w:hAnsi="Arial"/>
          <w:sz w:val="17"/>
          <w:szCs w:val="17"/>
          <w:u w:val="single" w:color="auto"/>
          <w:color w:val="0000E1"/>
        </w:rPr>
        <w:t xml:space="preserve">contained in any such amendment. Such LIBOR Successor Rate </w:t>
      </w:r>
      <w:r>
        <w:rPr>
          <w:rFonts w:ascii="Arial" w:cs="Arial" w:eastAsia="Arial" w:hAnsi="Arial"/>
          <w:sz w:val="17"/>
          <w:szCs w:val="17"/>
          <w:u w:val="single" w:color="auto"/>
          <w:color w:val="008000"/>
        </w:rPr>
        <w:t>shall be applied in a manner consistent with market practice;</w:t>
      </w:r>
      <w:r>
        <w:rPr>
          <w:rFonts w:ascii="Arial" w:cs="Arial" w:eastAsia="Arial" w:hAnsi="Arial"/>
          <w:sz w:val="17"/>
          <w:szCs w:val="17"/>
          <w:u w:val="single" w:color="auto"/>
          <w:color w:val="0000E1"/>
        </w:rPr>
        <w:t xml:space="preserve"> </w:t>
      </w:r>
      <w:r>
        <w:rPr>
          <w:rFonts w:ascii="Arial" w:cs="Arial" w:eastAsia="Arial" w:hAnsi="Arial"/>
          <w:sz w:val="17"/>
          <w:szCs w:val="17"/>
          <w:i w:val="1"/>
          <w:iCs w:val="1"/>
          <w:u w:val="single" w:color="auto"/>
          <w:color w:val="008000"/>
        </w:rPr>
        <w:t>provided</w:t>
      </w:r>
      <w:r>
        <w:rPr>
          <w:rFonts w:ascii="Arial" w:cs="Arial" w:eastAsia="Arial" w:hAnsi="Arial"/>
          <w:sz w:val="17"/>
          <w:szCs w:val="17"/>
          <w:u w:val="single" w:color="auto"/>
          <w:color w:val="0000E1"/>
        </w:rPr>
        <w:t xml:space="preserve"> that to the </w:t>
      </w:r>
      <w:r>
        <w:rPr>
          <w:rFonts w:ascii="Arial" w:cs="Arial" w:eastAsia="Arial" w:hAnsi="Arial"/>
          <w:sz w:val="17"/>
          <w:szCs w:val="17"/>
          <w:u w:val="single" w:color="auto"/>
          <w:color w:val="008000"/>
        </w:rPr>
        <w:t>extent</w:t>
      </w:r>
      <w:r>
        <w:rPr>
          <w:rFonts w:ascii="Arial" w:cs="Arial" w:eastAsia="Arial" w:hAnsi="Arial"/>
          <w:sz w:val="17"/>
          <w:szCs w:val="17"/>
          <w:u w:val="single" w:color="auto"/>
          <w:color w:val="0000E1"/>
        </w:rPr>
        <w:t xml:space="preserve"> </w:t>
      </w:r>
      <w:r>
        <w:rPr>
          <w:rFonts w:ascii="Arial" w:cs="Arial" w:eastAsia="Arial" w:hAnsi="Arial"/>
          <w:sz w:val="17"/>
          <w:szCs w:val="17"/>
          <w:u w:val="single" w:color="auto"/>
          <w:color w:val="008000"/>
        </w:rPr>
        <w:t xml:space="preserve">such market practice is not administratively feasible for the Administrative Agent, such </w:t>
      </w:r>
      <w:r>
        <w:rPr>
          <w:rFonts w:ascii="Arial" w:cs="Arial" w:eastAsia="Arial" w:hAnsi="Arial"/>
          <w:sz w:val="17"/>
          <w:szCs w:val="17"/>
          <w:u w:val="single" w:color="auto"/>
          <w:color w:val="0000E1"/>
        </w:rPr>
        <w:t>LIBOR Successor Rate</w:t>
      </w:r>
      <w:r>
        <w:rPr>
          <w:rFonts w:ascii="Arial" w:cs="Arial" w:eastAsia="Arial" w:hAnsi="Arial"/>
          <w:sz w:val="17"/>
          <w:szCs w:val="17"/>
          <w:u w:val="single" w:color="auto"/>
          <w:color w:val="008000"/>
        </w:rPr>
        <w:t xml:space="preserve"> shall be applied in a manner as otherwise reasonably determined by the Administrative Agent </w:t>
      </w:r>
      <w:r>
        <w:rPr>
          <w:rFonts w:ascii="Arial" w:cs="Arial" w:eastAsia="Arial" w:hAnsi="Arial"/>
          <w:sz w:val="17"/>
          <w:szCs w:val="17"/>
          <w:u w:val="single" w:color="auto"/>
          <w:color w:val="0000E1"/>
        </w:rPr>
        <w:t>in consultation with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657479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-284480</wp:posOffset>
            </wp:positionV>
            <wp:extent cx="2931795"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-284480</wp:posOffset>
            </wp:positionV>
            <wp:extent cx="46291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-147320</wp:posOffset>
            </wp:positionV>
            <wp:extent cx="1062990"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2871470</wp:posOffset>
            </wp:positionH>
            <wp:positionV relativeFrom="paragraph">
              <wp:posOffset>-10160</wp:posOffset>
            </wp:positionV>
            <wp:extent cx="1560195"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51"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u w:val="single" w:color="auto"/>
          <w:color w:val="0000E1"/>
        </w:rPr>
        <w:t xml:space="preserve">If no LIBOR Successor Rate has been determined and the circumstances under clause (i) above exist or the Scheduled Unavailability Date has occurred (as applicable), the Administrative Agent will promptly so notify the Borrower and each Lender. Thereafter, (x) the obligation </w:t>
      </w:r>
      <w:r>
        <w:rPr>
          <w:rFonts w:ascii="Arial" w:cs="Arial" w:eastAsia="Arial" w:hAnsi="Arial"/>
          <w:sz w:val="18"/>
          <w:szCs w:val="18"/>
          <w:u w:val="single" w:color="auto"/>
          <w:color w:val="008000"/>
        </w:rPr>
        <w:t>of the Lenders</w:t>
      </w:r>
      <w:r>
        <w:rPr>
          <w:rFonts w:ascii="Arial" w:cs="Arial" w:eastAsia="Arial" w:hAnsi="Arial"/>
          <w:sz w:val="18"/>
          <w:szCs w:val="18"/>
          <w:u w:val="single" w:color="auto"/>
          <w:color w:val="0000E1"/>
        </w:rPr>
        <w:t xml:space="preserve"> </w:t>
      </w:r>
      <w:r>
        <w:rPr>
          <w:rFonts w:ascii="Arial" w:cs="Arial" w:eastAsia="Arial" w:hAnsi="Arial"/>
          <w:sz w:val="18"/>
          <w:szCs w:val="18"/>
          <w:u w:val="single" w:color="auto"/>
          <w:color w:val="008000"/>
        </w:rPr>
        <w:t xml:space="preserve">to make </w:t>
      </w:r>
      <w:r>
        <w:rPr>
          <w:rFonts w:ascii="Arial" w:cs="Arial" w:eastAsia="Arial" w:hAnsi="Arial"/>
          <w:sz w:val="18"/>
          <w:szCs w:val="18"/>
          <w:u w:val="single" w:color="auto"/>
          <w:color w:val="0000E1"/>
        </w:rPr>
        <w:t>or maintain</w:t>
      </w:r>
      <w:r>
        <w:rPr>
          <w:rFonts w:ascii="Arial" w:cs="Arial" w:eastAsia="Arial" w:hAnsi="Arial"/>
          <w:sz w:val="18"/>
          <w:szCs w:val="18"/>
          <w:u w:val="single" w:color="auto"/>
          <w:color w:val="008000"/>
        </w:rPr>
        <w:t xml:space="preserve"> Eurodollar Loans shall be suspended </w:t>
      </w:r>
      <w:r>
        <w:rPr>
          <w:rFonts w:ascii="Arial" w:cs="Arial" w:eastAsia="Arial" w:hAnsi="Arial"/>
          <w:sz w:val="18"/>
          <w:szCs w:val="18"/>
          <w:u w:val="single" w:color="auto"/>
          <w:color w:val="0000E1"/>
        </w:rPr>
        <w:t>(to the extent of the affected Eurodollar Loans or Interest Periods) and (y) the Eurodollar Rate</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E1"/>
        </w:rPr>
        <w:t>component shall no longer be utilized in determining the Base Rate. Upon receipt of such notice, the Borrower may revoke any pending request for a Borrowing of, conversion to or continuation of Eurodollar Loans (to the extent of the affected Eurodollar Loans or Interest Periods) or, failing that, will be deemed to have converted such request into a request for a Borrowing of Base Rate Loans (subject to the foregoing clause (y)) in the amount specified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-818515</wp:posOffset>
            </wp:positionV>
            <wp:extent cx="6532245"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-681355</wp:posOffset>
            </wp:positionV>
            <wp:extent cx="61976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-544195</wp:posOffset>
            </wp:positionV>
            <wp:extent cx="52260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-544195</wp:posOffset>
            </wp:positionV>
            <wp:extent cx="4294505"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42945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-407035</wp:posOffset>
            </wp:positionV>
            <wp:extent cx="681482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-269875</wp:posOffset>
            </wp:positionV>
            <wp:extent cx="692658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-132715</wp:posOffset>
            </wp:positionV>
            <wp:extent cx="657479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wp:posOffset>
            </wp:positionV>
            <wp:extent cx="788670"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7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u w:val="single" w:color="auto"/>
          <w:color w:val="0000E1"/>
        </w:rPr>
        <w:t>Notwithstanding anything else herein, any definition of LIBOR Successor Rate shall provide that in no event shall such LIBOR Successor Rate be less than 1.00%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-147955</wp:posOffset>
            </wp:positionV>
            <wp:extent cx="669480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220281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50" w:lineRule="exact"/>
        <w:rPr>
          <w:sz w:val="20"/>
          <w:szCs w:val="20"/>
          <w:color w:val="auto"/>
        </w:rPr>
      </w:pPr>
    </w:p>
    <w:p>
      <w:pPr>
        <w:ind w:left="4" w:right="100" w:firstLine="440"/>
        <w:spacing w:after="0" w:line="296" w:lineRule="auto"/>
        <w:rPr>
          <w:sz w:val="20"/>
          <w:szCs w:val="20"/>
          <w:color w:val="auto"/>
        </w:rPr>
      </w:pPr>
      <w:r>
        <w:rPr>
          <w:rFonts w:ascii="Arial" w:cs="Arial" w:eastAsia="Arial" w:hAnsi="Arial"/>
          <w:sz w:val="16"/>
          <w:szCs w:val="16"/>
          <w:u w:val="single" w:color="auto"/>
          <w:color w:val="0000E1"/>
        </w:rPr>
        <w:t xml:space="preserve">In connection with the implementation of a LIBOR Successor Rate, the Administrative Agent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 </w:t>
      </w:r>
      <w:r>
        <w:rPr>
          <w:rFonts w:ascii="Arial" w:cs="Arial" w:eastAsia="Arial" w:hAnsi="Arial"/>
          <w:sz w:val="16"/>
          <w:szCs w:val="16"/>
          <w:i w:val="1"/>
          <w:iCs w:val="1"/>
          <w:u w:val="single" w:color="auto"/>
          <w:color w:val="0000E1"/>
        </w:rPr>
        <w:t>provided</w:t>
      </w:r>
      <w:r>
        <w:rPr>
          <w:rFonts w:ascii="Arial" w:cs="Arial" w:eastAsia="Arial" w:hAnsi="Arial"/>
          <w:sz w:val="16"/>
          <w:szCs w:val="16"/>
          <w:u w:val="single" w:color="auto"/>
          <w:color w:val="0000E1"/>
        </w:rPr>
        <w:t xml:space="preserve"> that, </w:t>
      </w:r>
      <w:r>
        <w:rPr>
          <w:rFonts w:ascii="Arial" w:cs="Arial" w:eastAsia="Arial" w:hAnsi="Arial"/>
          <w:sz w:val="16"/>
          <w:szCs w:val="16"/>
          <w:u w:val="single" w:color="auto"/>
          <w:color w:val="008000"/>
        </w:rPr>
        <w:t>with respect to any such</w:t>
      </w:r>
      <w:r>
        <w:rPr>
          <w:rFonts w:ascii="Arial" w:cs="Arial" w:eastAsia="Arial" w:hAnsi="Arial"/>
          <w:sz w:val="16"/>
          <w:szCs w:val="16"/>
          <w:u w:val="single" w:color="auto"/>
          <w:color w:val="0000E1"/>
        </w:rPr>
        <w:t xml:space="preserve"> amendment effected, the Administrative Agent shall post each such amendment implementing such LIBOR Successor Rate Conforming Changes to the Lenders reasonably promptly after such amendment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-565150</wp:posOffset>
            </wp:positionV>
            <wp:extent cx="6635115"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-427990</wp:posOffset>
            </wp:positionV>
            <wp:extent cx="653224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-290830</wp:posOffset>
            </wp:positionV>
            <wp:extent cx="6866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-153670</wp:posOffset>
            </wp:positionV>
            <wp:extent cx="6909435"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wp:posOffset>
            </wp:positionV>
            <wp:extent cx="564896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49"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5"/>
          <w:szCs w:val="15"/>
          <w:i w:val="1"/>
          <w:iCs w:val="1"/>
          <w:color w:val="auto"/>
        </w:rPr>
        <w:t>Increased Cost and Reduced Return</w:t>
      </w:r>
      <w:r>
        <w:rPr>
          <w:rFonts w:ascii="Arial" w:cs="Arial" w:eastAsia="Arial" w:hAnsi="Arial"/>
          <w:sz w:val="15"/>
          <w:szCs w:val="15"/>
          <w:color w:val="FF0000"/>
          <w:strike w:val="1"/>
        </w:rPr>
        <w:t>(a) . (a)</w:t>
      </w:r>
    </w:p>
    <w:p>
      <w:pPr>
        <w:spacing w:after="0" w:line="117" w:lineRule="exact"/>
        <w:rPr>
          <w:sz w:val="20"/>
          <w:szCs w:val="20"/>
          <w:color w:val="auto"/>
        </w:rPr>
      </w:pPr>
    </w:p>
    <w:p>
      <w:pPr>
        <w:ind w:left="1364" w:hanging="373"/>
        <w:spacing w:after="0"/>
        <w:tabs>
          <w:tab w:leader="none" w:pos="1364" w:val="left"/>
        </w:tabs>
        <w:numPr>
          <w:ilvl w:val="1"/>
          <w:numId w:val="238"/>
        </w:numPr>
        <w:rPr>
          <w:rFonts w:ascii="Arial" w:cs="Arial" w:eastAsia="Arial" w:hAnsi="Arial"/>
          <w:sz w:val="18"/>
          <w:szCs w:val="18"/>
          <w:u w:val="single" w:color="auto"/>
          <w:color w:val="0000E1"/>
        </w:rPr>
      </w:pPr>
      <w:r>
        <w:rPr>
          <w:rFonts w:ascii="Arial" w:cs="Arial" w:eastAsia="Arial" w:hAnsi="Arial"/>
          <w:sz w:val="18"/>
          <w:szCs w:val="18"/>
          <w:color w:val="auto"/>
        </w:rPr>
        <w:t>If, on or after the Closing Date, any Change in Law:</w:t>
      </w:r>
    </w:p>
    <w:p>
      <w:pPr>
        <w:spacing w:after="0" w:line="225" w:lineRule="exact"/>
        <w:rPr>
          <w:rFonts w:ascii="Arial" w:cs="Arial" w:eastAsia="Arial" w:hAnsi="Arial"/>
          <w:sz w:val="18"/>
          <w:szCs w:val="18"/>
          <w:u w:val="single" w:color="auto"/>
          <w:color w:val="0000E1"/>
        </w:rPr>
      </w:pPr>
    </w:p>
    <w:p>
      <w:pPr>
        <w:ind w:left="4" w:firstLine="1428"/>
        <w:spacing w:after="0" w:line="271" w:lineRule="auto"/>
        <w:tabs>
          <w:tab w:leader="none" w:pos="1786" w:val="left"/>
        </w:tabs>
        <w:numPr>
          <w:ilvl w:val="2"/>
          <w:numId w:val="238"/>
        </w:numPr>
        <w:rPr>
          <w:rFonts w:ascii="Arial" w:cs="Arial" w:eastAsia="Arial" w:hAnsi="Arial"/>
          <w:sz w:val="17"/>
          <w:szCs w:val="17"/>
          <w:color w:val="auto"/>
        </w:rPr>
      </w:pPr>
      <w:r>
        <w:rPr>
          <w:rFonts w:ascii="Arial" w:cs="Arial" w:eastAsia="Arial" w:hAnsi="Arial"/>
          <w:sz w:val="17"/>
          <w:szCs w:val="17"/>
          <w:color w:val="auto"/>
        </w:rPr>
        <w:t>shall subject the Administrative Agent, any Lender (or its Lending Office) or the L/C Issuer to any tax, duty or other charge with respect to its Eurodollar Loans, its Notes, its Letter(s) of Credit, or its Participating Interest in any thereof, any Reimbursement Obligations owed to it or its obligation to make Eurodollar Loans, issue a Letter of Credit, or to participate therein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shall not apply to</w:t>
      </w:r>
    </w:p>
    <w:p>
      <w:pPr>
        <w:ind w:left="244" w:hanging="244"/>
        <w:spacing w:after="0"/>
        <w:tabs>
          <w:tab w:leader="none" w:pos="24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Indemnified Taxes or (b) Excluded Taxes</w:t>
      </w:r>
      <w:r>
        <w:rPr>
          <w:rFonts w:ascii="Arial" w:cs="Arial" w:eastAsia="Arial" w:hAnsi="Arial"/>
          <w:sz w:val="18"/>
          <w:szCs w:val="18"/>
          <w:u w:val="single" w:color="auto"/>
          <w:color w:val="0000E1"/>
        </w:rPr>
        <w:t>)</w:t>
      </w:r>
      <w:r>
        <w:rPr>
          <w:rFonts w:ascii="Arial" w:cs="Arial" w:eastAsia="Arial" w:hAnsi="Arial"/>
          <w:sz w:val="18"/>
          <w:szCs w:val="18"/>
          <w:color w:val="auto"/>
        </w:rPr>
        <w:t>; or</w:t>
      </w:r>
    </w:p>
    <w:p>
      <w:pPr>
        <w:spacing w:after="0" w:line="210" w:lineRule="exact"/>
        <w:rPr>
          <w:rFonts w:ascii="Arial" w:cs="Arial" w:eastAsia="Arial" w:hAnsi="Arial"/>
          <w:sz w:val="18"/>
          <w:szCs w:val="18"/>
          <w:color w:val="auto"/>
        </w:rPr>
      </w:pPr>
    </w:p>
    <w:p>
      <w:pPr>
        <w:ind w:left="4" w:right="40" w:firstLine="1428"/>
        <w:spacing w:after="0" w:line="273" w:lineRule="auto"/>
        <w:tabs>
          <w:tab w:leader="none" w:pos="1836" w:val="left"/>
        </w:tabs>
        <w:numPr>
          <w:ilvl w:val="2"/>
          <w:numId w:val="239"/>
        </w:numPr>
        <w:rPr>
          <w:rFonts w:ascii="Arial" w:cs="Arial" w:eastAsia="Arial" w:hAnsi="Arial"/>
          <w:sz w:val="17"/>
          <w:szCs w:val="17"/>
          <w:color w:val="auto"/>
        </w:rPr>
      </w:pPr>
      <w:r>
        <w:rPr>
          <w:rFonts w:ascii="Arial" w:cs="Arial" w:eastAsia="Arial" w:hAnsi="Arial"/>
          <w:sz w:val="17"/>
          <w:szCs w:val="17"/>
          <w:color w:val="auto"/>
        </w:rPr>
        <w:t>shall impose, modify or deem applicable any reserve, special deposit or similar requirement (including, without limitation, any such requirement imposed by the Board of Governors of the Federal Reserve System, but excluding with respect to any Eurodollar Loans any such requirement included in an applicable Eurodollar reserve percentage) against assets of, deposits with or for the account of, or credit extended by, any Lender (or its Lending Office) or the L/C Issuer or shall impose on any Lender (or its Lending Office) or the L/C Issuer or the interbank market any other condition affecting its Eurodollar Loans, its Notes, its Letter(s) of Credit, or its Participating Interest in any thereof, any Reimbursement Obligation owed to it, or its obligation to make Eurodollar Loans, or to issue a Letter of Credit, or to participate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-1651635</wp:posOffset>
            </wp:positionV>
            <wp:extent cx="128905"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2048510</wp:posOffset>
            </wp:positionH>
            <wp:positionV relativeFrom="paragraph">
              <wp:posOffset>-965835</wp:posOffset>
            </wp:positionV>
            <wp:extent cx="3429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8"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and the result of any of the foregoing is to increase the cost to such Lender (or its Lending Office) or the L/C Issuer of making or maintaining any Eurodollar Loan, issuing or maintaining a Letter of Credit, or participating therein, or to reduce the amount of any sum received or receivable by such Lender (or its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04"/>
          </w:cols>
          <w:pgMar w:left="436" w:top="274" w:right="459" w:bottom="1440" w:gutter="0" w:footer="0" w:header="0"/>
        </w:sectPr>
      </w:pPr>
    </w:p>
    <w:bookmarkStart w:id="188" w:name="page189"/>
    <w:bookmarkEnd w:id="188"/>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Lending Office) or the L/C Issuer under this Agreement or under any other Loan Document with respect thereto, by an amount deemed by such Lender or the L/C Issuer to be material, then, within thirty (30) days after demand by such Lender or the L/C Issuer (with a copy to the Administrative Agent), the Borrower shall be obligated to pay to such Lender or the L/C Issuer such additional amount or amounts as will compensate such Lender or the L/C Issuer for such increased cost or reduction;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not be required to compensate a Lender or the L/C Issuer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10.3(a) for any increased costs or reductions incurred more than </w:t>
      </w:r>
      <w:r>
        <w:rPr>
          <w:rFonts w:ascii="Arial" w:cs="Arial" w:eastAsia="Arial" w:hAnsi="Arial"/>
          <w:sz w:val="17"/>
          <w:szCs w:val="17"/>
          <w:u w:val="single" w:color="auto"/>
          <w:color w:val="0000E1"/>
        </w:rPr>
        <w:t>one hundred eighty (</w:t>
      </w:r>
      <w:r>
        <w:rPr>
          <w:rFonts w:ascii="Arial" w:cs="Arial" w:eastAsia="Arial" w:hAnsi="Arial"/>
          <w:sz w:val="17"/>
          <w:szCs w:val="17"/>
          <w:color w:val="auto"/>
        </w:rPr>
        <w:t xml:space="preserve">180 </w:t>
      </w:r>
      <w:r>
        <w:rPr>
          <w:rFonts w:ascii="Arial" w:cs="Arial" w:eastAsia="Arial" w:hAnsi="Arial"/>
          <w:sz w:val="17"/>
          <w:szCs w:val="17"/>
          <w:u w:val="single" w:color="auto"/>
          <w:color w:val="0000E1"/>
        </w:rPr>
        <w:t>)</w:t>
      </w:r>
      <w:r>
        <w:rPr>
          <w:rFonts w:ascii="Arial" w:cs="Arial" w:eastAsia="Arial" w:hAnsi="Arial"/>
          <w:sz w:val="17"/>
          <w:szCs w:val="17"/>
          <w:color w:val="auto"/>
        </w:rPr>
        <w:t xml:space="preserve"> days prior to the date that such Lender notifies the Borrower of the change in law giving rise to such increased costs or reductions and of such Lender’s or the L/C Issuer’s intention to claim compensation therefor; </w:t>
      </w:r>
      <w:r>
        <w:rPr>
          <w:rFonts w:ascii="Arial" w:cs="Arial" w:eastAsia="Arial" w:hAnsi="Arial"/>
          <w:sz w:val="17"/>
          <w:szCs w:val="17"/>
          <w:i w:val="1"/>
          <w:iCs w:val="1"/>
          <w:color w:val="auto"/>
        </w:rPr>
        <w:t>provided</w:t>
      </w:r>
      <w:r>
        <w:rPr>
          <w:rFonts w:ascii="Arial" w:cs="Arial" w:eastAsia="Arial" w:hAnsi="Arial"/>
          <w:sz w:val="17"/>
          <w:szCs w:val="17"/>
          <w:i w:val="1"/>
          <w:iCs w:val="1"/>
          <w:u w:val="single" w:color="auto"/>
          <w:color w:val="0000E1"/>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0000E1"/>
        </w:rPr>
        <w:t>,</w:t>
      </w:r>
      <w:r>
        <w:rPr>
          <w:rFonts w:ascii="Arial" w:cs="Arial" w:eastAsia="Arial" w:hAnsi="Arial"/>
          <w:sz w:val="17"/>
          <w:szCs w:val="17"/>
          <w:color w:val="auto"/>
        </w:rPr>
        <w:t xml:space="preserve"> that, if the change in law giving rise to such increased costs or reductions is retroactive then the </w:t>
      </w:r>
      <w:r>
        <w:rPr>
          <w:rFonts w:ascii="Arial" w:cs="Arial" w:eastAsia="Arial" w:hAnsi="Arial"/>
          <w:sz w:val="17"/>
          <w:szCs w:val="17"/>
          <w:u w:val="single" w:color="auto"/>
          <w:color w:val="0000E1"/>
        </w:rPr>
        <w:t>one hundred eighty (</w:t>
      </w:r>
      <w:r>
        <w:rPr>
          <w:rFonts w:ascii="Arial" w:cs="Arial" w:eastAsia="Arial" w:hAnsi="Arial"/>
          <w:sz w:val="17"/>
          <w:szCs w:val="17"/>
          <w:color w:val="auto"/>
        </w:rPr>
        <w:t xml:space="preserve">180 </w:t>
      </w:r>
      <w:r>
        <w:rPr>
          <w:rFonts w:ascii="Arial" w:cs="Arial" w:eastAsia="Arial" w:hAnsi="Arial"/>
          <w:sz w:val="17"/>
          <w:szCs w:val="17"/>
          <w:u w:val="single" w:color="auto"/>
          <w:color w:val="0000E1"/>
        </w:rPr>
        <w:t>)</w:t>
      </w:r>
      <w:r>
        <w:rPr>
          <w:rFonts w:ascii="Arial" w:cs="Arial" w:eastAsia="Arial" w:hAnsi="Arial"/>
          <w:sz w:val="17"/>
          <w:szCs w:val="17"/>
          <w:color w:val="auto"/>
        </w:rPr>
        <w:t xml:space="preserve"> day period referred to above shall be extended to include the period of retroactive effect thereof. Upon the receipt by the Borrower of such demand, the Borrower shall have the option to immediately repay such Eurodollar Loan or convert such Eurodollar Loan to a Base Rate Loan (in each case, subject to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w:t>
      </w:r>
      <w:r>
        <w:rPr>
          <w:rFonts w:ascii="Arial" w:cs="Arial" w:eastAsia="Arial" w:hAnsi="Arial"/>
          <w:sz w:val="17"/>
          <w:szCs w:val="17"/>
          <w:color w:val="FF0000"/>
          <w:strike w:val="1"/>
        </w:rPr>
        <w:t>hereof</w:t>
      </w:r>
      <w:r>
        <w:rPr>
          <w:rFonts w:ascii="Arial" w:cs="Arial" w:eastAsia="Arial" w:hAnsi="Arial"/>
          <w:sz w:val="17"/>
          <w:szCs w:val="17"/>
          <w:color w:val="auto"/>
        </w:rPr>
        <w:t>), or cause the beneficiary of any such Letter of Credit to terminate such Letter of Credit, in each case in order to minimize or eliminate such increased cost or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-903605</wp:posOffset>
            </wp:positionV>
            <wp:extent cx="1183005" cy="8572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183005" cy="8572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-551815</wp:posOffset>
            </wp:positionV>
            <wp:extent cx="2603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-551815</wp:posOffset>
            </wp:positionV>
            <wp:extent cx="51435"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1195705</wp:posOffset>
            </wp:positionH>
            <wp:positionV relativeFrom="paragraph">
              <wp:posOffset>-586105</wp:posOffset>
            </wp:positionV>
            <wp:extent cx="57150"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5672455</wp:posOffset>
            </wp:positionH>
            <wp:positionV relativeFrom="paragraph">
              <wp:posOffset>-629285</wp:posOffset>
            </wp:positionV>
            <wp:extent cx="1183005" cy="8572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183005" cy="85725"/>
                    </a:xfrm>
                    <a:prstGeom prst="rect">
                      <a:avLst/>
                    </a:prstGeom>
                    <a:noFill/>
                  </pic:spPr>
                </pic:pic>
              </a:graphicData>
            </a:graphic>
          </wp:anchor>
        </w:drawing>
      </w:r>
    </w:p>
    <w:p>
      <w:pPr>
        <w:spacing w:after="0" w:line="162" w:lineRule="exact"/>
        <w:rPr>
          <w:sz w:val="20"/>
          <w:szCs w:val="20"/>
          <w:color w:val="auto"/>
        </w:rPr>
      </w:pPr>
    </w:p>
    <w:p>
      <w:pPr>
        <w:ind w:firstLine="987"/>
        <w:spacing w:after="0" w:line="283" w:lineRule="auto"/>
        <w:tabs>
          <w:tab w:leader="none" w:pos="1381"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If, after the Closing Date, any Lender, the L/C Issuer or the Administrative Agent shall have determined that any Change in Law, or compliance by any Lender (or its Lending Office) or the L/C Issuer or any Person controlling such Lender or the L/C Issuer with any request or directive regarding capital adequacy or liquidity requirements (whether or not having the force of law) of any such authority, central bank or comparable agency, has had the effect of reducing the rate of return on such Lender’s or the L/C Issuer’s or such Person’s capital as a consequence of its obligations hereunder to a level below that which such Lender or the L/C Issuer or such Person could have achieved but for such Change in Law or compliance (taking into consideration such Lender’s or the L/C Issuer’s or such Person’s policies with respect to capital adequacy) by an amount deemed by such Lender or the L/C Issuer to be material, then from time to time, within thirty (30) days after demand by such Lender or the L/C Issuer (with a copy to the Administrative Agent), the Borrower shall pay to such Lender or the L/C Issuer such additional amount or amounts as will compensate such Lender or the L/C Issuer for such reduction;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not be required to compensate a Lender or the L/C Issuer pursuant to this</w:t>
      </w:r>
    </w:p>
    <w:p>
      <w:pPr>
        <w:spacing w:after="0" w:line="5" w:lineRule="exact"/>
        <w:rPr>
          <w:rFonts w:ascii="Arial" w:cs="Arial" w:eastAsia="Arial" w:hAnsi="Arial"/>
          <w:sz w:val="16"/>
          <w:szCs w:val="16"/>
          <w:color w:val="auto"/>
        </w:rPr>
      </w:pPr>
    </w:p>
    <w:p>
      <w:pPr>
        <w:ind w:right="18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10.3(b)</w:t>
      </w:r>
      <w:r>
        <w:rPr>
          <w:rFonts w:ascii="Arial" w:cs="Arial" w:eastAsia="Arial" w:hAnsi="Arial"/>
          <w:sz w:val="18"/>
          <w:szCs w:val="18"/>
          <w:color w:val="auto"/>
        </w:rPr>
        <w:t xml:space="preserve"> for any reduced return incurred more than 180 days prior to the date that such Lender or the L/C Issuer notifies the Borrower of the change in law giving rise to such reduced return and of such Lender’s or the L/C Issuer’s intention to claim compensation therefor; </w:t>
      </w:r>
      <w:r>
        <w:rPr>
          <w:rFonts w:ascii="Arial" w:cs="Arial" w:eastAsia="Arial" w:hAnsi="Arial"/>
          <w:sz w:val="18"/>
          <w:szCs w:val="18"/>
          <w:i w:val="1"/>
          <w:iCs w:val="1"/>
          <w:color w:val="auto"/>
        </w:rPr>
        <w:t>provided</w:t>
      </w:r>
      <w:r>
        <w:rPr>
          <w:rFonts w:ascii="Arial" w:cs="Arial" w:eastAsia="Arial" w:hAnsi="Arial"/>
          <w:sz w:val="18"/>
          <w:szCs w:val="18"/>
          <w:i w:val="1"/>
          <w:iCs w:val="1"/>
          <w:u w:val="single" w:color="auto"/>
          <w:color w:val="0000E1"/>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E1"/>
        </w:rPr>
        <w:t>,</w:t>
      </w:r>
      <w:r>
        <w:rPr>
          <w:rFonts w:ascii="Arial" w:cs="Arial" w:eastAsia="Arial" w:hAnsi="Arial"/>
          <w:sz w:val="18"/>
          <w:szCs w:val="18"/>
          <w:color w:val="auto"/>
        </w:rPr>
        <w:t xml:space="preserve"> </w:t>
      </w:r>
      <w:r>
        <w:rPr>
          <w:rFonts w:ascii="Arial" w:cs="Arial" w:eastAsia="Arial" w:hAnsi="Arial"/>
          <w:sz w:val="18"/>
          <w:szCs w:val="18"/>
          <w:color w:val="0000E1"/>
        </w:rPr>
        <w:t>that</w:t>
      </w:r>
      <w:r>
        <w:rPr>
          <w:rFonts w:ascii="Arial" w:cs="Arial" w:eastAsia="Arial" w:hAnsi="Arial"/>
          <w:sz w:val="18"/>
          <w:szCs w:val="18"/>
          <w:color w:val="FF0000"/>
          <w:strike w:val="1"/>
        </w:rPr>
        <w:t>,</w:t>
      </w:r>
      <w:r>
        <w:rPr>
          <w:rFonts w:ascii="Arial" w:cs="Arial" w:eastAsia="Arial" w:hAnsi="Arial"/>
          <w:sz w:val="18"/>
          <w:szCs w:val="18"/>
          <w:color w:val="0000E1"/>
        </w:rPr>
        <w:t xml:space="preserve"> </w:t>
      </w:r>
      <w:r>
        <w:rPr>
          <w:rFonts w:ascii="Arial" w:cs="Arial" w:eastAsia="Arial" w:hAnsi="Arial"/>
          <w:sz w:val="18"/>
          <w:szCs w:val="18"/>
          <w:color w:val="000000"/>
        </w:rPr>
        <w:t>if the change in law giving rise to such reduced return is retroactive then the 180-day period referred to above shall be extended to include the</w:t>
      </w:r>
      <w:r>
        <w:rPr>
          <w:rFonts w:ascii="Arial" w:cs="Arial" w:eastAsia="Arial" w:hAnsi="Arial"/>
          <w:sz w:val="18"/>
          <w:szCs w:val="18"/>
          <w:color w:val="0000E1"/>
        </w:rPr>
        <w:t xml:space="preserve"> </w:t>
      </w:r>
      <w:r>
        <w:rPr>
          <w:rFonts w:ascii="Arial" w:cs="Arial" w:eastAsia="Arial" w:hAnsi="Arial"/>
          <w:sz w:val="18"/>
          <w:szCs w:val="18"/>
          <w:color w:val="000000"/>
        </w:rPr>
        <w:t>period of retroactive effect thereof.</w:t>
      </w:r>
    </w:p>
    <w:p>
      <w:pPr>
        <w:spacing w:after="0" w:line="192" w:lineRule="exact"/>
        <w:rPr>
          <w:rFonts w:ascii="Arial" w:cs="Arial" w:eastAsia="Arial" w:hAnsi="Arial"/>
          <w:sz w:val="16"/>
          <w:szCs w:val="16"/>
          <w:color w:val="auto"/>
        </w:rPr>
      </w:pPr>
    </w:p>
    <w:p>
      <w:pPr>
        <w:ind w:right="20" w:firstLine="987"/>
        <w:spacing w:after="0" w:line="263" w:lineRule="auto"/>
        <w:tabs>
          <w:tab w:leader="none" w:pos="136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A certificate of a Lender or the L/C Issuer claiming compensation under this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and setting forth the additional amount or amounts to be paid to it in accordance with this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shall be conclusive if reasonably determined and absent manifest error. In determining such amount, such Lender or the L/C Issuer may use any reasonable averaging and attribution methods.</w:t>
      </w:r>
    </w:p>
    <w:p>
      <w:pPr>
        <w:spacing w:after="0" w:line="183" w:lineRule="exact"/>
        <w:rPr>
          <w:rFonts w:ascii="Arial" w:cs="Arial" w:eastAsia="Arial" w:hAnsi="Arial"/>
          <w:sz w:val="18"/>
          <w:szCs w:val="18"/>
          <w:color w:val="auto"/>
        </w:rPr>
      </w:pPr>
    </w:p>
    <w:p>
      <w:pPr>
        <w:ind w:right="100" w:firstLine="987"/>
        <w:spacing w:after="0" w:line="263" w:lineRule="auto"/>
        <w:tabs>
          <w:tab w:leader="none" w:pos="138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In the case of any request for compensation under this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resulting from a market disruption, (A) such circumstances must generally affect the market in which the Loans trade and are issued and (B) such request must have been made by, or at the direction of, Lenders constituting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6409690</wp:posOffset>
            </wp:positionH>
            <wp:positionV relativeFrom="paragraph">
              <wp:posOffset>-1374140</wp:posOffset>
            </wp:positionV>
            <wp:extent cx="2540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6786880</wp:posOffset>
            </wp:positionH>
            <wp:positionV relativeFrom="paragraph">
              <wp:posOffset>-1374140</wp:posOffset>
            </wp:positionV>
            <wp:extent cx="8572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6784975</wp:posOffset>
            </wp:positionH>
            <wp:positionV relativeFrom="paragraph">
              <wp:posOffset>-1408430</wp:posOffset>
            </wp:positionV>
            <wp:extent cx="5715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6813550</wp:posOffset>
            </wp:positionH>
            <wp:positionV relativeFrom="paragraph">
              <wp:posOffset>-1450975</wp:posOffset>
            </wp:positionV>
            <wp:extent cx="2857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-1236980</wp:posOffset>
            </wp:positionV>
            <wp:extent cx="34290"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-1271270</wp:posOffset>
            </wp:positionV>
            <wp:extent cx="2857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4"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i w:val="1"/>
          <w:iCs w:val="1"/>
          <w:color w:val="auto"/>
        </w:rPr>
        <w:t>Lending Offices</w:t>
      </w:r>
      <w:r>
        <w:rPr>
          <w:rFonts w:ascii="Arial" w:cs="Arial" w:eastAsia="Arial" w:hAnsi="Arial"/>
          <w:sz w:val="17"/>
          <w:szCs w:val="17"/>
          <w:color w:val="auto"/>
        </w:rPr>
        <w:t>. Each Lender may, at its option, elect to make its Loans hereunder at the branch, office or affiliate specified on the appropriate signature page hereof (each a “</w:t>
      </w:r>
      <w:r>
        <w:rPr>
          <w:rFonts w:ascii="Arial" w:cs="Arial" w:eastAsia="Arial" w:hAnsi="Arial"/>
          <w:sz w:val="17"/>
          <w:szCs w:val="17"/>
          <w:i w:val="1"/>
          <w:iCs w:val="1"/>
          <w:color w:val="auto"/>
        </w:rPr>
        <w:t>Lending Office</w:t>
      </w:r>
      <w:r>
        <w:rPr>
          <w:rFonts w:ascii="Arial" w:cs="Arial" w:eastAsia="Arial" w:hAnsi="Arial"/>
          <w:sz w:val="17"/>
          <w:szCs w:val="17"/>
          <w:color w:val="auto"/>
        </w:rPr>
        <w:t>”) for each type of Loan available hereunder or at such other of its branches, offices or affiliates as it may from time to time elect and designate in a written notice to the Borrower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1717675</wp:posOffset>
            </wp:positionH>
            <wp:positionV relativeFrom="paragraph">
              <wp:posOffset>-365125</wp:posOffset>
            </wp:positionV>
            <wp:extent cx="28575"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00"/>
          </w:cols>
          <w:pgMar w:left="440" w:top="274" w:right="459" w:bottom="1440" w:gutter="0" w:footer="0" w:header="0"/>
        </w:sectPr>
      </w:pPr>
    </w:p>
    <w:bookmarkStart w:id="189" w:name="page190"/>
    <w:bookmarkEnd w:id="189"/>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10.5 </w:t>
      </w:r>
      <w:r>
        <w:rPr>
          <w:rFonts w:ascii="Arial" w:cs="Arial" w:eastAsia="Arial" w:hAnsi="Arial"/>
          <w:sz w:val="18"/>
          <w:szCs w:val="18"/>
          <w:i w:val="1"/>
          <w:iCs w:val="1"/>
          <w:color w:val="auto"/>
        </w:rPr>
        <w:t>Discretion of Lender as to Manner of Funding</w:t>
      </w:r>
      <w:r>
        <w:rPr>
          <w:rFonts w:ascii="Arial" w:cs="Arial" w:eastAsia="Arial" w:hAnsi="Arial"/>
          <w:sz w:val="18"/>
          <w:szCs w:val="18"/>
          <w:color w:val="auto"/>
        </w:rPr>
        <w:t>. Notwithstanding any other provision of this Agreement, each Lender shall be entitled to fund and maintain its funding of all or any part of its Loans in any manner it sees fit, it being understood, however, that for the purposes of this Agreement all determinations hereunder with respect to Eurodollar Loans shall be made as if each Lender had actually funded and maintained each Eurodollar Loan through the purchase of deposits in the interbank eurodollar market having a maturity corresponding to such Loan’s Interest Period, and bearing an interest rate equal to the Eurodollar Rate for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-625475</wp:posOffset>
            </wp:positionV>
            <wp:extent cx="2857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8"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i w:val="1"/>
          <w:iCs w:val="1"/>
          <w:color w:val="auto"/>
        </w:rPr>
        <w:t>Mitigation</w:t>
      </w:r>
      <w:r>
        <w:rPr>
          <w:rFonts w:ascii="Arial" w:cs="Arial" w:eastAsia="Arial" w:hAnsi="Arial"/>
          <w:sz w:val="16"/>
          <w:szCs w:val="16"/>
          <w:color w:val="auto"/>
        </w:rPr>
        <w:t xml:space="preserve">. Any of the Administrative Agent, any Lender or the L/C Issuer claiming any additional amounts payable pursuant to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13.15</w:t>
      </w:r>
      <w:r>
        <w:rPr>
          <w:rFonts w:ascii="Arial" w:cs="Arial" w:eastAsia="Arial" w:hAnsi="Arial"/>
          <w:sz w:val="16"/>
          <w:szCs w:val="16"/>
          <w:color w:val="auto"/>
        </w:rPr>
        <w:t xml:space="preserve"> shall use reasonable efforts (consistent with legal and regulatory restrictions) to file any certificate or document reasonably requested by the Borrower or to change the jurisdiction of its applicable lending office or take other appropriate action if the making of such filing or change or the taking of such action would avoid the need for or reduce the amount of any such additional amounts that may thereafter accrue or avoid the circumstances giving rise to such exercise and would not, in the sole determination of the Administrative Agent, such Lender or the L/C Issuer, as the case may be, result in any additional costs, expenses not otherwise compensated or be otherwise disadvantageous to it. Each of the Administrative Agent, each Lender and the L/C Issuer agrees to use reasonable efforts to notify the Borrower as promptly as practicable upon its becoming aware that circumstances exist that would cause the Borrower to become obligated to pay additional amounts to the Administrative Agent, such Lender or the L/C Issuer pursuant to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13.15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-1188085</wp:posOffset>
            </wp:positionV>
            <wp:extent cx="2857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-365125</wp:posOffset>
            </wp:positionV>
            <wp:extent cx="2857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5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11.</w:t>
        <w:tab/>
        <w:t>T</w:t>
      </w:r>
      <w:r>
        <w:rPr>
          <w:rFonts w:ascii="Arial" w:cs="Arial" w:eastAsia="Arial" w:hAnsi="Arial"/>
          <w:sz w:val="14"/>
          <w:szCs w:val="14"/>
          <w:color w:val="auto"/>
        </w:rPr>
        <w:t>HE</w:t>
      </w:r>
      <w:r>
        <w:rPr>
          <w:rFonts w:ascii="Arial" w:cs="Arial" w:eastAsia="Arial" w:hAnsi="Arial"/>
          <w:sz w:val="18"/>
          <w:szCs w:val="18"/>
          <w:color w:val="auto"/>
        </w:rPr>
        <w:t xml:space="preserve"> A</w:t>
      </w:r>
      <w:r>
        <w:rPr>
          <w:rFonts w:ascii="Arial" w:cs="Arial" w:eastAsia="Arial" w:hAnsi="Arial"/>
          <w:sz w:val="14"/>
          <w:szCs w:val="14"/>
          <w:color w:val="auto"/>
        </w:rPr>
        <w:t>DMINISTRATIVE</w:t>
      </w:r>
      <w:r>
        <w:rPr>
          <w:rFonts w:ascii="Arial" w:cs="Arial" w:eastAsia="Arial" w:hAnsi="Arial"/>
          <w:sz w:val="18"/>
          <w:szCs w:val="18"/>
          <w:color w:val="auto"/>
        </w:rPr>
        <w:t xml:space="preserve"> A</w:t>
      </w:r>
      <w:r>
        <w:rPr>
          <w:rFonts w:ascii="Arial" w:cs="Arial" w:eastAsia="Arial" w:hAnsi="Arial"/>
          <w:sz w:val="14"/>
          <w:szCs w:val="14"/>
          <w:color w:val="auto"/>
        </w:rPr>
        <w:t>GENT AND THE</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xml:space="preserve"> A</w:t>
      </w:r>
      <w:r>
        <w:rPr>
          <w:rFonts w:ascii="Arial" w:cs="Arial" w:eastAsia="Arial" w:hAnsi="Arial"/>
          <w:sz w:val="14"/>
          <w:szCs w:val="14"/>
          <w:color w:val="auto"/>
        </w:rPr>
        <w:t>GENT</w:t>
      </w:r>
      <w:r>
        <w:rPr>
          <w:rFonts w:ascii="Arial" w:cs="Arial" w:eastAsia="Arial" w:hAnsi="Arial"/>
          <w:sz w:val="18"/>
          <w:szCs w:val="18"/>
          <w:color w:val="auto"/>
        </w:rPr>
        <w:t>.</w:t>
      </w:r>
    </w:p>
    <w:p>
      <w:pPr>
        <w:spacing w:after="0" w:line="117"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i w:val="1"/>
          <w:iCs w:val="1"/>
          <w:color w:val="auto"/>
        </w:rPr>
        <w:t>Appointment and Authorization of Administrative Agent and Collateral Agent</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85" w:lineRule="auto"/>
        <w:tabs>
          <w:tab w:leader="none" w:pos="1371"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Each Lender and each L/C Issuer (and each other Secured Creditor that is not a party hereto, by its acceptance of the benefits hereof and of the other Loan Documents) hereby irrevocably designates and appoints each of the Administrative Agent and the Collateral Agent as an agent of, as applicable, such Lender or L/C Issuer (or such other Secured Creditor) under this Agreement and the other Loan Documents. Each Lender and each L/C Issuer (and each other Secured Creditor that is not a party hereto, by its acceptance of the benefits hereof and of the other Loan Documents) irrevocably authorizes each Agent, in such capacity, through its agents or employees, to take such actions on its behalf under the provisions of this Agreement, the other Loan Documents and any other instrument or document furnished pursuant hereto or thereto and to exercise such powers and perform such duties as are delegated to such Agent by the terms of this Agreement and the other Loan Documents, together with such actions and powers as are reasonably incidental thereto. The provisions of this </w:t>
      </w:r>
      <w:r>
        <w:rPr>
          <w:rFonts w:ascii="Arial" w:cs="Arial" w:eastAsia="Arial" w:hAnsi="Arial"/>
          <w:sz w:val="16"/>
          <w:szCs w:val="16"/>
          <w:color w:val="FF0000"/>
          <w:strike w:val="1"/>
        </w:rPr>
        <w:t>Article IX</w:t>
      </w:r>
      <w:r>
        <w:rPr>
          <w:rFonts w:ascii="Arial" w:cs="Arial" w:eastAsia="Arial" w:hAnsi="Arial"/>
          <w:sz w:val="16"/>
          <w:szCs w:val="16"/>
          <w:u w:val="single" w:color="auto"/>
          <w:color w:val="0000E1"/>
        </w:rPr>
        <w:t>Section 11</w:t>
      </w:r>
      <w:r>
        <w:rPr>
          <w:rFonts w:ascii="Arial" w:cs="Arial" w:eastAsia="Arial" w:hAnsi="Arial"/>
          <w:sz w:val="16"/>
          <w:szCs w:val="16"/>
          <w:color w:val="auto"/>
        </w:rPr>
        <w:t xml:space="preserve"> are solely for the benefit of the Agents, the Lenders and the L/C Issuer, and no Loan Party shall have rights as a third party beneficiary of any such provisions. Without limiting the generality of the foregoing, the Agents are hereby expressly authorized to execute any and all documents (including releases) with respect to the Collateral and any rights of the Secured Creditors with respect thereto as contemplated by and in accordance with the provisions of this Agreement and the other Loan Documents. In performing its functions and duties hereunder, each Agent shall act solely as an agent of the Lenders (and the other Secured Creditors) and does not assume and shall not be deemed to have assumed any obligation towards or relationship of agency or trust with or for the Borrower or any of its Subsidiaries. Without limiting the generality of the foregoing, the use of the term “agent” in this Agreement </w:t>
      </w:r>
      <w:r>
        <w:rPr>
          <w:rFonts w:ascii="Arial" w:cs="Arial" w:eastAsia="Arial" w:hAnsi="Arial"/>
          <w:sz w:val="16"/>
          <w:szCs w:val="16"/>
          <w:u w:val="single" w:color="auto"/>
          <w:color w:val="0000E1"/>
        </w:rPr>
        <w:t>and the other Loan Documents (or any other</w:t>
      </w:r>
      <w:r>
        <w:rPr>
          <w:rFonts w:ascii="Arial" w:cs="Arial" w:eastAsia="Arial" w:hAnsi="Arial"/>
          <w:sz w:val="16"/>
          <w:szCs w:val="16"/>
          <w:color w:val="auto"/>
        </w:rPr>
        <w:t xml:space="preserve"> </w:t>
      </w:r>
      <w:r>
        <w:rPr>
          <w:rFonts w:ascii="Arial" w:cs="Arial" w:eastAsia="Arial" w:hAnsi="Arial"/>
          <w:sz w:val="16"/>
          <w:szCs w:val="16"/>
          <w:u w:val="single" w:color="auto"/>
          <w:color w:val="0000E1"/>
        </w:rPr>
        <w:t>similar term)</w:t>
      </w:r>
      <w:r>
        <w:rPr>
          <w:rFonts w:ascii="Arial" w:cs="Arial" w:eastAsia="Arial" w:hAnsi="Arial"/>
          <w:sz w:val="16"/>
          <w:szCs w:val="16"/>
          <w:color w:val="0000E1"/>
        </w:rPr>
        <w:t xml:space="preserve"> </w:t>
      </w:r>
      <w:r>
        <w:rPr>
          <w:rFonts w:ascii="Arial" w:cs="Arial" w:eastAsia="Arial" w:hAnsi="Arial"/>
          <w:sz w:val="16"/>
          <w:szCs w:val="16"/>
          <w:color w:val="000000"/>
        </w:rPr>
        <w:t>with reference to the Administrative Agent or the Collateral Agent is not intended to connote any fiduciary or other implied (or express)</w:t>
      </w:r>
      <w:r>
        <w:rPr>
          <w:rFonts w:ascii="Arial" w:cs="Arial" w:eastAsia="Arial" w:hAnsi="Arial"/>
          <w:sz w:val="16"/>
          <w:szCs w:val="16"/>
          <w:color w:val="0000E1"/>
        </w:rPr>
        <w:t xml:space="preserve"> </w:t>
      </w:r>
      <w:r>
        <w:rPr>
          <w:rFonts w:ascii="Arial" w:cs="Arial" w:eastAsia="Arial" w:hAnsi="Arial"/>
          <w:sz w:val="16"/>
          <w:szCs w:val="16"/>
          <w:color w:val="000000"/>
        </w:rPr>
        <w:t>obligations arising under agency doctrine of any applicable law. Instead, such term is used merely as a matter of market custom and is intended to create or reflect only an administrative relationship between independent contracting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5831840</wp:posOffset>
            </wp:positionH>
            <wp:positionV relativeFrom="paragraph">
              <wp:posOffset>-2005965</wp:posOffset>
            </wp:positionV>
            <wp:extent cx="28575"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-1242695</wp:posOffset>
            </wp:positionV>
            <wp:extent cx="48006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-908685</wp:posOffset>
            </wp:positionV>
            <wp:extent cx="2857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-497205</wp:posOffset>
            </wp:positionV>
            <wp:extent cx="2857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4952365</wp:posOffset>
            </wp:positionH>
            <wp:positionV relativeFrom="paragraph">
              <wp:posOffset>-419735</wp:posOffset>
            </wp:positionV>
            <wp:extent cx="202311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2023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-282575</wp:posOffset>
            </wp:positionV>
            <wp:extent cx="591185"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591185" cy="8255"/>
                    </a:xfrm>
                    <a:prstGeom prst="rect">
                      <a:avLst/>
                    </a:prstGeom>
                    <a:noFill/>
                  </pic:spPr>
                </pic:pic>
              </a:graphicData>
            </a:graphic>
          </wp:anchor>
        </w:drawing>
        <w:drawing>
          <wp:anchor simplePos="0" relativeHeight="251657728" behindDoc="1" locked="0" layoutInCell="0" allowOverlap="1">
            <wp:simplePos x="0" y="0"/>
            <wp:positionH relativeFrom="column">
              <wp:posOffset>2918460</wp:posOffset>
            </wp:positionH>
            <wp:positionV relativeFrom="paragraph">
              <wp:posOffset>-222885</wp:posOffset>
            </wp:positionV>
            <wp:extent cx="28575"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0"/>
          </w:cols>
          <w:pgMar w:left="440" w:top="274" w:right="459" w:bottom="1440" w:gutter="0" w:footer="0" w:header="0"/>
        </w:sectPr>
      </w:pPr>
    </w:p>
    <w:bookmarkStart w:id="190" w:name="page191"/>
    <w:bookmarkEnd w:id="190"/>
    <w:p>
      <w:pPr>
        <w:ind w:left="4" w:right="120" w:firstLine="987"/>
        <w:spacing w:after="0" w:line="270" w:lineRule="auto"/>
        <w:tabs>
          <w:tab w:leader="none" w:pos="1385" w:val="left"/>
        </w:tabs>
        <w:numPr>
          <w:ilvl w:val="1"/>
          <w:numId w:val="2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Lender irrevocably appoints each other Lender as its agent and bailee for the purpose of perfecting Liens (whether pursuant to Section 8-301(a)(2) of the UCC or otherwise), for the benefit of the Secured Creditors, in assets in which, in accordance with the UCC or any other applicable Legal Requirement a security interest can be perfected by possession or control. Should any Lender (other than the Collateral Agent) obtain possession or control of any such Collateral, such Lender shall notify the Collateral Agent thereof, and, promptly following the Collateral Agent’s request therefor, shall deliver such Collateral to the Collateral Agent or otherwise deal with such Collateral in accordance with the Collateral Agent’s instructions. The Lenders hereby (and each other Secured Creditor, by its acceptance of the benefits hereof and of the other Loan Documents) acknowledge and agree that the Collateral Agent may act, subject to and in accordance with the terms of customary intercreditor agreements or intercreditor agreements reasonably satisfactory to the Administrative Agent, if reasonably necessary in the determination of the Administrative Agent, as the collateral agent for the Lenders.</w:t>
      </w:r>
    </w:p>
    <w:p>
      <w:pPr>
        <w:spacing w:after="0" w:line="180" w:lineRule="exact"/>
        <w:rPr>
          <w:rFonts w:ascii="Arial" w:cs="Arial" w:eastAsia="Arial" w:hAnsi="Arial"/>
          <w:sz w:val="17"/>
          <w:szCs w:val="17"/>
          <w:color w:val="auto"/>
        </w:rPr>
      </w:pPr>
    </w:p>
    <w:p>
      <w:pPr>
        <w:ind w:left="4" w:right="40" w:firstLine="987"/>
        <w:spacing w:after="0" w:line="282" w:lineRule="auto"/>
        <w:tabs>
          <w:tab w:leader="none" w:pos="1375" w:val="left"/>
        </w:tabs>
        <w:numPr>
          <w:ilvl w:val="1"/>
          <w:numId w:val="242"/>
        </w:numPr>
        <w:rPr>
          <w:rFonts w:ascii="Arial" w:cs="Arial" w:eastAsia="Arial" w:hAnsi="Arial"/>
          <w:sz w:val="16"/>
          <w:szCs w:val="16"/>
          <w:color w:val="auto"/>
        </w:rPr>
      </w:pPr>
      <w:r>
        <w:rPr>
          <w:rFonts w:ascii="Arial" w:cs="Arial" w:eastAsia="Arial" w:hAnsi="Arial"/>
          <w:sz w:val="16"/>
          <w:szCs w:val="16"/>
          <w:color w:val="auto"/>
        </w:rPr>
        <w:t xml:space="preserve">For the avoidance of doubt, each Loan Party agrees to, and each of the Secured Creditors by its acceptance of the benefits hereof and of the other Loan Documents, hereby irrevocably authorizes, the Administrative Agent, at the direction of the Required Lenders, to credit bid all or any portion of the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w:t>
      </w:r>
      <w:r>
        <w:rPr>
          <w:rFonts w:ascii="Arial" w:cs="Arial" w:eastAsia="Arial" w:hAnsi="Arial"/>
          <w:sz w:val="16"/>
          <w:szCs w:val="16"/>
          <w:color w:val="FF0000"/>
          <w:strike w:val="1"/>
        </w:rPr>
        <w:t>Parties</w:t>
      </w:r>
      <w:r>
        <w:rPr>
          <w:rFonts w:ascii="Arial" w:cs="Arial" w:eastAsia="Arial" w:hAnsi="Arial"/>
          <w:sz w:val="16"/>
          <w:szCs w:val="16"/>
          <w:u w:val="single" w:color="auto"/>
          <w:color w:val="0000E1"/>
        </w:rPr>
        <w:t>Creditors</w:t>
      </w:r>
      <w:r>
        <w:rPr>
          <w:rFonts w:ascii="Arial" w:cs="Arial" w:eastAsia="Arial" w:hAnsi="Arial"/>
          <w:sz w:val="16"/>
          <w:szCs w:val="16"/>
          <w:color w:val="auto"/>
        </w:rPr>
        <w:t xml:space="preserve">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w:t>
      </w:r>
    </w:p>
    <w:p>
      <w:pPr>
        <w:spacing w:after="0" w:line="11" w:lineRule="exact"/>
        <w:rPr>
          <w:rFonts w:ascii="Arial" w:cs="Arial" w:eastAsia="Arial" w:hAnsi="Arial"/>
          <w:sz w:val="16"/>
          <w:szCs w:val="16"/>
          <w:color w:val="auto"/>
        </w:rPr>
      </w:pPr>
    </w:p>
    <w:p>
      <w:pPr>
        <w:ind w:left="4"/>
        <w:spacing w:after="0" w:line="287" w:lineRule="auto"/>
        <w:rPr>
          <w:rFonts w:ascii="Arial" w:cs="Arial" w:eastAsia="Arial" w:hAnsi="Arial"/>
          <w:sz w:val="16"/>
          <w:szCs w:val="16"/>
          <w:color w:val="auto"/>
        </w:rPr>
      </w:pPr>
      <w:r>
        <w:rPr>
          <w:rFonts w:ascii="Arial" w:cs="Arial" w:eastAsia="Arial" w:hAnsi="Arial"/>
          <w:sz w:val="16"/>
          <w:szCs w:val="16"/>
          <w:u w:val="single" w:color="auto"/>
          <w:color w:val="auto"/>
        </w:rPr>
        <w:t>Section 13.13</w:t>
      </w:r>
      <w:r>
        <w:rPr>
          <w:rFonts w:ascii="Arial" w:cs="Arial" w:eastAsia="Arial" w:hAnsi="Arial"/>
          <w:sz w:val="16"/>
          <w:szCs w:val="16"/>
          <w:color w:val="auto"/>
        </w:rPr>
        <w:t xml:space="preserve"> </w:t>
      </w:r>
      <w:r>
        <w:rPr>
          <w:rFonts w:ascii="Arial" w:cs="Arial" w:eastAsia="Arial" w:hAnsi="Arial"/>
          <w:sz w:val="16"/>
          <w:szCs w:val="16"/>
          <w:color w:val="FF0000"/>
        </w:rPr>
        <w:t>of this Agreement,</w:t>
      </w:r>
      <w:r>
        <w:rPr>
          <w:rFonts w:ascii="Arial" w:cs="Arial" w:eastAsia="Arial" w:hAnsi="Arial"/>
          <w:sz w:val="16"/>
          <w:szCs w:val="16"/>
          <w:u w:val="single" w:color="auto"/>
          <w:color w:val="0000E1"/>
        </w:rPr>
        <w:t>),</w:t>
      </w:r>
      <w:r>
        <w:rPr>
          <w:rFonts w:ascii="Arial" w:cs="Arial" w:eastAsia="Arial" w:hAnsi="Arial"/>
          <w:sz w:val="16"/>
          <w:szCs w:val="16"/>
          <w:color w:val="auto"/>
        </w:rPr>
        <w:t xml:space="preserve">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Creditor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Creditor or any acquisition vehicle to take any further action</w:t>
      </w:r>
      <w:r>
        <w:rPr>
          <w:rFonts w:ascii="Arial" w:cs="Arial" w:eastAsia="Arial" w:hAnsi="Arial"/>
          <w:sz w:val="16"/>
          <w:szCs w:val="16"/>
          <w:u w:val="single" w:color="auto"/>
          <w:color w:val="0000E1"/>
        </w:rPr>
        <w:t>.</w:t>
      </w:r>
    </w:p>
    <w:p>
      <w:pPr>
        <w:spacing w:after="0" w:line="169" w:lineRule="exact"/>
        <w:rPr>
          <w:rFonts w:ascii="Arial" w:cs="Arial" w:eastAsia="Arial" w:hAnsi="Arial"/>
          <w:sz w:val="16"/>
          <w:szCs w:val="16"/>
          <w:color w:val="auto"/>
        </w:rPr>
      </w:pPr>
    </w:p>
    <w:p>
      <w:pPr>
        <w:ind w:left="1384" w:hanging="393"/>
        <w:spacing w:after="0"/>
        <w:tabs>
          <w:tab w:leader="none" w:pos="1384" w:val="left"/>
        </w:tabs>
        <w:numPr>
          <w:ilvl w:val="1"/>
          <w:numId w:val="242"/>
        </w:numPr>
        <w:rPr>
          <w:rFonts w:ascii="Arial" w:cs="Arial" w:eastAsia="Arial" w:hAnsi="Arial"/>
          <w:sz w:val="16"/>
          <w:szCs w:val="16"/>
          <w:color w:val="auto"/>
        </w:rPr>
      </w:pPr>
      <w:r>
        <w:rPr>
          <w:rFonts w:ascii="Arial" w:cs="Arial" w:eastAsia="Arial" w:hAnsi="Arial"/>
          <w:sz w:val="16"/>
          <w:szCs w:val="16"/>
          <w:color w:val="auto"/>
        </w:rPr>
        <w:t>By its acceptance of the benefits hereof and of the other Loan Documents, each Secured Creditor that is not a party hereto hereby</w:t>
      </w:r>
    </w:p>
    <w:p>
      <w:pPr>
        <w:spacing w:after="0" w:line="46" w:lineRule="exact"/>
        <w:rPr>
          <w:rFonts w:ascii="Arial" w:cs="Arial" w:eastAsia="Arial" w:hAnsi="Arial"/>
          <w:sz w:val="16"/>
          <w:szCs w:val="16"/>
          <w:color w:val="auto"/>
        </w:rPr>
      </w:pPr>
    </w:p>
    <w:p>
      <w:pPr>
        <w:ind w:left="224" w:hanging="224"/>
        <w:spacing w:after="0"/>
        <w:tabs>
          <w:tab w:leader="none" w:pos="22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confirms that it has received a copy of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4152900</wp:posOffset>
            </wp:positionH>
            <wp:positionV relativeFrom="paragraph">
              <wp:posOffset>-4725670</wp:posOffset>
            </wp:positionV>
            <wp:extent cx="28575"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561340</wp:posOffset>
            </wp:positionH>
            <wp:positionV relativeFrom="paragraph">
              <wp:posOffset>-4314190</wp:posOffset>
            </wp:positionV>
            <wp:extent cx="28575"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711200</wp:posOffset>
            </wp:positionH>
            <wp:positionV relativeFrom="paragraph">
              <wp:posOffset>-2453640</wp:posOffset>
            </wp:positionV>
            <wp:extent cx="445770"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-1433830</wp:posOffset>
            </wp:positionV>
            <wp:extent cx="882015"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82015" cy="825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-1356360</wp:posOffset>
            </wp:positionV>
            <wp:extent cx="6858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6180455</wp:posOffset>
            </wp:positionH>
            <wp:positionV relativeFrom="paragraph">
              <wp:posOffset>-396240</wp:posOffset>
            </wp:positionV>
            <wp:extent cx="3429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04"/>
          </w:cols>
          <w:pgMar w:left="436" w:top="274" w:right="459" w:bottom="1440" w:gutter="0" w:footer="0" w:header="0"/>
        </w:sectPr>
      </w:pPr>
    </w:p>
    <w:bookmarkStart w:id="191" w:name="page192"/>
    <w:bookmarkEnd w:id="19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Documents and such other documents and information as it has deemed appropriate to make its own decision to become a Secured Creditor and acknowledges that it is aware of the contents of, and consents to the terms of, the Loan Documents, (ii) agrees that it will be bound by the provisions of the Collateral Documents, the Guarantees and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w:t>
      </w:r>
      <w:r>
        <w:rPr>
          <w:rFonts w:ascii="Arial" w:cs="Arial" w:eastAsia="Arial" w:hAnsi="Arial"/>
          <w:sz w:val="16"/>
          <w:szCs w:val="16"/>
          <w:color w:val="FF0000"/>
          <w:strike w:val="1"/>
        </w:rPr>
        <w:t>of this Agreement</w:t>
      </w:r>
      <w:r>
        <w:rPr>
          <w:rFonts w:ascii="Arial" w:cs="Arial" w:eastAsia="Arial" w:hAnsi="Arial"/>
          <w:sz w:val="16"/>
          <w:szCs w:val="16"/>
          <w:color w:val="auto"/>
        </w:rPr>
        <w:t xml:space="preserve"> (with respect to each such Section, as if such Secured Creditor were a Lender party to this Agreement) and will perform in accordance with its terms all such obligations which by the terms of such documents are required to be performed by it as a Secured Creditor (or in the case of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w:t>
      </w:r>
      <w:r>
        <w:rPr>
          <w:rFonts w:ascii="Arial" w:cs="Arial" w:eastAsia="Arial" w:hAnsi="Arial"/>
          <w:sz w:val="16"/>
          <w:szCs w:val="16"/>
          <w:color w:val="FF0000"/>
        </w:rPr>
        <w:t>of this</w:t>
      </w:r>
      <w:r>
        <w:rPr>
          <w:rFonts w:ascii="Arial" w:cs="Arial" w:eastAsia="Arial" w:hAnsi="Arial"/>
          <w:sz w:val="16"/>
          <w:szCs w:val="16"/>
          <w:color w:val="auto"/>
        </w:rPr>
        <w:t xml:space="preserve"> </w:t>
      </w:r>
      <w:r>
        <w:rPr>
          <w:rFonts w:ascii="Arial" w:cs="Arial" w:eastAsia="Arial" w:hAnsi="Arial"/>
          <w:sz w:val="16"/>
          <w:szCs w:val="16"/>
          <w:color w:val="FF0000"/>
          <w:strike w:val="1"/>
        </w:rPr>
        <w:t>Agreement</w:t>
      </w:r>
      <w:r>
        <w:rPr>
          <w:rFonts w:ascii="Arial" w:cs="Arial" w:eastAsia="Arial" w:hAnsi="Arial"/>
          <w:sz w:val="16"/>
          <w:szCs w:val="16"/>
          <w:color w:val="000000"/>
        </w:rPr>
        <w:t>, as a Lender) and will take no actions contrary to such obligations; and (iii) authorizes and instructs the Collateral Agent to enter into the</w:t>
      </w:r>
      <w:r>
        <w:rPr>
          <w:rFonts w:ascii="Arial" w:cs="Arial" w:eastAsia="Arial" w:hAnsi="Arial"/>
          <w:sz w:val="16"/>
          <w:szCs w:val="16"/>
          <w:color w:val="FF0000"/>
        </w:rPr>
        <w:t xml:space="preserve"> </w:t>
      </w:r>
      <w:r>
        <w:rPr>
          <w:rFonts w:ascii="Arial" w:cs="Arial" w:eastAsia="Arial" w:hAnsi="Arial"/>
          <w:sz w:val="16"/>
          <w:szCs w:val="16"/>
          <w:color w:val="000000"/>
        </w:rPr>
        <w:t>Collateral Documents and the Guarantees as Collateral Agent and on behalf of such Secured Creditor.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6607175</wp:posOffset>
            </wp:positionH>
            <wp:positionV relativeFrom="paragraph">
              <wp:posOffset>-364490</wp:posOffset>
            </wp:positionV>
            <wp:extent cx="31750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146"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i w:val="1"/>
          <w:iCs w:val="1"/>
          <w:color w:val="auto"/>
        </w:rPr>
        <w:t>Administrative Agent in its Individual Capacity</w:t>
      </w:r>
      <w:r>
        <w:rPr>
          <w:rFonts w:ascii="Arial" w:cs="Arial" w:eastAsia="Arial" w:hAnsi="Arial"/>
          <w:sz w:val="17"/>
          <w:szCs w:val="17"/>
          <w:color w:val="auto"/>
        </w:rPr>
        <w:t xml:space="preserve">. Each person serving as an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the person serving as an Agent hereunder in its individual capacity. Such person and its Affiliates may accept deposits from, lend money to, </w:t>
      </w:r>
      <w:r>
        <w:rPr>
          <w:rFonts w:ascii="Arial" w:cs="Arial" w:eastAsia="Arial" w:hAnsi="Arial"/>
          <w:sz w:val="17"/>
          <w:szCs w:val="17"/>
          <w:u w:val="single" w:color="auto"/>
          <w:color w:val="0000E1"/>
        </w:rPr>
        <w:t>own securities of,</w:t>
      </w:r>
      <w:r>
        <w:rPr>
          <w:rFonts w:ascii="Arial" w:cs="Arial" w:eastAsia="Arial" w:hAnsi="Arial"/>
          <w:sz w:val="17"/>
          <w:szCs w:val="17"/>
          <w:color w:val="auto"/>
        </w:rPr>
        <w:t xml:space="preserve"> act as financial advisor or in any other advisory capacity for, and generally engage in any kind of business with, Holdings, any of its Subsidiaries or any Affiliate of any of the foregoing as if it were not an Agent hereunder and without </w:t>
      </w:r>
      <w:r>
        <w:rPr>
          <w:rFonts w:ascii="Arial" w:cs="Arial" w:eastAsia="Arial" w:hAnsi="Arial"/>
          <w:sz w:val="17"/>
          <w:szCs w:val="17"/>
          <w:u w:val="single" w:color="auto"/>
          <w:color w:val="0000E1"/>
        </w:rPr>
        <w:t>any</w:t>
      </w:r>
      <w:r>
        <w:rPr>
          <w:rFonts w:ascii="Arial" w:cs="Arial" w:eastAsia="Arial" w:hAnsi="Arial"/>
          <w:sz w:val="17"/>
          <w:szCs w:val="17"/>
          <w:color w:val="auto"/>
        </w:rPr>
        <w:t xml:space="preserve"> duty to account therefor to the Lenders or the L/C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-768985</wp:posOffset>
            </wp:positionV>
            <wp:extent cx="28575"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-357505</wp:posOffset>
            </wp:positionV>
            <wp:extent cx="2857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3743325</wp:posOffset>
            </wp:positionH>
            <wp:positionV relativeFrom="paragraph">
              <wp:posOffset>-280035</wp:posOffset>
            </wp:positionV>
            <wp:extent cx="80581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-5715</wp:posOffset>
            </wp:positionV>
            <wp:extent cx="16256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58" w:lineRule="exact"/>
        <w:rPr>
          <w:sz w:val="20"/>
          <w:szCs w:val="20"/>
          <w:color w:val="auto"/>
        </w:rPr>
      </w:pPr>
    </w:p>
    <w:p>
      <w:pPr>
        <w:ind w:right="20" w:firstLine="440"/>
        <w:spacing w:after="0" w:line="282"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i w:val="1"/>
          <w:iCs w:val="1"/>
          <w:color w:val="auto"/>
        </w:rPr>
        <w:t>Exculpatory Provisions</w:t>
      </w:r>
      <w:r>
        <w:rPr>
          <w:rFonts w:ascii="Arial" w:cs="Arial" w:eastAsia="Arial" w:hAnsi="Arial"/>
          <w:sz w:val="16"/>
          <w:szCs w:val="16"/>
          <w:color w:val="auto"/>
        </w:rPr>
        <w:t xml:space="preserve">. No Agent shall have any duties or obligations except those expressly set forth in the Loan Documents and its duties hereunder shall be administrative in nature. Without limiting the generality of the foregoing, (a) no Agent shall be subject to any fiduciary or other implied duties, regardless of whether a Default has occurred and is continuing, (b) no Agent shall have any duty to take any discretionary action or exercise any discretionary powers, except discretionary rights and powers expressly contemplated by the Loan Documents that such Agent is required to exercise </w:t>
      </w:r>
      <w:r>
        <w:rPr>
          <w:rFonts w:ascii="Arial" w:cs="Arial" w:eastAsia="Arial" w:hAnsi="Arial"/>
          <w:sz w:val="16"/>
          <w:szCs w:val="16"/>
          <w:u w:val="single" w:color="auto"/>
          <w:color w:val="0000E1"/>
        </w:rPr>
        <w:t>as directed</w:t>
      </w:r>
      <w:r>
        <w:rPr>
          <w:rFonts w:ascii="Arial" w:cs="Arial" w:eastAsia="Arial" w:hAnsi="Arial"/>
          <w:sz w:val="16"/>
          <w:szCs w:val="16"/>
          <w:color w:val="auto"/>
        </w:rPr>
        <w:t xml:space="preserve"> in writing by the Required Lenders (or such other number or percentage of the Lenders as shall be expressly provided for herein or in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Agent shall be required to take any action that, in its opinion or the opinion of its counsel, may expose such Agent to liability, or that is contrary to any Loan Document or applicable Legal Requirements including, for the avoidance of doubt any action that may be in violation of the automatic stay under any Insolvency Law or that may effect a forfeiture, modification or termination of property of a Defaulting Lender </w:t>
      </w:r>
      <w:r>
        <w:rPr>
          <w:rFonts w:ascii="Arial" w:cs="Arial" w:eastAsia="Arial" w:hAnsi="Arial"/>
          <w:sz w:val="16"/>
          <w:szCs w:val="16"/>
          <w:color w:val="FF0000"/>
          <w:strike w:val="1"/>
        </w:rPr>
        <w:t>under</w:t>
      </w:r>
      <w:r>
        <w:rPr>
          <w:rFonts w:ascii="Arial" w:cs="Arial" w:eastAsia="Arial" w:hAnsi="Arial"/>
          <w:sz w:val="16"/>
          <w:szCs w:val="16"/>
          <w:u w:val="single" w:color="auto"/>
          <w:color w:val="0000E1"/>
        </w:rPr>
        <w:t>in violation of</w:t>
      </w:r>
      <w:r>
        <w:rPr>
          <w:rFonts w:ascii="Arial" w:cs="Arial" w:eastAsia="Arial" w:hAnsi="Arial"/>
          <w:sz w:val="16"/>
          <w:szCs w:val="16"/>
          <w:color w:val="auto"/>
        </w:rPr>
        <w:t xml:space="preserve"> any Debtor Relief Law, and (c) except as expressly set forth in the Loan Documents, no Agent shall have any duty </w:t>
      </w:r>
      <w:r>
        <w:rPr>
          <w:rFonts w:ascii="Arial" w:cs="Arial" w:eastAsia="Arial" w:hAnsi="Arial"/>
          <w:sz w:val="16"/>
          <w:szCs w:val="16"/>
          <w:u w:val="single" w:color="auto"/>
          <w:color w:val="0000E1"/>
        </w:rPr>
        <w:t>or responsibility</w:t>
      </w:r>
      <w:r>
        <w:rPr>
          <w:rFonts w:ascii="Arial" w:cs="Arial" w:eastAsia="Arial" w:hAnsi="Arial"/>
          <w:sz w:val="16"/>
          <w:szCs w:val="16"/>
          <w:color w:val="auto"/>
        </w:rPr>
        <w:t xml:space="preserve"> to disclose or shall be liable for the failure to disclose, any </w:t>
      </w:r>
      <w:r>
        <w:rPr>
          <w:rFonts w:ascii="Arial" w:cs="Arial" w:eastAsia="Arial" w:hAnsi="Arial"/>
          <w:sz w:val="16"/>
          <w:szCs w:val="16"/>
          <w:u w:val="single" w:color="auto"/>
          <w:color w:val="0000E1"/>
        </w:rPr>
        <w:t>credit or other</w:t>
      </w:r>
      <w:r>
        <w:rPr>
          <w:rFonts w:ascii="Arial" w:cs="Arial" w:eastAsia="Arial" w:hAnsi="Arial"/>
          <w:sz w:val="16"/>
          <w:szCs w:val="16"/>
          <w:color w:val="auto"/>
        </w:rPr>
        <w:t xml:space="preserve"> information </w:t>
      </w:r>
      <w:r>
        <w:rPr>
          <w:rFonts w:ascii="Arial" w:cs="Arial" w:eastAsia="Arial" w:hAnsi="Arial"/>
          <w:sz w:val="16"/>
          <w:szCs w:val="16"/>
          <w:color w:val="FF0000"/>
          <w:strike w:val="1"/>
        </w:rPr>
        <w:t>relating to</w:t>
      </w:r>
      <w:r>
        <w:rPr>
          <w:rFonts w:ascii="Arial" w:cs="Arial" w:eastAsia="Arial" w:hAnsi="Arial"/>
          <w:sz w:val="16"/>
          <w:szCs w:val="16"/>
          <w:u w:val="single" w:color="auto"/>
          <w:color w:val="0000E1"/>
        </w:rPr>
        <w:t>concerning the business,</w:t>
      </w:r>
      <w:r>
        <w:rPr>
          <w:rFonts w:ascii="Arial" w:cs="Arial" w:eastAsia="Arial" w:hAnsi="Arial"/>
          <w:sz w:val="16"/>
          <w:szCs w:val="16"/>
          <w:color w:val="auto"/>
        </w:rPr>
        <w:t xml:space="preserve"> </w:t>
      </w:r>
      <w:r>
        <w:rPr>
          <w:rFonts w:ascii="Arial" w:cs="Arial" w:eastAsia="Arial" w:hAnsi="Arial"/>
          <w:sz w:val="16"/>
          <w:szCs w:val="16"/>
          <w:u w:val="single" w:color="auto"/>
          <w:color w:val="0000E1"/>
        </w:rPr>
        <w:t>prospects, operations, property financial and other condition or creditworthiness of</w:t>
      </w:r>
      <w:r>
        <w:rPr>
          <w:rFonts w:ascii="Arial" w:cs="Arial" w:eastAsia="Arial" w:hAnsi="Arial"/>
          <w:sz w:val="16"/>
          <w:szCs w:val="16"/>
          <w:color w:val="0000E1"/>
        </w:rPr>
        <w:t xml:space="preserve"> </w:t>
      </w:r>
      <w:r>
        <w:rPr>
          <w:rFonts w:ascii="Arial" w:cs="Arial" w:eastAsia="Arial" w:hAnsi="Arial"/>
          <w:sz w:val="16"/>
          <w:szCs w:val="16"/>
          <w:color w:val="000000"/>
        </w:rPr>
        <w:t>Holdings, any of its Subsidiaries or any of their respective Affiliates</w:t>
      </w:r>
      <w:r>
        <w:rPr>
          <w:rFonts w:ascii="Arial" w:cs="Arial" w:eastAsia="Arial" w:hAnsi="Arial"/>
          <w:sz w:val="16"/>
          <w:szCs w:val="16"/>
          <w:color w:val="0000E1"/>
        </w:rPr>
        <w:t xml:space="preserve"> </w:t>
      </w:r>
      <w:r>
        <w:rPr>
          <w:rFonts w:ascii="Arial" w:cs="Arial" w:eastAsia="Arial" w:hAnsi="Arial"/>
          <w:sz w:val="16"/>
          <w:szCs w:val="16"/>
          <w:color w:val="000000"/>
        </w:rPr>
        <w:t xml:space="preserve">that is communicated to </w:t>
      </w:r>
      <w:r>
        <w:rPr>
          <w:rFonts w:ascii="Arial" w:cs="Arial" w:eastAsia="Arial" w:hAnsi="Arial"/>
          <w:sz w:val="16"/>
          <w:szCs w:val="16"/>
          <w:color w:val="FF0000"/>
          <w:strike w:val="1"/>
        </w:rPr>
        <w:t>or</w:t>
      </w:r>
      <w:r>
        <w:rPr>
          <w:rFonts w:ascii="Arial" w:cs="Arial" w:eastAsia="Arial" w:hAnsi="Arial"/>
          <w:sz w:val="16"/>
          <w:szCs w:val="16"/>
          <w:u w:val="single" w:color="auto"/>
          <w:color w:val="0000E1"/>
        </w:rPr>
        <w:t>,</w:t>
      </w:r>
      <w:r>
        <w:rPr>
          <w:rFonts w:ascii="Arial" w:cs="Arial" w:eastAsia="Arial" w:hAnsi="Arial"/>
          <w:sz w:val="16"/>
          <w:szCs w:val="16"/>
          <w:color w:val="000000"/>
        </w:rPr>
        <w:t xml:space="preserve"> obtained </w:t>
      </w:r>
      <w:r>
        <w:rPr>
          <w:rFonts w:ascii="Arial" w:cs="Arial" w:eastAsia="Arial" w:hAnsi="Arial"/>
          <w:sz w:val="16"/>
          <w:szCs w:val="16"/>
          <w:color w:val="FF0000"/>
          <w:strike w:val="1"/>
        </w:rPr>
        <w:t>by</w:t>
      </w:r>
      <w:r>
        <w:rPr>
          <w:rFonts w:ascii="Arial" w:cs="Arial" w:eastAsia="Arial" w:hAnsi="Arial"/>
          <w:sz w:val="16"/>
          <w:szCs w:val="16"/>
          <w:u w:val="single" w:color="auto"/>
          <w:color w:val="0000E1"/>
        </w:rPr>
        <w:t>or in</w:t>
      </w:r>
      <w:r>
        <w:rPr>
          <w:rFonts w:ascii="Arial" w:cs="Arial" w:eastAsia="Arial" w:hAnsi="Arial"/>
          <w:sz w:val="16"/>
          <w:szCs w:val="16"/>
          <w:color w:val="000000"/>
        </w:rPr>
        <w:t xml:space="preserve"> the </w:t>
      </w:r>
      <w:r>
        <w:rPr>
          <w:rFonts w:ascii="Arial" w:cs="Arial" w:eastAsia="Arial" w:hAnsi="Arial"/>
          <w:sz w:val="16"/>
          <w:szCs w:val="16"/>
          <w:u w:val="single" w:color="auto"/>
          <w:color w:val="0000E1"/>
        </w:rPr>
        <w:t>possession of such</w:t>
      </w:r>
      <w:r>
        <w:rPr>
          <w:rFonts w:ascii="Arial" w:cs="Arial" w:eastAsia="Arial" w:hAnsi="Arial"/>
          <w:sz w:val="16"/>
          <w:szCs w:val="16"/>
          <w:color w:val="000000"/>
        </w:rPr>
        <w:t xml:space="preserve"> person serving as such Agent or any of its Affiliates in any capacity</w:t>
      </w:r>
      <w:r>
        <w:rPr>
          <w:rFonts w:ascii="Arial" w:cs="Arial" w:eastAsia="Arial" w:hAnsi="Arial"/>
          <w:sz w:val="16"/>
          <w:szCs w:val="16"/>
          <w:u w:val="single" w:color="auto"/>
          <w:color w:val="0000E1"/>
        </w:rPr>
        <w:t>, except for</w:t>
      </w:r>
      <w:r>
        <w:rPr>
          <w:rFonts w:ascii="Arial" w:cs="Arial" w:eastAsia="Arial" w:hAnsi="Arial"/>
          <w:sz w:val="16"/>
          <w:szCs w:val="16"/>
          <w:color w:val="000000"/>
        </w:rPr>
        <w:t xml:space="preserve"> </w:t>
      </w:r>
      <w:r>
        <w:rPr>
          <w:rFonts w:ascii="Arial" w:cs="Arial" w:eastAsia="Arial" w:hAnsi="Arial"/>
          <w:sz w:val="16"/>
          <w:szCs w:val="16"/>
          <w:u w:val="single" w:color="auto"/>
          <w:color w:val="0000E1"/>
        </w:rPr>
        <w:t>notices, reports and other documents expressly required to be furnished to the Lenders by such Agent</w:t>
      </w:r>
      <w:r>
        <w:rPr>
          <w:rFonts w:ascii="Arial" w:cs="Arial" w:eastAsia="Arial" w:hAnsi="Arial"/>
          <w:sz w:val="16"/>
          <w:szCs w:val="16"/>
          <w:color w:val="FF0000"/>
          <w:strike w:val="1"/>
        </w:rPr>
        <w:t>.</w:t>
      </w:r>
      <w:r>
        <w:rPr>
          <w:rFonts w:ascii="Arial" w:cs="Arial" w:eastAsia="Arial" w:hAnsi="Arial"/>
          <w:sz w:val="16"/>
          <w:szCs w:val="16"/>
          <w:color w:val="0000E1"/>
        </w:rPr>
        <w:t xml:space="preserve"> </w:t>
      </w:r>
      <w:r>
        <w:rPr>
          <w:rFonts w:ascii="Arial" w:cs="Arial" w:eastAsia="Arial" w:hAnsi="Arial"/>
          <w:sz w:val="16"/>
          <w:szCs w:val="16"/>
          <w:color w:val="000000"/>
        </w:rPr>
        <w:t>No Agent shall be liable to any other Secured</w:t>
      </w:r>
      <w:r>
        <w:rPr>
          <w:rFonts w:ascii="Arial" w:cs="Arial" w:eastAsia="Arial" w:hAnsi="Arial"/>
          <w:sz w:val="16"/>
          <w:szCs w:val="16"/>
          <w:color w:val="0000E1"/>
        </w:rPr>
        <w:t xml:space="preserve"> </w:t>
      </w:r>
      <w:r>
        <w:rPr>
          <w:rFonts w:ascii="Arial" w:cs="Arial" w:eastAsia="Arial" w:hAnsi="Arial"/>
          <w:sz w:val="16"/>
          <w:szCs w:val="16"/>
          <w:color w:val="000000"/>
        </w:rPr>
        <w:t xml:space="preserve">Creditor for any action taken or not taken by it (i) with the consent or at the request of the Required Lenders (or such other number or percentage of the Lenders as shall be necessary, or as any Agent shall believe in good faith shall be necessary, under the circumstances as provided in </w:t>
      </w:r>
      <w:r>
        <w:rPr>
          <w:rFonts w:ascii="Arial" w:cs="Arial" w:eastAsia="Arial" w:hAnsi="Arial"/>
          <w:sz w:val="16"/>
          <w:szCs w:val="16"/>
          <w:u w:val="single" w:color="auto"/>
          <w:color w:val="000000"/>
        </w:rPr>
        <w:t>Section</w:t>
      </w:r>
      <w:r>
        <w:rPr>
          <w:rFonts w:ascii="Arial" w:cs="Arial" w:eastAsia="Arial" w:hAnsi="Arial"/>
          <w:sz w:val="16"/>
          <w:szCs w:val="16"/>
          <w:color w:val="FF0000"/>
          <w:strike w:val="1"/>
        </w:rPr>
        <w:t>s 9.02</w:t>
      </w:r>
      <w:r>
        <w:rPr>
          <w:rFonts w:ascii="Arial" w:cs="Arial" w:eastAsia="Arial" w:hAnsi="Arial"/>
          <w:sz w:val="16"/>
          <w:szCs w:val="16"/>
          <w:u w:val="single" w:color="auto"/>
          <w:color w:val="0000E1"/>
        </w:rPr>
        <w:t>9.2,</w:t>
      </w:r>
      <w:r>
        <w:rPr>
          <w:rFonts w:ascii="Arial" w:cs="Arial" w:eastAsia="Arial" w:hAnsi="Arial"/>
          <w:sz w:val="16"/>
          <w:szCs w:val="16"/>
          <w:color w:val="000000"/>
        </w:rPr>
        <w:t xml:space="preserve"> </w:t>
      </w:r>
      <w:r>
        <w:rPr>
          <w:rFonts w:ascii="Arial" w:cs="Arial" w:eastAsia="Arial" w:hAnsi="Arial"/>
          <w:sz w:val="16"/>
          <w:szCs w:val="16"/>
          <w:color w:val="FF0000"/>
          <w:strike w:val="1"/>
        </w:rPr>
        <w:t>9.03</w:t>
      </w:r>
      <w:r>
        <w:rPr>
          <w:rFonts w:ascii="Arial" w:cs="Arial" w:eastAsia="Arial" w:hAnsi="Arial"/>
          <w:sz w:val="16"/>
          <w:szCs w:val="16"/>
          <w:u w:val="single" w:color="auto"/>
          <w:color w:val="0000E1"/>
        </w:rPr>
        <w:t>9.3</w:t>
      </w:r>
      <w:r>
        <w:rPr>
          <w:rFonts w:ascii="Arial" w:cs="Arial" w:eastAsia="Arial" w:hAnsi="Arial"/>
          <w:sz w:val="16"/>
          <w:szCs w:val="16"/>
          <w:color w:val="FF0000"/>
        </w:rPr>
        <w:t xml:space="preserve"> </w:t>
      </w:r>
      <w:r>
        <w:rPr>
          <w:rFonts w:ascii="Arial" w:cs="Arial" w:eastAsia="Arial" w:hAnsi="Arial"/>
          <w:sz w:val="16"/>
          <w:szCs w:val="16"/>
          <w:color w:val="000000"/>
        </w:rPr>
        <w:t>or</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13.13</w:t>
      </w:r>
      <w:r>
        <w:rPr>
          <w:rFonts w:ascii="Arial" w:cs="Arial" w:eastAsia="Arial" w:hAnsi="Arial"/>
          <w:sz w:val="16"/>
          <w:szCs w:val="16"/>
          <w:color w:val="000000"/>
        </w:rPr>
        <w:t>) or (ii) in the absence of its own gross negligence or willful misconduct as determined by a court of competent jurisdiction by a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-2118360</wp:posOffset>
            </wp:positionV>
            <wp:extent cx="2857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-1492250</wp:posOffset>
            </wp:positionV>
            <wp:extent cx="488315"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488315"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-943610</wp:posOffset>
            </wp:positionV>
            <wp:extent cx="64262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-806450</wp:posOffset>
            </wp:positionV>
            <wp:extent cx="745490"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-806450</wp:posOffset>
            </wp:positionV>
            <wp:extent cx="64325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5406390</wp:posOffset>
            </wp:positionH>
            <wp:positionV relativeFrom="paragraph">
              <wp:posOffset>-806450</wp:posOffset>
            </wp:positionV>
            <wp:extent cx="1123315"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-669290</wp:posOffset>
            </wp:positionV>
            <wp:extent cx="3814445"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3814445" cy="8890"/>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-532130</wp:posOffset>
            </wp:positionV>
            <wp:extent cx="2603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-532130</wp:posOffset>
            </wp:positionV>
            <wp:extent cx="126047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60475" cy="825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-532130</wp:posOffset>
            </wp:positionV>
            <wp:extent cx="51435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-394970</wp:posOffset>
            </wp:positionV>
            <wp:extent cx="462915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-120650</wp:posOffset>
            </wp:positionV>
            <wp:extent cx="17145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and nonappealable judgment. No Agent shall be deemed to have knowledge of any Default unless and until written notice thereof describing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-114935</wp:posOffset>
            </wp:positionV>
            <wp:extent cx="145415"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-12065</wp:posOffset>
            </wp:positionV>
            <wp:extent cx="28575"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d</w:t>
      </w:r>
      <w:r>
        <w:rPr>
          <w:rFonts w:ascii="Arial" w:cs="Arial" w:eastAsia="Arial" w:hAnsi="Arial"/>
          <w:sz w:val="16"/>
          <w:szCs w:val="16"/>
          <w:u w:val="single" w:color="auto"/>
          <w:color w:val="0000E1"/>
        </w:rPr>
        <w:t>D</w:t>
      </w:r>
      <w:r>
        <w:rPr>
          <w:rFonts w:ascii="Arial" w:cs="Arial" w:eastAsia="Arial" w:hAnsi="Arial"/>
          <w:sz w:val="16"/>
          <w:szCs w:val="16"/>
          <w:color w:val="000000"/>
        </w:rPr>
        <w:t>efault is given to such Agent by Borrower, a Lender, or the L/C Issuer, and no Agent shall be responsible for or have any duty to ascertain or inquire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-107315</wp:posOffset>
            </wp:positionV>
            <wp:extent cx="26035"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into (i) any statement, warranty or representation made in or in connection with any Loan Document, (ii) the contents of any certificate, report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-107315</wp:posOffset>
            </wp:positionV>
            <wp:extent cx="7747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document delivered hereunder or thereunder or in connection herewith or therewith, (iii) the performance or observance of any of the covenants,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agreements or other terms or conditions set forth in any Loan Document or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00"/>
          </w:cols>
          <w:pgMar w:left="440" w:top="274" w:right="459" w:bottom="1440" w:gutter="0" w:footer="0" w:header="0"/>
        </w:sectPr>
      </w:pPr>
    </w:p>
    <w:bookmarkStart w:id="192" w:name="page193"/>
    <w:bookmarkEnd w:id="192"/>
    <w:p>
      <w:pPr>
        <w:ind w:left="4"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occurrence of any Default, (iv) the validity, enforceability, effectiveness or genuineness of any Loan Document or any other agreement, instrument or document</w:t>
      </w:r>
      <w:r>
        <w:rPr>
          <w:rFonts w:ascii="Arial" w:cs="Arial" w:eastAsia="Arial" w:hAnsi="Arial"/>
          <w:sz w:val="17"/>
          <w:szCs w:val="17"/>
          <w:u w:val="single" w:color="auto"/>
          <w:color w:val="0000E1"/>
        </w:rPr>
        <w:t>,</w:t>
      </w:r>
      <w:r>
        <w:rPr>
          <w:rFonts w:ascii="Arial" w:cs="Arial" w:eastAsia="Arial" w:hAnsi="Arial"/>
          <w:sz w:val="17"/>
          <w:szCs w:val="17"/>
          <w:color w:val="auto"/>
        </w:rPr>
        <w:t xml:space="preserve"> or </w:t>
      </w:r>
      <w:r>
        <w:rPr>
          <w:rFonts w:ascii="Arial" w:cs="Arial" w:eastAsia="Arial" w:hAnsi="Arial"/>
          <w:sz w:val="17"/>
          <w:szCs w:val="17"/>
          <w:color w:val="FF0000"/>
          <w:strike w:val="1"/>
        </w:rPr>
        <w:t>(v)</w:t>
      </w:r>
      <w:r>
        <w:rPr>
          <w:rFonts w:ascii="Arial" w:cs="Arial" w:eastAsia="Arial" w:hAnsi="Arial"/>
          <w:sz w:val="17"/>
          <w:szCs w:val="17"/>
          <w:u w:val="single" w:color="auto"/>
          <w:color w:val="0000E1"/>
        </w:rPr>
        <w:t>the creation, perfection or priority of any Lien purported to be created by the Collateral Documents, (v) the value or the sufficiency of</w:t>
      </w:r>
      <w:r>
        <w:rPr>
          <w:rFonts w:ascii="Arial" w:cs="Arial" w:eastAsia="Arial" w:hAnsi="Arial"/>
          <w:sz w:val="17"/>
          <w:szCs w:val="17"/>
          <w:color w:val="auto"/>
        </w:rPr>
        <w:t xml:space="preserve"> </w:t>
      </w:r>
      <w:r>
        <w:rPr>
          <w:rFonts w:ascii="Arial" w:cs="Arial" w:eastAsia="Arial" w:hAnsi="Arial"/>
          <w:sz w:val="17"/>
          <w:szCs w:val="17"/>
          <w:u w:val="single" w:color="auto"/>
          <w:color w:val="0000E1"/>
        </w:rPr>
        <w:t>any Collateral or (vi)</w:t>
      </w:r>
      <w:r>
        <w:rPr>
          <w:rFonts w:ascii="Arial" w:cs="Arial" w:eastAsia="Arial" w:hAnsi="Arial"/>
          <w:sz w:val="17"/>
          <w:szCs w:val="17"/>
          <w:color w:val="0000E1"/>
        </w:rPr>
        <w:t xml:space="preserve"> </w:t>
      </w:r>
      <w:r>
        <w:rPr>
          <w:rFonts w:ascii="Arial" w:cs="Arial" w:eastAsia="Arial" w:hAnsi="Arial"/>
          <w:sz w:val="17"/>
          <w:szCs w:val="17"/>
          <w:color w:val="000000"/>
        </w:rPr>
        <w:t>the satisfaction of any condition set forth in</w:t>
      </w:r>
      <w:r>
        <w:rPr>
          <w:rFonts w:ascii="Arial" w:cs="Arial" w:eastAsia="Arial" w:hAnsi="Arial"/>
          <w:sz w:val="17"/>
          <w:szCs w:val="17"/>
          <w:color w:val="0000E1"/>
        </w:rPr>
        <w:t xml:space="preserve"> </w:t>
      </w:r>
      <w:r>
        <w:rPr>
          <w:rFonts w:ascii="Arial" w:cs="Arial" w:eastAsia="Arial" w:hAnsi="Arial"/>
          <w:sz w:val="17"/>
          <w:szCs w:val="17"/>
          <w:u w:val="single" w:color="auto"/>
          <w:color w:val="000000"/>
        </w:rPr>
        <w:t>Section 7</w:t>
      </w:r>
      <w:r>
        <w:rPr>
          <w:rFonts w:ascii="Arial" w:cs="Arial" w:eastAsia="Arial" w:hAnsi="Arial"/>
          <w:sz w:val="17"/>
          <w:szCs w:val="17"/>
          <w:color w:val="0000E1"/>
        </w:rPr>
        <w:t xml:space="preserve"> </w:t>
      </w:r>
      <w:r>
        <w:rPr>
          <w:rFonts w:ascii="Arial" w:cs="Arial" w:eastAsia="Arial" w:hAnsi="Arial"/>
          <w:sz w:val="17"/>
          <w:szCs w:val="17"/>
          <w:color w:val="000000"/>
        </w:rPr>
        <w:t>or elsewhere in any Loan Document other than to confirm receipt of items</w:t>
      </w:r>
      <w:r>
        <w:rPr>
          <w:rFonts w:ascii="Arial" w:cs="Arial" w:eastAsia="Arial" w:hAnsi="Arial"/>
          <w:sz w:val="17"/>
          <w:szCs w:val="17"/>
          <w:color w:val="0000E1"/>
        </w:rPr>
        <w:t xml:space="preserve"> </w:t>
      </w:r>
      <w:r>
        <w:rPr>
          <w:rFonts w:ascii="Arial" w:cs="Arial" w:eastAsia="Arial" w:hAnsi="Arial"/>
          <w:sz w:val="17"/>
          <w:szCs w:val="17"/>
          <w:color w:val="000000"/>
        </w:rPr>
        <w:t xml:space="preserve">expressly required to be delivered to the Administrative Agent. Each party to this Agreement acknowledges and agrees that the Administrative Agent may from time to time use one or more outside service providers for the tracking of all UCC financing statements (and/or other collateral related filings and registrations from time to time) required to be filed or recorded pursuant to the Loan Documents and the notification to the Administrative Agent, of, among other things, the upcoming lapse or expiration thereof, and that each of such service providers will be deemed to be acting at the request and on behalf of </w:t>
      </w:r>
      <w:r>
        <w:rPr>
          <w:rFonts w:ascii="Arial" w:cs="Arial" w:eastAsia="Arial" w:hAnsi="Arial"/>
          <w:sz w:val="17"/>
          <w:szCs w:val="17"/>
          <w:u w:val="single" w:color="auto"/>
          <w:color w:val="0000E1"/>
        </w:rPr>
        <w:t>the</w:t>
      </w:r>
      <w:r>
        <w:rPr>
          <w:rFonts w:ascii="Arial" w:cs="Arial" w:eastAsia="Arial" w:hAnsi="Arial"/>
          <w:sz w:val="17"/>
          <w:szCs w:val="17"/>
          <w:color w:val="000000"/>
        </w:rPr>
        <w:t xml:space="preserve"> Borrower and the other Loan Parties. No Agent shall be liable for any action taken or not taken by any such service provider. Neither any Agent nor any of its officers, partners, directors, employees or agents shall be liable to the Lenders for any action taken or omitted by any Agent under or in connection with any of the Loan Documents in the absence of its own gross negligence or willful misconduct as determined by a court of competent jurisdiction in a final and nonappealable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-1237615</wp:posOffset>
            </wp:positionV>
            <wp:extent cx="6420485"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64204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-1100455</wp:posOffset>
            </wp:positionV>
            <wp:extent cx="96012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-414655</wp:posOffset>
            </wp:positionV>
            <wp:extent cx="13716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2"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i w:val="1"/>
          <w:iCs w:val="1"/>
          <w:color w:val="auto"/>
        </w:rPr>
        <w:t>Reliance by Agent</w:t>
      </w:r>
      <w:r>
        <w:rPr>
          <w:rFonts w:ascii="Arial" w:cs="Arial" w:eastAsia="Arial" w:hAnsi="Arial"/>
          <w:sz w:val="17"/>
          <w:szCs w:val="17"/>
          <w:color w:val="auto"/>
        </w:rPr>
        <w:t xml:space="preserve">. Each Agent shall be entitled to rely upon, and shall not incur any liability for relying upon, any notice, request, certificate, consent, statement, instrument, document or other writing (including any electronic message, </w:t>
      </w:r>
      <w:r>
        <w:rPr>
          <w:rFonts w:ascii="Arial" w:cs="Arial" w:eastAsia="Arial" w:hAnsi="Arial"/>
          <w:sz w:val="17"/>
          <w:szCs w:val="17"/>
          <w:color w:val="FF0000"/>
          <w:strike w:val="1"/>
        </w:rPr>
        <w:t>i</w:t>
      </w:r>
      <w:r>
        <w:rPr>
          <w:rFonts w:ascii="Arial" w:cs="Arial" w:eastAsia="Arial" w:hAnsi="Arial"/>
          <w:sz w:val="17"/>
          <w:szCs w:val="17"/>
          <w:u w:val="single" w:color="auto"/>
          <w:color w:val="0000E1"/>
        </w:rPr>
        <w:t>I</w:t>
      </w:r>
      <w:r>
        <w:rPr>
          <w:rFonts w:ascii="Arial" w:cs="Arial" w:eastAsia="Arial" w:hAnsi="Arial"/>
          <w:sz w:val="17"/>
          <w:szCs w:val="17"/>
          <w:color w:val="auto"/>
        </w:rPr>
        <w:t xml:space="preserve">nternet or intranet website posting or other distribution) believed by it to be genuine and to have been signed, sent, or otherwise authenticated by </w:t>
      </w:r>
      <w:r>
        <w:rPr>
          <w:rFonts w:ascii="Arial" w:cs="Arial" w:eastAsia="Arial" w:hAnsi="Arial"/>
          <w:sz w:val="17"/>
          <w:szCs w:val="17"/>
          <w:color w:val="FF0000"/>
          <w:strike w:val="1"/>
        </w:rPr>
        <w:t>a</w:t>
      </w:r>
      <w:r>
        <w:rPr>
          <w:rFonts w:ascii="Arial" w:cs="Arial" w:eastAsia="Arial" w:hAnsi="Arial"/>
          <w:sz w:val="17"/>
          <w:szCs w:val="17"/>
          <w:u w:val="single" w:color="auto"/>
          <w:color w:val="0000E1"/>
        </w:rPr>
        <w:t>t</w:t>
      </w:r>
      <w:r>
        <w:rPr>
          <w:rFonts w:ascii="Arial" w:cs="Arial" w:eastAsia="Arial" w:hAnsi="Arial"/>
          <w:sz w:val="17"/>
          <w:szCs w:val="17"/>
          <w:color w:val="auto"/>
        </w:rPr>
        <w:t xml:space="preserve">he proper </w:t>
      </w:r>
      <w:r>
        <w:rPr>
          <w:rFonts w:ascii="Arial" w:cs="Arial" w:eastAsia="Arial" w:hAnsi="Arial"/>
          <w:sz w:val="17"/>
          <w:szCs w:val="17"/>
          <w:color w:val="FF0000"/>
          <w:strike w:val="1"/>
        </w:rPr>
        <w:t>p</w:t>
      </w:r>
      <w:r>
        <w:rPr>
          <w:rFonts w:ascii="Arial" w:cs="Arial" w:eastAsia="Arial" w:hAnsi="Arial"/>
          <w:sz w:val="17"/>
          <w:szCs w:val="17"/>
          <w:u w:val="single" w:color="auto"/>
          <w:color w:val="0000E1"/>
        </w:rPr>
        <w:t>P</w:t>
      </w:r>
      <w:r>
        <w:rPr>
          <w:rFonts w:ascii="Arial" w:cs="Arial" w:eastAsia="Arial" w:hAnsi="Arial"/>
          <w:sz w:val="17"/>
          <w:szCs w:val="17"/>
          <w:color w:val="auto"/>
        </w:rPr>
        <w:t xml:space="preserve">erson. Each Agent also may rely upon any statement made to it orally or by telephone and believed by it to </w:t>
      </w:r>
      <w:r>
        <w:rPr>
          <w:rFonts w:ascii="Arial" w:cs="Arial" w:eastAsia="Arial" w:hAnsi="Arial"/>
          <w:sz w:val="17"/>
          <w:szCs w:val="17"/>
          <w:color w:val="FF0000"/>
          <w:strike w:val="1"/>
        </w:rPr>
        <w:t>be</w:t>
      </w:r>
      <w:r>
        <w:rPr>
          <w:rFonts w:ascii="Arial" w:cs="Arial" w:eastAsia="Arial" w:hAnsi="Arial"/>
          <w:sz w:val="17"/>
          <w:szCs w:val="17"/>
          <w:u w:val="single" w:color="auto"/>
          <w:color w:val="0000E1"/>
        </w:rPr>
        <w:t>have been</w:t>
      </w:r>
      <w:r>
        <w:rPr>
          <w:rFonts w:ascii="Arial" w:cs="Arial" w:eastAsia="Arial" w:hAnsi="Arial"/>
          <w:sz w:val="17"/>
          <w:szCs w:val="17"/>
          <w:color w:val="auto"/>
        </w:rPr>
        <w:t xml:space="preserve"> made by </w:t>
      </w:r>
      <w:r>
        <w:rPr>
          <w:rFonts w:ascii="Arial" w:cs="Arial" w:eastAsia="Arial" w:hAnsi="Arial"/>
          <w:sz w:val="17"/>
          <w:szCs w:val="17"/>
          <w:color w:val="FF0000"/>
          <w:strike w:val="1"/>
        </w:rPr>
        <w:t>a</w:t>
      </w:r>
      <w:r>
        <w:rPr>
          <w:rFonts w:ascii="Arial" w:cs="Arial" w:eastAsia="Arial" w:hAnsi="Arial"/>
          <w:sz w:val="17"/>
          <w:szCs w:val="17"/>
          <w:u w:val="single" w:color="auto"/>
          <w:color w:val="0000E1"/>
        </w:rPr>
        <w:t>the</w:t>
      </w:r>
      <w:r>
        <w:rPr>
          <w:rFonts w:ascii="Arial" w:cs="Arial" w:eastAsia="Arial" w:hAnsi="Arial"/>
          <w:sz w:val="17"/>
          <w:szCs w:val="17"/>
          <w:color w:val="auto"/>
        </w:rPr>
        <w:t xml:space="preserve"> proper </w:t>
      </w:r>
      <w:r>
        <w:rPr>
          <w:rFonts w:ascii="Arial" w:cs="Arial" w:eastAsia="Arial" w:hAnsi="Arial"/>
          <w:sz w:val="17"/>
          <w:szCs w:val="17"/>
          <w:color w:val="FF0000"/>
          <w:strike w:val="1"/>
        </w:rPr>
        <w:t>p</w:t>
      </w:r>
      <w:r>
        <w:rPr>
          <w:rFonts w:ascii="Arial" w:cs="Arial" w:eastAsia="Arial" w:hAnsi="Arial"/>
          <w:sz w:val="17"/>
          <w:szCs w:val="17"/>
          <w:u w:val="single" w:color="auto"/>
          <w:color w:val="0000E1"/>
        </w:rPr>
        <w:t>P</w:t>
      </w:r>
      <w:r>
        <w:rPr>
          <w:rFonts w:ascii="Arial" w:cs="Arial" w:eastAsia="Arial" w:hAnsi="Arial"/>
          <w:sz w:val="17"/>
          <w:szCs w:val="17"/>
          <w:color w:val="auto"/>
        </w:rPr>
        <w:t xml:space="preserve">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each Agent may presume that such condition is satisfactory to such Lender or the L/C Issuer unless each Agent shall have received written notice to the contrary from such Lender or the L/C Issuer prior to the making of such Loan or the issuance of such Letter of Credit. Each Agent may consult with legal counsel (who may be counsel for </w:t>
      </w:r>
      <w:r>
        <w:rPr>
          <w:rFonts w:ascii="Arial" w:cs="Arial" w:eastAsia="Arial" w:hAnsi="Arial"/>
          <w:sz w:val="17"/>
          <w:szCs w:val="17"/>
          <w:u w:val="single" w:color="auto"/>
          <w:color w:val="0000E1"/>
        </w:rPr>
        <w:t>the</w:t>
      </w:r>
      <w:r>
        <w:rPr>
          <w:rFonts w:ascii="Arial" w:cs="Arial" w:eastAsia="Arial" w:hAnsi="Arial"/>
          <w:sz w:val="17"/>
          <w:szCs w:val="17"/>
          <w:color w:val="auto"/>
        </w:rPr>
        <w:t xml:space="preserve"> Borrower), independent accountants and other experts selected by it, and shall not be liable for any action taken or not taken by it in accordance with the advice of any such counsel, accountants or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-1313180</wp:posOffset>
            </wp:positionV>
            <wp:extent cx="2857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4834890</wp:posOffset>
            </wp:positionH>
            <wp:positionV relativeFrom="paragraph">
              <wp:posOffset>-1098550</wp:posOffset>
            </wp:positionV>
            <wp:extent cx="3429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-961390</wp:posOffset>
            </wp:positionV>
            <wp:extent cx="254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-961390</wp:posOffset>
            </wp:positionV>
            <wp:extent cx="60325"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-1038860</wp:posOffset>
            </wp:positionV>
            <wp:extent cx="28575"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-824230</wp:posOffset>
            </wp:positionV>
            <wp:extent cx="46291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-824230</wp:posOffset>
            </wp:positionV>
            <wp:extent cx="137160"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-824230</wp:posOffset>
            </wp:positionV>
            <wp:extent cx="6032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-764540</wp:posOffset>
            </wp:positionV>
            <wp:extent cx="2857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6540500</wp:posOffset>
            </wp:positionH>
            <wp:positionV relativeFrom="paragraph">
              <wp:posOffset>-275590</wp:posOffset>
            </wp:positionV>
            <wp:extent cx="13716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5"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i w:val="1"/>
          <w:iCs w:val="1"/>
          <w:color w:val="auto"/>
        </w:rPr>
        <w:t>Delegation of Duties</w:t>
      </w:r>
      <w:r>
        <w:rPr>
          <w:rFonts w:ascii="Arial" w:cs="Arial" w:eastAsia="Arial" w:hAnsi="Arial"/>
          <w:sz w:val="17"/>
          <w:szCs w:val="17"/>
          <w:color w:val="auto"/>
        </w:rPr>
        <w:t xml:space="preserve">. Each Agent may perform any and all of its duties and exercise its rights and powers under this Agreement or under any other Loan Document by or through, or delegate any and all such rights and powers to, any one or more sub-agents appointed by such Agent. Each Agent and any such sub-agent may perform any and all of its duties and exercise its rights and powers by or through their respective Affiliates. The exculpatory, indemnification and other provisions of </w:t>
      </w:r>
      <w:r>
        <w:rPr>
          <w:rFonts w:ascii="Arial" w:cs="Arial" w:eastAsia="Arial" w:hAnsi="Arial"/>
          <w:sz w:val="17"/>
          <w:szCs w:val="17"/>
          <w:color w:val="FF0000"/>
          <w:strike w:val="1"/>
        </w:rPr>
        <w:t>the preceding paragraphs</w:t>
      </w:r>
      <w:r>
        <w:rPr>
          <w:rFonts w:ascii="Arial" w:cs="Arial" w:eastAsia="Arial" w:hAnsi="Arial"/>
          <w:sz w:val="17"/>
          <w:szCs w:val="17"/>
          <w:u w:val="single" w:color="auto"/>
          <w:color w:val="0000E1"/>
        </w:rPr>
        <w:t>this Section 11</w:t>
      </w:r>
      <w:r>
        <w:rPr>
          <w:rFonts w:ascii="Arial" w:cs="Arial" w:eastAsia="Arial" w:hAnsi="Arial"/>
          <w:sz w:val="17"/>
          <w:szCs w:val="17"/>
          <w:color w:val="auto"/>
        </w:rPr>
        <w:t xml:space="preserve"> shall apply to any such sub-agent and to the Related Persons of each Agent and any such sub-agent</w:t>
      </w:r>
      <w:r>
        <w:rPr>
          <w:rFonts w:ascii="Arial" w:cs="Arial" w:eastAsia="Arial" w:hAnsi="Arial"/>
          <w:sz w:val="17"/>
          <w:szCs w:val="17"/>
          <w:u w:val="single" w:color="auto"/>
          <w:color w:val="0000E1"/>
        </w:rPr>
        <w:t>s,</w:t>
      </w:r>
      <w:r>
        <w:rPr>
          <w:rFonts w:ascii="Arial" w:cs="Arial" w:eastAsia="Arial" w:hAnsi="Arial"/>
          <w:sz w:val="17"/>
          <w:szCs w:val="17"/>
          <w:color w:val="auto"/>
        </w:rPr>
        <w:t xml:space="preserve"> and shall apply, without limiting the foregoing, to their respective activities in connection with the syndication of the credit facilities provided for herein as well as activities as Agent. The Agents shall not be responsible for the negligence or misconduct of any sub-agent except to the extent that a court of competent jurisdiction determines in a final and nonappealable judgment that such Agent acted with gross negligence or willful misconduct in the selection of such sub-agent</w:t>
      </w:r>
      <w:r>
        <w:rPr>
          <w:rFonts w:ascii="Arial" w:cs="Arial" w:eastAsia="Arial" w:hAnsi="Arial"/>
          <w:sz w:val="17"/>
          <w:szCs w:val="17"/>
          <w:u w:val="single" w:color="auto"/>
          <w:color w:val="0000E1"/>
        </w:rPr>
        <w: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1941195</wp:posOffset>
            </wp:positionH>
            <wp:positionV relativeFrom="paragraph">
              <wp:posOffset>-1042670</wp:posOffset>
            </wp:positionV>
            <wp:extent cx="2857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-631190</wp:posOffset>
            </wp:positionV>
            <wp:extent cx="28575"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-554355</wp:posOffset>
            </wp:positionV>
            <wp:extent cx="67754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2503170</wp:posOffset>
            </wp:positionH>
            <wp:positionV relativeFrom="paragraph">
              <wp:posOffset>-417195</wp:posOffset>
            </wp:positionV>
            <wp:extent cx="94615"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-5715</wp:posOffset>
            </wp:positionV>
            <wp:extent cx="43180"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66" w:lineRule="exact"/>
        <w:rPr>
          <w:sz w:val="20"/>
          <w:szCs w:val="20"/>
          <w:color w:val="auto"/>
        </w:rPr>
      </w:pPr>
    </w:p>
    <w:p>
      <w:pPr>
        <w:ind w:left="444"/>
        <w:spacing w:after="0"/>
        <w:tabs>
          <w:tab w:leader="none" w:pos="1484" w:val="left"/>
        </w:tabs>
        <w:rPr>
          <w:sz w:val="20"/>
          <w:szCs w:val="20"/>
          <w:color w:val="auto"/>
        </w:rPr>
      </w:pPr>
      <w:r>
        <w:rPr>
          <w:rFonts w:ascii="Arial" w:cs="Arial" w:eastAsia="Arial" w:hAnsi="Arial"/>
          <w:sz w:val="18"/>
          <w:szCs w:val="18"/>
          <w:color w:val="auto"/>
        </w:rPr>
        <w:t>Section 11.6</w:t>
      </w:r>
      <w:r>
        <w:rPr>
          <w:sz w:val="20"/>
          <w:szCs w:val="20"/>
          <w:color w:val="auto"/>
        </w:rPr>
        <w:tab/>
      </w:r>
      <w:r>
        <w:rPr>
          <w:rFonts w:ascii="Arial" w:cs="Arial" w:eastAsia="Arial" w:hAnsi="Arial"/>
          <w:sz w:val="15"/>
          <w:szCs w:val="15"/>
          <w:i w:val="1"/>
          <w:iCs w:val="1"/>
          <w:color w:val="auto"/>
        </w:rPr>
        <w:t>Successor Agent</w:t>
      </w:r>
      <w:r>
        <w:rPr>
          <w:rFonts w:ascii="Arial" w:cs="Arial" w:eastAsia="Arial" w:hAnsi="Arial"/>
          <w:sz w:val="15"/>
          <w:szCs w:val="15"/>
          <w:color w:val="auto"/>
        </w:rPr>
        <w:t>.</w:t>
      </w:r>
    </w:p>
    <w:p>
      <w:pPr>
        <w:spacing w:after="0" w:line="117" w:lineRule="exact"/>
        <w:rPr>
          <w:sz w:val="20"/>
          <w:szCs w:val="20"/>
          <w:color w:val="auto"/>
        </w:rPr>
      </w:pPr>
    </w:p>
    <w:p>
      <w:pPr>
        <w:ind w:left="4" w:right="120" w:firstLine="987"/>
        <w:spacing w:after="0" w:line="287" w:lineRule="auto"/>
        <w:tabs>
          <w:tab w:leader="none" w:pos="1375" w:val="left"/>
        </w:tabs>
        <w:numPr>
          <w:ilvl w:val="1"/>
          <w:numId w:val="244"/>
        </w:numPr>
        <w:rPr>
          <w:rFonts w:ascii="Arial" w:cs="Arial" w:eastAsia="Arial" w:hAnsi="Arial"/>
          <w:sz w:val="16"/>
          <w:szCs w:val="16"/>
          <w:color w:val="auto"/>
        </w:rPr>
      </w:pPr>
      <w:r>
        <w:rPr>
          <w:rFonts w:ascii="Arial" w:cs="Arial" w:eastAsia="Arial" w:hAnsi="Arial"/>
          <w:sz w:val="16"/>
          <w:szCs w:val="16"/>
          <w:color w:val="auto"/>
        </w:rPr>
        <w:t xml:space="preserve">Each Agent may resign as such at any time upon at least </w:t>
      </w:r>
      <w:r>
        <w:rPr>
          <w:rFonts w:ascii="Arial" w:cs="Arial" w:eastAsia="Arial" w:hAnsi="Arial"/>
          <w:sz w:val="16"/>
          <w:szCs w:val="16"/>
          <w:u w:val="single" w:color="auto"/>
          <w:color w:val="0000E1"/>
        </w:rPr>
        <w:t>thirty (</w:t>
      </w:r>
      <w:r>
        <w:rPr>
          <w:rFonts w:ascii="Arial" w:cs="Arial" w:eastAsia="Arial" w:hAnsi="Arial"/>
          <w:sz w:val="16"/>
          <w:szCs w:val="16"/>
          <w:color w:val="auto"/>
        </w:rPr>
        <w:t xml:space="preserve">30 </w:t>
      </w:r>
      <w:r>
        <w:rPr>
          <w:rFonts w:ascii="Arial" w:cs="Arial" w:eastAsia="Arial" w:hAnsi="Arial"/>
          <w:sz w:val="16"/>
          <w:szCs w:val="16"/>
          <w:u w:val="single" w:color="auto"/>
          <w:color w:val="0000E1"/>
        </w:rPr>
        <w:t>)</w:t>
      </w:r>
      <w:r>
        <w:rPr>
          <w:rFonts w:ascii="Arial" w:cs="Arial" w:eastAsia="Arial" w:hAnsi="Arial"/>
          <w:sz w:val="16"/>
          <w:szCs w:val="16"/>
          <w:color w:val="auto"/>
        </w:rPr>
        <w:t xml:space="preserve"> days’ prior written notice to the Lenders, the L/C Issuer and </w:t>
      </w:r>
      <w:r>
        <w:rPr>
          <w:rFonts w:ascii="Arial" w:cs="Arial" w:eastAsia="Arial" w:hAnsi="Arial"/>
          <w:sz w:val="16"/>
          <w:szCs w:val="16"/>
          <w:u w:val="single" w:color="auto"/>
          <w:color w:val="0000E1"/>
        </w:rPr>
        <w:t>the</w:t>
      </w:r>
      <w:r>
        <w:rPr>
          <w:rFonts w:ascii="Arial" w:cs="Arial" w:eastAsia="Arial" w:hAnsi="Arial"/>
          <w:sz w:val="16"/>
          <w:szCs w:val="16"/>
          <w:color w:val="auto"/>
        </w:rPr>
        <w:t xml:space="preserve"> Borrower. Upon any such resignation, the Required Lenders shall have the right, with the consent of </w:t>
      </w:r>
      <w:r>
        <w:rPr>
          <w:rFonts w:ascii="Arial" w:cs="Arial" w:eastAsia="Arial" w:hAnsi="Arial"/>
          <w:sz w:val="16"/>
          <w:szCs w:val="16"/>
          <w:color w:val="FF0000"/>
          <w:strike w:val="1"/>
        </w:rPr>
        <w:t>Borrower</w:t>
      </w:r>
      <w:r>
        <w:rPr>
          <w:rFonts w:ascii="Arial" w:cs="Arial" w:eastAsia="Arial" w:hAnsi="Arial"/>
          <w:sz w:val="16"/>
          <w:szCs w:val="16"/>
          <w:color w:val="auto"/>
        </w:rPr>
        <w:t xml:space="preserve"> </w:t>
      </w:r>
      <w:r>
        <w:rPr>
          <w:rFonts w:ascii="Arial" w:cs="Arial" w:eastAsia="Arial" w:hAnsi="Arial"/>
          <w:sz w:val="16"/>
          <w:szCs w:val="16"/>
          <w:color w:val="008000"/>
          <w:strike w:val="1"/>
        </w:rPr>
        <w:t>(which consent (x) shall not be</w:t>
      </w:r>
      <w:r>
        <w:rPr>
          <w:rFonts w:ascii="Arial" w:cs="Arial" w:eastAsia="Arial" w:hAnsi="Arial"/>
          <w:sz w:val="16"/>
          <w:szCs w:val="16"/>
          <w:color w:val="auto"/>
        </w:rPr>
        <w:t xml:space="preserve"> </w:t>
      </w:r>
      <w:r>
        <w:rPr>
          <w:rFonts w:ascii="Arial" w:cs="Arial" w:eastAsia="Arial" w:hAnsi="Arial"/>
          <w:sz w:val="16"/>
          <w:szCs w:val="16"/>
          <w:color w:val="008000"/>
          <w:strike w:val="1"/>
        </w:rPr>
        <w:t xml:space="preserve">unreasonably withheld or delayed and shall not be required if an Event of Default under </w:t>
      </w:r>
      <w:r>
        <w:rPr>
          <w:rFonts w:ascii="Arial" w:cs="Arial" w:eastAsia="Arial" w:hAnsi="Arial"/>
          <w:sz w:val="16"/>
          <w:szCs w:val="16"/>
          <w:u w:val="single" w:color="auto"/>
          <w:color w:val="008000"/>
          <w:strike w:val="1"/>
        </w:rPr>
        <w:t>Section 9.1(a), (j) or (k)</w:t>
      </w:r>
      <w:r>
        <w:rPr>
          <w:rFonts w:ascii="Arial" w:cs="Arial" w:eastAsia="Arial" w:hAnsi="Arial"/>
          <w:sz w:val="16"/>
          <w:szCs w:val="16"/>
          <w:color w:val="008000"/>
          <w:strike w:val="1"/>
        </w:rPr>
        <w:t xml:space="preserve"> has occurred and is continuing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45"/>
        </w:numPr>
        <w:rPr>
          <w:rFonts w:ascii="Arial" w:cs="Arial" w:eastAsia="Arial" w:hAnsi="Arial"/>
          <w:sz w:val="18"/>
          <w:szCs w:val="18"/>
          <w:color w:val="008000"/>
          <w:strike w:val="1"/>
        </w:rPr>
      </w:pPr>
      <w:r>
        <w:rPr>
          <w:rFonts w:ascii="Arial" w:cs="Arial" w:eastAsia="Arial" w:hAnsi="Arial"/>
          <w:sz w:val="18"/>
          <w:szCs w:val="18"/>
          <w:color w:val="008000"/>
          <w:strike w:val="1"/>
        </w:rPr>
        <w:t>shall be deemed to have been given if the Borrower shall not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-396240</wp:posOffset>
            </wp:positionV>
            <wp:extent cx="31750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-473710</wp:posOffset>
            </wp:positionV>
            <wp:extent cx="28575"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3926205</wp:posOffset>
            </wp:positionH>
            <wp:positionV relativeFrom="paragraph">
              <wp:posOffset>-396240</wp:posOffset>
            </wp:positionV>
            <wp:extent cx="4318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6763385</wp:posOffset>
            </wp:positionH>
            <wp:positionV relativeFrom="paragraph">
              <wp:posOffset>-396240</wp:posOffset>
            </wp:positionV>
            <wp:extent cx="137160"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-336550</wp:posOffset>
            </wp:positionV>
            <wp:extent cx="2857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984"/>
          </w:cols>
          <w:pgMar w:left="436" w:top="274" w:right="479" w:bottom="1440" w:gutter="0" w:footer="0" w:header="0"/>
        </w:sectPr>
      </w:pPr>
    </w:p>
    <w:bookmarkStart w:id="193" w:name="page194"/>
    <w:bookmarkEnd w:id="193"/>
    <w:p>
      <w:pPr>
        <w:ind w:left="4"/>
        <w:spacing w:after="0" w:line="283" w:lineRule="auto"/>
        <w:rPr>
          <w:sz w:val="20"/>
          <w:szCs w:val="20"/>
          <w:color w:val="auto"/>
        </w:rPr>
      </w:pPr>
      <w:r>
        <w:rPr>
          <w:rFonts w:ascii="Arial" w:cs="Arial" w:eastAsia="Arial" w:hAnsi="Arial"/>
          <w:sz w:val="16"/>
          <w:szCs w:val="16"/>
          <w:color w:val="008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responded (whether affirmatively, negatively or to respond that the relevant officers of the Borrower are not then available to make a determination) to a request for such consent within ten (10) Business Days after such request is made), to appoint a successor Agent (which shall not be a Disqualified Institution). If no successor shall have been so appointed by the Required Lenders and shall have accepted such appointment within </w:t>
      </w:r>
      <w:r>
        <w:rPr>
          <w:rFonts w:ascii="Arial" w:cs="Arial" w:eastAsia="Arial" w:hAnsi="Arial"/>
          <w:sz w:val="16"/>
          <w:szCs w:val="16"/>
          <w:color w:val="FF0000"/>
          <w:strike w:val="1"/>
        </w:rPr>
        <w:t>30</w:t>
      </w:r>
      <w:r>
        <w:rPr>
          <w:rFonts w:ascii="Arial" w:cs="Arial" w:eastAsia="Arial" w:hAnsi="Arial"/>
          <w:sz w:val="16"/>
          <w:szCs w:val="16"/>
          <w:color w:val="008000"/>
          <w:strike w:val="1"/>
        </w:rPr>
        <w:t xml:space="preserve"> days after the retiring Agent gives notice of its resignation, then the retiring Agent may (but shall not be obligated to), on behalf of the Lenders and the L/C Issuer, appoint a successor Agent, with the consent of </w:t>
      </w:r>
      <w:r>
        <w:rPr>
          <w:rFonts w:ascii="Arial" w:cs="Arial" w:eastAsia="Arial" w:hAnsi="Arial"/>
          <w:sz w:val="16"/>
          <w:szCs w:val="16"/>
          <w:u w:val="single" w:color="auto"/>
          <w:color w:val="0000E1"/>
          <w:strike w:val="1"/>
        </w:rPr>
        <w:t>the</w:t>
      </w:r>
      <w:r>
        <w:rPr>
          <w:rFonts w:ascii="Arial" w:cs="Arial" w:eastAsia="Arial" w:hAnsi="Arial"/>
          <w:sz w:val="16"/>
          <w:szCs w:val="16"/>
          <w:color w:val="008000"/>
          <w:strike w:val="1"/>
        </w:rPr>
        <w:t xml:space="preserve"> </w:t>
      </w:r>
      <w:r>
        <w:rPr>
          <w:rFonts w:ascii="Arial" w:cs="Arial" w:eastAsia="Arial" w:hAnsi="Arial"/>
          <w:sz w:val="16"/>
          <w:szCs w:val="16"/>
          <w:color w:val="000000"/>
          <w:strike w:val="1"/>
        </w:rPr>
        <w:t>Borrower (which consent (x) shall not be unreasonably withheld or delayed and shall not be required</w:t>
      </w:r>
      <w:r>
        <w:rPr>
          <w:rFonts w:ascii="Arial" w:cs="Arial" w:eastAsia="Arial" w:hAnsi="Arial"/>
          <w:sz w:val="16"/>
          <w:szCs w:val="16"/>
          <w:color w:val="008000"/>
          <w:strike w:val="1"/>
        </w:rPr>
        <w:t xml:space="preserve"> </w:t>
      </w:r>
      <w:r>
        <w:rPr>
          <w:rFonts w:ascii="Arial" w:cs="Arial" w:eastAsia="Arial" w:hAnsi="Arial"/>
          <w:sz w:val="16"/>
          <w:szCs w:val="16"/>
          <w:color w:val="000000"/>
          <w:strike w:val="1"/>
        </w:rPr>
        <w:t xml:space="preserve">if an Event of Default under </w:t>
      </w:r>
      <w:r>
        <w:rPr>
          <w:rFonts w:ascii="Arial" w:cs="Arial" w:eastAsia="Arial" w:hAnsi="Arial"/>
          <w:sz w:val="16"/>
          <w:szCs w:val="16"/>
          <w:u w:val="single" w:color="auto"/>
          <w:color w:val="000000"/>
          <w:strike w:val="1"/>
        </w:rPr>
        <w:t>Section 9.1(a)</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00"/>
          <w:strike w:val="1"/>
        </w:rPr>
        <w:t>(j)</w:t>
      </w:r>
      <w:r>
        <w:rPr>
          <w:rFonts w:ascii="Arial" w:cs="Arial" w:eastAsia="Arial" w:hAnsi="Arial"/>
          <w:sz w:val="16"/>
          <w:szCs w:val="16"/>
          <w:color w:val="000000"/>
          <w:strike w:val="1"/>
        </w:rPr>
        <w:t xml:space="preserve"> or </w:t>
      </w:r>
      <w:r>
        <w:rPr>
          <w:rFonts w:ascii="Arial" w:cs="Arial" w:eastAsia="Arial" w:hAnsi="Arial"/>
          <w:sz w:val="16"/>
          <w:szCs w:val="16"/>
          <w:u w:val="single" w:color="auto"/>
          <w:color w:val="000000"/>
          <w:strike w:val="1"/>
        </w:rPr>
        <w:t>(k)</w:t>
      </w:r>
      <w:r>
        <w:rPr>
          <w:rFonts w:ascii="Arial" w:cs="Arial" w:eastAsia="Arial" w:hAnsi="Arial"/>
          <w:sz w:val="16"/>
          <w:szCs w:val="16"/>
          <w:color w:val="000000"/>
          <w:strike w:val="1"/>
        </w:rPr>
        <w:t xml:space="preserve"> has occurred and is continuing and (y) shall be deemed to have been given if the Borrower shall not have responded (whether affirmatively, negatively or to respond that the relevant officers of the Borrower are not then available to make a determination) to a request for such consent within ten (10) Business Days after such request is made), </w:t>
      </w:r>
      <w:r>
        <w:rPr>
          <w:rFonts w:ascii="Arial" w:cs="Arial" w:eastAsia="Arial" w:hAnsi="Arial"/>
          <w:sz w:val="16"/>
          <w:szCs w:val="16"/>
          <w:u w:val="single" w:color="auto"/>
          <w:color w:val="008000"/>
          <w:strike w:val="1"/>
        </w:rPr>
        <w:t>to appoint a successor Agent (which shall not be</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8000"/>
          <w:strike w:val="1"/>
        </w:rPr>
        <w:t xml:space="preserve">a Disqualified Institution). If no successor shall have been so appointed by the Required Lenders and shall have accepted such appointment within </w:t>
      </w:r>
      <w:r>
        <w:rPr>
          <w:rFonts w:ascii="Arial" w:cs="Arial" w:eastAsia="Arial" w:hAnsi="Arial"/>
          <w:sz w:val="16"/>
          <w:szCs w:val="16"/>
          <w:u w:val="single" w:color="auto"/>
          <w:color w:val="0000E1"/>
          <w:strike w:val="1"/>
        </w:rPr>
        <w:t>thirty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2151380</wp:posOffset>
            </wp:positionH>
            <wp:positionV relativeFrom="paragraph">
              <wp:posOffset>-535940</wp:posOffset>
            </wp:positionV>
            <wp:extent cx="146050"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ind w:left="4" w:right="20" w:hanging="4"/>
        <w:spacing w:after="0" w:line="267" w:lineRule="auto"/>
        <w:tabs>
          <w:tab w:leader="none" w:pos="349" w:val="left"/>
        </w:tabs>
        <w:numPr>
          <w:ilvl w:val="0"/>
          <w:numId w:val="246"/>
        </w:numPr>
        <w:rPr>
          <w:rFonts w:ascii="Arial" w:cs="Arial" w:eastAsia="Arial" w:hAnsi="Arial"/>
          <w:sz w:val="17"/>
          <w:szCs w:val="17"/>
          <w:u w:val="single" w:color="auto"/>
          <w:color w:val="0000E1"/>
        </w:rPr>
      </w:pPr>
      <w:r>
        <w:rPr>
          <w:rFonts w:ascii="Arial" w:cs="Arial" w:eastAsia="Arial" w:hAnsi="Arial"/>
          <w:sz w:val="17"/>
          <w:szCs w:val="17"/>
          <w:u w:val="single" w:color="auto"/>
          <w:color w:val="008000"/>
        </w:rPr>
        <w:t xml:space="preserve">days after the retiring Agent gives notice of its resignation, then the retiring Agent may (but shall not be obligated to), on behalf of the Lenders and the L/C Issuer, appoint a successor Agent, with the consent of </w:t>
      </w:r>
      <w:r>
        <w:rPr>
          <w:rFonts w:ascii="Arial" w:cs="Arial" w:eastAsia="Arial" w:hAnsi="Arial"/>
          <w:sz w:val="17"/>
          <w:szCs w:val="17"/>
          <w:u w:val="single" w:color="auto"/>
          <w:color w:val="0000E1"/>
        </w:rPr>
        <w:t>the Borrower</w:t>
      </w:r>
      <w:r>
        <w:rPr>
          <w:rFonts w:ascii="Arial" w:cs="Arial" w:eastAsia="Arial" w:hAnsi="Arial"/>
          <w:sz w:val="17"/>
          <w:szCs w:val="17"/>
          <w:u w:val="single" w:color="auto"/>
          <w:color w:val="008000"/>
        </w:rPr>
        <w:t xml:space="preserve"> (which consent (x) shall not be unreasonably withheld or delayed and shall not be required if an Event of Default under Section 9.1(a), (j) or (k) has occurred and is continuing and (y) shall be deemed to have been given if the Borrower shall not have responded (whether affirmatively, negatively or to respond that the relevant officers of the Borrower are not then available to make a determination) to a request for such consent within ten (10) Business Days after such request is made),</w:t>
      </w:r>
      <w:r>
        <w:rPr>
          <w:rFonts w:ascii="Arial" w:cs="Arial" w:eastAsia="Arial" w:hAnsi="Arial"/>
          <w:sz w:val="17"/>
          <w:szCs w:val="17"/>
          <w:color w:val="008000"/>
        </w:rPr>
        <w:t xml:space="preserve"> </w:t>
      </w:r>
      <w:r>
        <w:rPr>
          <w:rFonts w:ascii="Arial" w:cs="Arial" w:eastAsia="Arial" w:hAnsi="Arial"/>
          <w:sz w:val="17"/>
          <w:szCs w:val="17"/>
          <w:color w:val="000000"/>
        </w:rPr>
        <w:t>which may not be a Disqualified</w:t>
      </w:r>
      <w:r>
        <w:rPr>
          <w:rFonts w:ascii="Arial" w:cs="Arial" w:eastAsia="Arial" w:hAnsi="Arial"/>
          <w:sz w:val="17"/>
          <w:szCs w:val="17"/>
          <w:color w:val="008000"/>
        </w:rPr>
        <w:t xml:space="preserve"> </w:t>
      </w:r>
      <w:r>
        <w:rPr>
          <w:rFonts w:ascii="Arial" w:cs="Arial" w:eastAsia="Arial" w:hAnsi="Arial"/>
          <w:sz w:val="17"/>
          <w:szCs w:val="17"/>
          <w:color w:val="000000"/>
        </w:rPr>
        <w:t xml:space="preserve">Institution and which successor shall be a commercial banking institution organized under the laws of the United States (or any State thereof) or a United States branch or agency of a commercial banking institution, in each case, having combined capital and surplus of at least $500,000,000; </w:t>
      </w:r>
      <w:r>
        <w:rPr>
          <w:rFonts w:ascii="Arial" w:cs="Arial" w:eastAsia="Arial" w:hAnsi="Arial"/>
          <w:sz w:val="17"/>
          <w:szCs w:val="17"/>
          <w:i w:val="1"/>
          <w:iCs w:val="1"/>
          <w:color w:val="000000"/>
        </w:rPr>
        <w:t xml:space="preserve">provided </w:t>
      </w:r>
      <w:r>
        <w:rPr>
          <w:rFonts w:ascii="Arial" w:cs="Arial" w:eastAsia="Arial" w:hAnsi="Arial"/>
          <w:sz w:val="17"/>
          <w:szCs w:val="17"/>
          <w:color w:val="000000"/>
        </w:rPr>
        <w:t>that if such retiring Agent is unable to find a commercial banking institution that is willing to accept such appointment and which meets the</w:t>
      </w:r>
      <w:r>
        <w:rPr>
          <w:rFonts w:ascii="Arial" w:cs="Arial" w:eastAsia="Arial" w:hAnsi="Arial"/>
          <w:sz w:val="17"/>
          <w:szCs w:val="17"/>
          <w:i w:val="1"/>
          <w:iCs w:val="1"/>
          <w:color w:val="000000"/>
        </w:rPr>
        <w:t xml:space="preserve"> </w:t>
      </w:r>
      <w:r>
        <w:rPr>
          <w:rFonts w:ascii="Arial" w:cs="Arial" w:eastAsia="Arial" w:hAnsi="Arial"/>
          <w:sz w:val="17"/>
          <w:szCs w:val="17"/>
          <w:color w:val="000000"/>
        </w:rPr>
        <w:t xml:space="preserve">qualifications set forth above, the retiring Agent’s resignation shall nevertheless thereupon become effective and the retiring (or retired) Agent shall be discharged from its duties and obligations under the Loan Documents (except that in the case of any collateral security held by the Administrative Agent in its capacity as collateral agent for the Secured Creditors for perfection purposes, the retiring Administrative Agent shall continue to hold such collateral security until such time as a successor Administrative Agent is appointed), and the Required Lenders shall assume and perform all of the duties of the Agent under the Loan Documents until such time, if any, as the Required Lenders appoint a successor Agent. In no event shall any successor </w:t>
      </w:r>
      <w:r>
        <w:rPr>
          <w:rFonts w:ascii="Arial" w:cs="Arial" w:eastAsia="Arial" w:hAnsi="Arial"/>
          <w:sz w:val="17"/>
          <w:szCs w:val="17"/>
          <w:color w:val="FF0000"/>
          <w:strike w:val="1"/>
        </w:rPr>
        <w:t>Administrative</w:t>
      </w:r>
      <w:r>
        <w:rPr>
          <w:rFonts w:ascii="Arial" w:cs="Arial" w:eastAsia="Arial" w:hAnsi="Arial"/>
          <w:sz w:val="17"/>
          <w:szCs w:val="17"/>
          <w:color w:val="000000"/>
        </w:rPr>
        <w:t xml:space="preserve"> Agent be a Defaulting Lender.</w:t>
      </w:r>
    </w:p>
    <w:p>
      <w:pPr>
        <w:spacing w:after="0" w:line="181" w:lineRule="exact"/>
        <w:rPr>
          <w:rFonts w:ascii="Arial" w:cs="Arial" w:eastAsia="Arial" w:hAnsi="Arial"/>
          <w:sz w:val="17"/>
          <w:szCs w:val="17"/>
          <w:u w:val="single" w:color="auto"/>
          <w:color w:val="0000E1"/>
        </w:rPr>
      </w:pPr>
    </w:p>
    <w:p>
      <w:pPr>
        <w:ind w:left="4" w:right="40" w:firstLine="987"/>
        <w:spacing w:after="0" w:line="269" w:lineRule="auto"/>
        <w:tabs>
          <w:tab w:leader="none" w:pos="1385" w:val="left"/>
        </w:tabs>
        <w:numPr>
          <w:ilvl w:val="1"/>
          <w:numId w:val="246"/>
        </w:numPr>
        <w:rPr>
          <w:rFonts w:ascii="Arial" w:cs="Arial" w:eastAsia="Arial" w:hAnsi="Arial"/>
          <w:sz w:val="17"/>
          <w:szCs w:val="17"/>
          <w:color w:val="auto"/>
        </w:rPr>
      </w:pPr>
      <w:r>
        <w:rPr>
          <w:rFonts w:ascii="Arial" w:cs="Arial" w:eastAsia="Arial" w:hAnsi="Arial"/>
          <w:sz w:val="17"/>
          <w:szCs w:val="17"/>
          <w:color w:val="auto"/>
        </w:rPr>
        <w:t xml:space="preserve">If the Person serving as Administrative Agent is a Defaulting Lender pursuant to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the definition thereof, the Required Lenders may, to the extent permitted by applicable law, by notice in writing to the Borrower and such Person remove such Person as Administrative Agent and, with the consent of </w:t>
      </w:r>
      <w:r>
        <w:rPr>
          <w:rFonts w:ascii="Arial" w:cs="Arial" w:eastAsia="Arial" w:hAnsi="Arial"/>
          <w:sz w:val="17"/>
          <w:szCs w:val="17"/>
          <w:u w:val="single" w:color="auto"/>
          <w:color w:val="0000E1"/>
        </w:rPr>
        <w:t>the</w:t>
      </w:r>
      <w:r>
        <w:rPr>
          <w:rFonts w:ascii="Arial" w:cs="Arial" w:eastAsia="Arial" w:hAnsi="Arial"/>
          <w:sz w:val="17"/>
          <w:szCs w:val="17"/>
          <w:color w:val="auto"/>
        </w:rPr>
        <w:t xml:space="preserve"> Borrower (which consent (x) shall not be unreasonably withheld or delayed and shall not be required if an Event of Default under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(k)</w:t>
      </w:r>
      <w:r>
        <w:rPr>
          <w:rFonts w:ascii="Arial" w:cs="Arial" w:eastAsia="Arial" w:hAnsi="Arial"/>
          <w:sz w:val="17"/>
          <w:szCs w:val="17"/>
          <w:color w:val="auto"/>
        </w:rPr>
        <w:t xml:space="preserve"> has occurred and is continuing and (y) shall be deemed to have been given if the Borrower shall not have responded (whether affirmatively, negatively or to respond that the relevant officers of the Borrower are not then available to make a determination) to a request for such consent within ten (10) Business Days after such request is made), appoint a successor (which shall not be a Disqualified Institution). If no such successor shall have been so appointed by the Required Lenders and shall have accepted such appointment within </w:t>
      </w:r>
      <w:r>
        <w:rPr>
          <w:rFonts w:ascii="Arial" w:cs="Arial" w:eastAsia="Arial" w:hAnsi="Arial"/>
          <w:sz w:val="17"/>
          <w:szCs w:val="17"/>
          <w:u w:val="single" w:color="auto"/>
          <w:color w:val="0000E1"/>
        </w:rPr>
        <w:t>thirty (</w:t>
      </w:r>
      <w:r>
        <w:rPr>
          <w:rFonts w:ascii="Arial" w:cs="Arial" w:eastAsia="Arial" w:hAnsi="Arial"/>
          <w:sz w:val="17"/>
          <w:szCs w:val="17"/>
          <w:color w:val="auto"/>
        </w:rPr>
        <w:t xml:space="preserve">30 </w:t>
      </w:r>
      <w:r>
        <w:rPr>
          <w:rFonts w:ascii="Arial" w:cs="Arial" w:eastAsia="Arial" w:hAnsi="Arial"/>
          <w:sz w:val="17"/>
          <w:szCs w:val="17"/>
          <w:u w:val="single" w:color="auto"/>
          <w:color w:val="0000E1"/>
        </w:rPr>
        <w:t>)</w:t>
      </w:r>
      <w:r>
        <w:rPr>
          <w:rFonts w:ascii="Arial" w:cs="Arial" w:eastAsia="Arial" w:hAnsi="Arial"/>
          <w:sz w:val="17"/>
          <w:szCs w:val="17"/>
          <w:color w:val="auto"/>
        </w:rPr>
        <w:t xml:space="preserve"> days (or such earlier day as shall be agreed by the Required Lenders) (the “Removal Effective Date”), then such removal shall nonetheless become effective in accordance with such notice on the Removal Effective Date (except that in the case of any collateral security held by the Administrative Agent in its capacity as collateral agent for the Secured Creditors for perfection purposes, the retiring Administrative Agent shall continue to hold such collateral security until such time as a successor Administrative Agent is appointed).</w:t>
      </w:r>
    </w:p>
    <w:p>
      <w:pPr>
        <w:spacing w:after="0" w:line="181" w:lineRule="exact"/>
        <w:rPr>
          <w:rFonts w:ascii="Arial" w:cs="Arial" w:eastAsia="Arial" w:hAnsi="Arial"/>
          <w:sz w:val="17"/>
          <w:szCs w:val="17"/>
          <w:color w:val="auto"/>
        </w:rPr>
      </w:pPr>
    </w:p>
    <w:p>
      <w:pPr>
        <w:ind w:left="4" w:right="300" w:firstLine="987"/>
        <w:spacing w:after="0" w:line="277" w:lineRule="auto"/>
        <w:tabs>
          <w:tab w:leader="none" w:pos="1375" w:val="left"/>
        </w:tabs>
        <w:numPr>
          <w:ilvl w:val="1"/>
          <w:numId w:val="246"/>
        </w:numPr>
        <w:rPr>
          <w:rFonts w:ascii="Arial" w:cs="Arial" w:eastAsia="Arial" w:hAnsi="Arial"/>
          <w:sz w:val="18"/>
          <w:szCs w:val="18"/>
          <w:color w:val="auto"/>
        </w:rPr>
      </w:pPr>
      <w:r>
        <w:rPr>
          <w:rFonts w:ascii="Arial" w:cs="Arial" w:eastAsia="Arial" w:hAnsi="Arial"/>
          <w:sz w:val="18"/>
          <w:szCs w:val="18"/>
          <w:color w:val="auto"/>
        </w:rPr>
        <w:t>Upon the acceptance of its appointment as an Agent hereunder by a successor, such successor shall succeed to and become vested with all the rights, powers, privileges and duties of the retiring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6720840</wp:posOffset>
            </wp:positionH>
            <wp:positionV relativeFrom="paragraph">
              <wp:posOffset>-3988435</wp:posOffset>
            </wp:positionV>
            <wp:extent cx="24003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-3851275</wp:posOffset>
            </wp:positionV>
            <wp:extent cx="18859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-3714115</wp:posOffset>
            </wp:positionV>
            <wp:extent cx="60896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608965" cy="8255"/>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-2282190</wp:posOffset>
            </wp:positionV>
            <wp:extent cx="2857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-1519555</wp:posOffset>
            </wp:positionV>
            <wp:extent cx="137160"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6850380</wp:posOffset>
            </wp:positionH>
            <wp:positionV relativeFrom="paragraph">
              <wp:posOffset>-1184910</wp:posOffset>
            </wp:positionV>
            <wp:extent cx="2857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-970915</wp:posOffset>
            </wp:positionV>
            <wp:extent cx="308610"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-1047750</wp:posOffset>
            </wp:positionV>
            <wp:extent cx="2857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-970915</wp:posOffset>
            </wp:positionV>
            <wp:extent cx="34290"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8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4"/>
          </w:cols>
          <w:pgMar w:left="436" w:top="274" w:right="459" w:bottom="1440" w:gutter="0" w:footer="0" w:header="0"/>
        </w:sectPr>
      </w:pPr>
    </w:p>
    <w:bookmarkStart w:id="194" w:name="page195"/>
    <w:bookmarkEnd w:id="194"/>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Agent, and the retiring (or retired) </w:t>
      </w:r>
      <w:r>
        <w:rPr>
          <w:rFonts w:ascii="Arial" w:cs="Arial" w:eastAsia="Arial" w:hAnsi="Arial"/>
          <w:sz w:val="16"/>
          <w:szCs w:val="16"/>
          <w:u w:val="single" w:color="auto"/>
          <w:color w:val="0000E1"/>
        </w:rPr>
        <w:t>or removed</w:t>
      </w:r>
      <w:r>
        <w:rPr>
          <w:rFonts w:ascii="Arial" w:cs="Arial" w:eastAsia="Arial" w:hAnsi="Arial"/>
          <w:sz w:val="16"/>
          <w:szCs w:val="16"/>
          <w:color w:val="auto"/>
        </w:rPr>
        <w:t xml:space="preserve"> Agent shall be discharged from its duties and obligations under the Loan Documents and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The fees payable by </w:t>
      </w:r>
      <w:r>
        <w:rPr>
          <w:rFonts w:ascii="Arial" w:cs="Arial" w:eastAsia="Arial" w:hAnsi="Arial"/>
          <w:sz w:val="16"/>
          <w:szCs w:val="16"/>
          <w:u w:val="single" w:color="auto"/>
          <w:color w:val="0000E1"/>
        </w:rPr>
        <w:t>the</w:t>
      </w:r>
      <w:r>
        <w:rPr>
          <w:rFonts w:ascii="Arial" w:cs="Arial" w:eastAsia="Arial" w:hAnsi="Arial"/>
          <w:sz w:val="16"/>
          <w:szCs w:val="16"/>
          <w:color w:val="auto"/>
        </w:rPr>
        <w:t xml:space="preserve"> Borrower to a successor Agent shall be the same as those payable to its predecessor unless otherwise agreed between </w:t>
      </w:r>
      <w:r>
        <w:rPr>
          <w:rFonts w:ascii="Arial" w:cs="Arial" w:eastAsia="Arial" w:hAnsi="Arial"/>
          <w:sz w:val="16"/>
          <w:szCs w:val="16"/>
          <w:u w:val="single" w:color="auto"/>
          <w:color w:val="0000E1"/>
        </w:rPr>
        <w:t>the</w:t>
      </w:r>
      <w:r>
        <w:rPr>
          <w:rFonts w:ascii="Arial" w:cs="Arial" w:eastAsia="Arial" w:hAnsi="Arial"/>
          <w:sz w:val="16"/>
          <w:szCs w:val="16"/>
          <w:color w:val="auto"/>
        </w:rPr>
        <w:t xml:space="preserve"> Borrower and such successor. After an Agent’s resignation </w:t>
      </w:r>
      <w:r>
        <w:rPr>
          <w:rFonts w:ascii="Arial" w:cs="Arial" w:eastAsia="Arial" w:hAnsi="Arial"/>
          <w:sz w:val="16"/>
          <w:szCs w:val="16"/>
          <w:u w:val="single" w:color="auto"/>
          <w:color w:val="0000E1"/>
        </w:rPr>
        <w:t>or</w:t>
      </w:r>
      <w:r>
        <w:rPr>
          <w:rFonts w:ascii="Arial" w:cs="Arial" w:eastAsia="Arial" w:hAnsi="Arial"/>
          <w:sz w:val="16"/>
          <w:szCs w:val="16"/>
          <w:color w:val="auto"/>
        </w:rPr>
        <w:t xml:space="preserve"> </w:t>
      </w:r>
      <w:r>
        <w:rPr>
          <w:rFonts w:ascii="Arial" w:cs="Arial" w:eastAsia="Arial" w:hAnsi="Arial"/>
          <w:sz w:val="16"/>
          <w:szCs w:val="16"/>
          <w:u w:val="single" w:color="auto"/>
          <w:color w:val="0000E1"/>
        </w:rPr>
        <w:t>removal</w:t>
      </w:r>
      <w:r>
        <w:rPr>
          <w:rFonts w:ascii="Arial" w:cs="Arial" w:eastAsia="Arial" w:hAnsi="Arial"/>
          <w:sz w:val="16"/>
          <w:szCs w:val="16"/>
          <w:color w:val="0000E1"/>
        </w:rPr>
        <w:t xml:space="preserve"> </w:t>
      </w:r>
      <w:r>
        <w:rPr>
          <w:rFonts w:ascii="Arial" w:cs="Arial" w:eastAsia="Arial" w:hAnsi="Arial"/>
          <w:sz w:val="16"/>
          <w:szCs w:val="16"/>
          <w:color w:val="000000"/>
        </w:rPr>
        <w:t>hereunder</w:t>
      </w:r>
      <w:r>
        <w:rPr>
          <w:rFonts w:ascii="Arial" w:cs="Arial" w:eastAsia="Arial" w:hAnsi="Arial"/>
          <w:sz w:val="16"/>
          <w:szCs w:val="16"/>
          <w:color w:val="0000E1"/>
        </w:rPr>
        <w:t xml:space="preserve"> and under the other Loan Documents</w:t>
      </w:r>
      <w:r>
        <w:rPr>
          <w:rFonts w:ascii="Arial" w:cs="Arial" w:eastAsia="Arial" w:hAnsi="Arial"/>
          <w:sz w:val="16"/>
          <w:szCs w:val="16"/>
          <w:color w:val="000000"/>
        </w:rPr>
        <w:t>, the provisions of this</w:t>
      </w:r>
      <w:r>
        <w:rPr>
          <w:rFonts w:ascii="Arial" w:cs="Arial" w:eastAsia="Arial" w:hAnsi="Arial"/>
          <w:sz w:val="16"/>
          <w:szCs w:val="16"/>
          <w:color w:val="0000E1"/>
        </w:rPr>
        <w:t xml:space="preserve"> </w:t>
      </w:r>
      <w:r>
        <w:rPr>
          <w:rFonts w:ascii="Arial" w:cs="Arial" w:eastAsia="Arial" w:hAnsi="Arial"/>
          <w:sz w:val="16"/>
          <w:szCs w:val="16"/>
          <w:color w:val="FF0000"/>
          <w:strike w:val="1"/>
        </w:rPr>
        <w:t>Article IX</w:t>
      </w:r>
      <w:r>
        <w:rPr>
          <w:rFonts w:ascii="Arial" w:cs="Arial" w:eastAsia="Arial" w:hAnsi="Arial"/>
          <w:sz w:val="16"/>
          <w:szCs w:val="16"/>
          <w:u w:val="single" w:color="auto"/>
          <w:color w:val="0000E1"/>
        </w:rPr>
        <w:t>Section 11</w:t>
      </w:r>
      <w:r>
        <w:rPr>
          <w:rFonts w:ascii="Arial" w:cs="Arial" w:eastAsia="Arial" w:hAnsi="Arial"/>
          <w:sz w:val="16"/>
          <w:szCs w:val="16"/>
          <w:color w:val="0000E1"/>
        </w:rPr>
        <w:t xml:space="preserve"> </w:t>
      </w:r>
      <w:r>
        <w:rPr>
          <w:rFonts w:ascii="Arial" w:cs="Arial" w:eastAsia="Arial" w:hAnsi="Arial"/>
          <w:sz w:val="16"/>
          <w:szCs w:val="16"/>
          <w:color w:val="000000"/>
        </w:rPr>
        <w:t>and</w:t>
      </w:r>
      <w:r>
        <w:rPr>
          <w:rFonts w:ascii="Arial" w:cs="Arial" w:eastAsia="Arial" w:hAnsi="Arial"/>
          <w:sz w:val="16"/>
          <w:szCs w:val="16"/>
          <w:color w:val="0000E1"/>
        </w:rPr>
        <w:t xml:space="preserve"> </w:t>
      </w:r>
      <w:r>
        <w:rPr>
          <w:rFonts w:ascii="Arial" w:cs="Arial" w:eastAsia="Arial" w:hAnsi="Arial"/>
          <w:sz w:val="16"/>
          <w:szCs w:val="16"/>
          <w:u w:val="single" w:color="auto"/>
          <w:color w:val="000000"/>
        </w:rPr>
        <w:t>Section 13.15</w:t>
      </w:r>
      <w:r>
        <w:rPr>
          <w:rFonts w:ascii="Arial" w:cs="Arial" w:eastAsia="Arial" w:hAnsi="Arial"/>
          <w:sz w:val="16"/>
          <w:szCs w:val="16"/>
          <w:color w:val="0000E1"/>
        </w:rPr>
        <w:t xml:space="preserve"> </w:t>
      </w:r>
      <w:r>
        <w:rPr>
          <w:rFonts w:ascii="Arial" w:cs="Arial" w:eastAsia="Arial" w:hAnsi="Arial"/>
          <w:sz w:val="16"/>
          <w:szCs w:val="16"/>
          <w:color w:val="000000"/>
        </w:rPr>
        <w:t>shall continue in effect for the</w:t>
      </w:r>
      <w:r>
        <w:rPr>
          <w:rFonts w:ascii="Arial" w:cs="Arial" w:eastAsia="Arial" w:hAnsi="Arial"/>
          <w:sz w:val="16"/>
          <w:szCs w:val="16"/>
          <w:color w:val="0000E1"/>
        </w:rPr>
        <w:t xml:space="preserve"> </w:t>
      </w:r>
      <w:r>
        <w:rPr>
          <w:rFonts w:ascii="Arial" w:cs="Arial" w:eastAsia="Arial" w:hAnsi="Arial"/>
          <w:sz w:val="16"/>
          <w:szCs w:val="16"/>
          <w:color w:val="000000"/>
        </w:rPr>
        <w:t xml:space="preserve">benefit of such retiring </w:t>
      </w:r>
      <w:r>
        <w:rPr>
          <w:rFonts w:ascii="Arial" w:cs="Arial" w:eastAsia="Arial" w:hAnsi="Arial"/>
          <w:sz w:val="16"/>
          <w:szCs w:val="16"/>
          <w:u w:val="single" w:color="auto"/>
          <w:color w:val="0000E1"/>
        </w:rPr>
        <w:t>or removed</w:t>
      </w:r>
      <w:r>
        <w:rPr>
          <w:rFonts w:ascii="Arial" w:cs="Arial" w:eastAsia="Arial" w:hAnsi="Arial"/>
          <w:sz w:val="16"/>
          <w:szCs w:val="16"/>
          <w:color w:val="000000"/>
        </w:rPr>
        <w:t xml:space="preserve"> Agent, its sub-agents and their respective Affiliates in respect of any actions taken or omitted to be taken by any of them </w:t>
      </w:r>
      <w:r>
        <w:rPr>
          <w:rFonts w:ascii="Arial" w:cs="Arial" w:eastAsia="Arial" w:hAnsi="Arial"/>
          <w:sz w:val="16"/>
          <w:szCs w:val="16"/>
          <w:u w:val="single" w:color="auto"/>
          <w:color w:val="0000E1"/>
        </w:rPr>
        <w:t>(i )</w:t>
      </w:r>
      <w:r>
        <w:rPr>
          <w:rFonts w:ascii="Arial" w:cs="Arial" w:eastAsia="Arial" w:hAnsi="Arial"/>
          <w:sz w:val="16"/>
          <w:szCs w:val="16"/>
          <w:color w:val="000000"/>
        </w:rPr>
        <w:t xml:space="preserve"> while it was acting as Agent</w:t>
      </w:r>
      <w:r>
        <w:rPr>
          <w:rFonts w:ascii="Arial" w:cs="Arial" w:eastAsia="Arial" w:hAnsi="Arial"/>
          <w:sz w:val="16"/>
          <w:szCs w:val="16"/>
          <w:color w:val="FF0000"/>
          <w:strike w:val="1"/>
        </w:rPr>
        <w:t>.</w:t>
      </w:r>
      <w:r>
        <w:rPr>
          <w:rFonts w:ascii="Arial" w:cs="Arial" w:eastAsia="Arial" w:hAnsi="Arial"/>
          <w:sz w:val="16"/>
          <w:szCs w:val="16"/>
          <w:color w:val="000000"/>
        </w:rPr>
        <w:t xml:space="preserve"> </w:t>
      </w:r>
      <w:r>
        <w:rPr>
          <w:rFonts w:ascii="Arial" w:cs="Arial" w:eastAsia="Arial" w:hAnsi="Arial"/>
          <w:sz w:val="16"/>
          <w:szCs w:val="16"/>
          <w:u w:val="single" w:color="auto"/>
          <w:color w:val="0000E1"/>
        </w:rPr>
        <w:t>and (ii) after such resignation or removal for as long as any of them continues to act in any capacity hereunder or</w:t>
      </w:r>
      <w:r>
        <w:rPr>
          <w:rFonts w:ascii="Arial" w:cs="Arial" w:eastAsia="Arial" w:hAnsi="Arial"/>
          <w:sz w:val="16"/>
          <w:szCs w:val="16"/>
          <w:color w:val="000000"/>
        </w:rPr>
        <w:t xml:space="preserve"> </w:t>
      </w:r>
      <w:r>
        <w:rPr>
          <w:rFonts w:ascii="Arial" w:cs="Arial" w:eastAsia="Arial" w:hAnsi="Arial"/>
          <w:sz w:val="16"/>
          <w:szCs w:val="16"/>
          <w:u w:val="single" w:color="auto"/>
          <w:color w:val="0000E1"/>
        </w:rPr>
        <w:t>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-1246505</wp:posOffset>
            </wp:positionV>
            <wp:extent cx="522605"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-835025</wp:posOffset>
            </wp:positionV>
            <wp:extent cx="13716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-697865</wp:posOffset>
            </wp:positionV>
            <wp:extent cx="13716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-697865</wp:posOffset>
            </wp:positionV>
            <wp:extent cx="9398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-560705</wp:posOffset>
            </wp:positionV>
            <wp:extent cx="2588895"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2588895" cy="8255"/>
                    </a:xfrm>
                    <a:prstGeom prst="rect">
                      <a:avLst/>
                    </a:prstGeom>
                    <a:noFill/>
                  </pic:spPr>
                </pic:pic>
              </a:graphicData>
            </a:graphic>
          </wp:anchor>
        </w:drawing>
        <w:drawing>
          <wp:anchor simplePos="0" relativeHeight="251657728" behindDoc="1" locked="0" layoutInCell="0" allowOverlap="1">
            <wp:simplePos x="0" y="0"/>
            <wp:positionH relativeFrom="column">
              <wp:posOffset>857250</wp:posOffset>
            </wp:positionH>
            <wp:positionV relativeFrom="paragraph">
              <wp:posOffset>-594995</wp:posOffset>
            </wp:positionV>
            <wp:extent cx="1725930"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725930" cy="8255"/>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-560705</wp:posOffset>
            </wp:positionV>
            <wp:extent cx="48831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488315"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-423545</wp:posOffset>
            </wp:positionV>
            <wp:extent cx="523240"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52324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-286385</wp:posOffset>
            </wp:positionV>
            <wp:extent cx="667766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66776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-149225</wp:posOffset>
            </wp:positionV>
            <wp:extent cx="6978015"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5332095"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5332095" cy="8890"/>
                    </a:xfrm>
                    <a:prstGeom prst="rect">
                      <a:avLst/>
                    </a:prstGeom>
                    <a:noFill/>
                  </pic:spPr>
                </pic:pic>
              </a:graphicData>
            </a:graphic>
          </wp:anchor>
        </w:drawing>
      </w:r>
    </w:p>
    <w:p>
      <w:pPr>
        <w:spacing w:after="0" w:line="148"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i w:val="1"/>
          <w:iCs w:val="1"/>
          <w:color w:val="auto"/>
        </w:rPr>
        <w:t>Non-Reliance on Agent</w:t>
      </w:r>
      <w:r>
        <w:rPr>
          <w:rFonts w:ascii="Arial" w:cs="Arial" w:eastAsia="Arial" w:hAnsi="Arial"/>
          <w:sz w:val="16"/>
          <w:szCs w:val="16"/>
          <w:i w:val="1"/>
          <w:iCs w:val="1"/>
          <w:u w:val="single" w:color="auto"/>
          <w:color w:val="0000E1"/>
        </w:rPr>
        <w:t>, the Arrangers</w:t>
      </w:r>
      <w:r>
        <w:rPr>
          <w:rFonts w:ascii="Arial" w:cs="Arial" w:eastAsia="Arial" w:hAnsi="Arial"/>
          <w:sz w:val="16"/>
          <w:szCs w:val="16"/>
          <w:color w:val="auto"/>
        </w:rPr>
        <w:t xml:space="preserve"> </w:t>
      </w:r>
      <w:r>
        <w:rPr>
          <w:rFonts w:ascii="Arial" w:cs="Arial" w:eastAsia="Arial" w:hAnsi="Arial"/>
          <w:sz w:val="16"/>
          <w:szCs w:val="16"/>
          <w:i w:val="1"/>
          <w:iCs w:val="1"/>
          <w:color w:val="auto"/>
        </w:rPr>
        <w:t>and Other Lenders</w:t>
      </w:r>
      <w:r>
        <w:rPr>
          <w:rFonts w:ascii="Arial" w:cs="Arial" w:eastAsia="Arial" w:hAnsi="Arial"/>
          <w:sz w:val="16"/>
          <w:szCs w:val="16"/>
          <w:color w:val="auto"/>
        </w:rPr>
        <w:t xml:space="preserve">. Each Lender and the L/C Issuer </w:t>
      </w:r>
      <w:r>
        <w:rPr>
          <w:rFonts w:ascii="Arial" w:cs="Arial" w:eastAsia="Arial" w:hAnsi="Arial"/>
          <w:sz w:val="16"/>
          <w:szCs w:val="16"/>
          <w:u w:val="single" w:color="auto"/>
          <w:color w:val="0000E1"/>
        </w:rPr>
        <w:t>expressly</w:t>
      </w:r>
      <w:r>
        <w:rPr>
          <w:rFonts w:ascii="Arial" w:cs="Arial" w:eastAsia="Arial" w:hAnsi="Arial"/>
          <w:sz w:val="16"/>
          <w:szCs w:val="16"/>
          <w:color w:val="auto"/>
        </w:rPr>
        <w:t xml:space="preserve"> acknowledges </w:t>
      </w:r>
      <w:r>
        <w:rPr>
          <w:rFonts w:ascii="Arial" w:cs="Arial" w:eastAsia="Arial" w:hAnsi="Arial"/>
          <w:sz w:val="16"/>
          <w:szCs w:val="16"/>
          <w:u w:val="single" w:color="auto"/>
          <w:color w:val="0000E1"/>
        </w:rPr>
        <w:t>that none of</w:t>
      </w:r>
      <w:r>
        <w:rPr>
          <w:rFonts w:ascii="Arial" w:cs="Arial" w:eastAsia="Arial" w:hAnsi="Arial"/>
          <w:sz w:val="16"/>
          <w:szCs w:val="16"/>
          <w:color w:val="auto"/>
        </w:rPr>
        <w:t xml:space="preserve"> </w:t>
      </w:r>
      <w:r>
        <w:rPr>
          <w:rFonts w:ascii="Arial" w:cs="Arial" w:eastAsia="Arial" w:hAnsi="Arial"/>
          <w:sz w:val="16"/>
          <w:szCs w:val="16"/>
          <w:u w:val="single" w:color="auto"/>
          <w:color w:val="0000E1"/>
        </w:rPr>
        <w:t>the Administrative Agent nor any Arranger has made any representation or warranty to it, and that no act by the Administrative Agent or any Arranger hereafter taken, including any consent to, and acceptance of any assignment or review of the affairs of any Loan Party of any Affiliate thereof, shall be deemed to constitute any representation or warranty by the Administrative Agent or any Arranger to any Lender or the L/C Issuer as to any matter, including whether the Administrative Agent or any Arranger have disclosed material information in their (or their Related Persons’) possession. Each Lender and the L/C Issuer represents to the Administrative Agent and the Arrangers</w:t>
      </w:r>
      <w:r>
        <w:rPr>
          <w:rFonts w:ascii="Arial" w:cs="Arial" w:eastAsia="Arial" w:hAnsi="Arial"/>
          <w:sz w:val="16"/>
          <w:szCs w:val="16"/>
          <w:color w:val="0000E1"/>
        </w:rPr>
        <w:t xml:space="preserve"> </w:t>
      </w:r>
      <w:r>
        <w:rPr>
          <w:rFonts w:ascii="Arial" w:cs="Arial" w:eastAsia="Arial" w:hAnsi="Arial"/>
          <w:sz w:val="16"/>
          <w:szCs w:val="16"/>
          <w:color w:val="000000"/>
        </w:rPr>
        <w:t>that it has, independently and without reliance upon any Agent or</w:t>
      </w:r>
      <w:r>
        <w:rPr>
          <w:rFonts w:ascii="Arial" w:cs="Arial" w:eastAsia="Arial" w:hAnsi="Arial"/>
          <w:sz w:val="16"/>
          <w:szCs w:val="16"/>
          <w:color w:val="0000E1"/>
        </w:rPr>
        <w:t xml:space="preserve"> </w:t>
      </w:r>
      <w:r>
        <w:rPr>
          <w:rFonts w:ascii="Arial" w:cs="Arial" w:eastAsia="Arial" w:hAnsi="Arial"/>
          <w:sz w:val="16"/>
          <w:szCs w:val="16"/>
          <w:color w:val="000000"/>
        </w:rPr>
        <w:t xml:space="preserve">any other Lender or any of their respective Affiliates and based on such documents and information as it has deemed appropriate, conducted its own </w:t>
      </w:r>
      <w:r>
        <w:rPr>
          <w:rFonts w:ascii="Arial" w:cs="Arial" w:eastAsia="Arial" w:hAnsi="Arial"/>
          <w:sz w:val="16"/>
          <w:szCs w:val="16"/>
          <w:u w:val="single" w:color="auto"/>
          <w:color w:val="0000E1"/>
        </w:rPr>
        <w:t>credit analysis of, appraisal of and</w:t>
      </w:r>
      <w:r>
        <w:rPr>
          <w:rFonts w:ascii="Arial" w:cs="Arial" w:eastAsia="Arial" w:hAnsi="Arial"/>
          <w:sz w:val="16"/>
          <w:szCs w:val="16"/>
          <w:color w:val="0000E1"/>
        </w:rPr>
        <w:t xml:space="preserve"> </w:t>
      </w:r>
      <w:r>
        <w:rPr>
          <w:rFonts w:ascii="Arial" w:cs="Arial" w:eastAsia="Arial" w:hAnsi="Arial"/>
          <w:sz w:val="16"/>
          <w:szCs w:val="16"/>
          <w:color w:val="000000"/>
        </w:rPr>
        <w:t>independent investigation of the</w:t>
      </w:r>
      <w:r>
        <w:rPr>
          <w:rFonts w:ascii="Arial" w:cs="Arial" w:eastAsia="Arial" w:hAnsi="Arial"/>
          <w:sz w:val="16"/>
          <w:szCs w:val="16"/>
          <w:color w:val="0000E1"/>
        </w:rPr>
        <w:t xml:space="preserve"> </w:t>
      </w:r>
      <w:r>
        <w:rPr>
          <w:rFonts w:ascii="Arial" w:cs="Arial" w:eastAsia="Arial" w:hAnsi="Arial"/>
          <w:sz w:val="16"/>
          <w:szCs w:val="16"/>
          <w:u w:val="single" w:color="auto"/>
          <w:color w:val="0000E1"/>
        </w:rPr>
        <w:t>business, prospects, operations, property,</w:t>
      </w:r>
      <w:r>
        <w:rPr>
          <w:rFonts w:ascii="Arial" w:cs="Arial" w:eastAsia="Arial" w:hAnsi="Arial"/>
          <w:sz w:val="16"/>
          <w:szCs w:val="16"/>
          <w:color w:val="0000E1"/>
        </w:rPr>
        <w:t xml:space="preserve"> </w:t>
      </w:r>
      <w:r>
        <w:rPr>
          <w:rFonts w:ascii="Arial" w:cs="Arial" w:eastAsia="Arial" w:hAnsi="Arial"/>
          <w:sz w:val="16"/>
          <w:szCs w:val="16"/>
          <w:color w:val="000000"/>
        </w:rPr>
        <w:t>financial</w:t>
      </w:r>
      <w:r>
        <w:rPr>
          <w:rFonts w:ascii="Arial" w:cs="Arial" w:eastAsia="Arial" w:hAnsi="Arial"/>
          <w:sz w:val="16"/>
          <w:szCs w:val="16"/>
          <w:color w:val="0000E1"/>
        </w:rPr>
        <w:t xml:space="preserve"> </w:t>
      </w:r>
      <w:r>
        <w:rPr>
          <w:rFonts w:ascii="Arial" w:cs="Arial" w:eastAsia="Arial" w:hAnsi="Arial"/>
          <w:sz w:val="16"/>
          <w:szCs w:val="16"/>
          <w:u w:val="single" w:color="auto"/>
          <w:color w:val="0000E1"/>
        </w:rPr>
        <w:t>and other</w:t>
      </w:r>
      <w:r>
        <w:rPr>
          <w:rFonts w:ascii="Arial" w:cs="Arial" w:eastAsia="Arial" w:hAnsi="Arial"/>
          <w:sz w:val="16"/>
          <w:szCs w:val="16"/>
          <w:color w:val="0000E1"/>
        </w:rPr>
        <w:t xml:space="preserve"> </w:t>
      </w:r>
      <w:r>
        <w:rPr>
          <w:rFonts w:ascii="Arial" w:cs="Arial" w:eastAsia="Arial" w:hAnsi="Arial"/>
          <w:sz w:val="16"/>
          <w:szCs w:val="16"/>
          <w:color w:val="000000"/>
        </w:rPr>
        <w:t>condition ,</w:t>
      </w:r>
      <w:r>
        <w:rPr>
          <w:rFonts w:ascii="Arial" w:cs="Arial" w:eastAsia="Arial" w:hAnsi="Arial"/>
          <w:sz w:val="16"/>
          <w:szCs w:val="16"/>
          <w:color w:val="0000E1"/>
        </w:rPr>
        <w:t xml:space="preserve"> </w:t>
      </w:r>
      <w:r>
        <w:rPr>
          <w:rFonts w:ascii="Arial" w:cs="Arial" w:eastAsia="Arial" w:hAnsi="Arial"/>
          <w:sz w:val="16"/>
          <w:szCs w:val="16"/>
          <w:u w:val="single" w:color="auto"/>
          <w:color w:val="0000E1"/>
        </w:rPr>
        <w:t>creditworthiness</w:t>
      </w:r>
      <w:r>
        <w:rPr>
          <w:rFonts w:ascii="Arial" w:cs="Arial" w:eastAsia="Arial" w:hAnsi="Arial"/>
          <w:sz w:val="16"/>
          <w:szCs w:val="16"/>
          <w:color w:val="0000E1"/>
        </w:rPr>
        <w:t xml:space="preserve"> </w:t>
      </w:r>
      <w:r>
        <w:rPr>
          <w:rFonts w:ascii="Arial" w:cs="Arial" w:eastAsia="Arial" w:hAnsi="Arial"/>
          <w:sz w:val="16"/>
          <w:szCs w:val="16"/>
          <w:color w:val="000000"/>
        </w:rPr>
        <w:t>and affairs of the Loan Parties and their Subsidiaries,</w:t>
      </w:r>
      <w:r>
        <w:rPr>
          <w:rFonts w:ascii="Arial" w:cs="Arial" w:eastAsia="Arial" w:hAnsi="Arial"/>
          <w:sz w:val="16"/>
          <w:szCs w:val="16"/>
          <w:color w:val="0000E1"/>
        </w:rPr>
        <w:t xml:space="preserve"> and all applicable bank or other regulatory laws relating to the transactions </w:t>
      </w:r>
      <w:r>
        <w:rPr>
          <w:rFonts w:ascii="Arial" w:cs="Arial" w:eastAsia="Arial" w:hAnsi="Arial"/>
          <w:sz w:val="16"/>
          <w:szCs w:val="16"/>
          <w:u w:val="single" w:color="auto"/>
          <w:color w:val="0000E1"/>
        </w:rPr>
        <w:t>contemplated hereby,</w:t>
      </w:r>
      <w:r>
        <w:rPr>
          <w:rFonts w:ascii="Arial" w:cs="Arial" w:eastAsia="Arial" w:hAnsi="Arial"/>
          <w:sz w:val="16"/>
          <w:szCs w:val="16"/>
          <w:color w:val="0000E1"/>
        </w:rPr>
        <w:t xml:space="preserve"> </w:t>
      </w:r>
      <w:r>
        <w:rPr>
          <w:rFonts w:ascii="Arial" w:cs="Arial" w:eastAsia="Arial" w:hAnsi="Arial"/>
          <w:sz w:val="16"/>
          <w:szCs w:val="16"/>
          <w:color w:val="000000"/>
        </w:rPr>
        <w:t>and made its own credit analysis and decision to enter into this Agreement</w:t>
      </w:r>
      <w:r>
        <w:rPr>
          <w:rFonts w:ascii="Arial" w:cs="Arial" w:eastAsia="Arial" w:hAnsi="Arial"/>
          <w:sz w:val="16"/>
          <w:szCs w:val="16"/>
          <w:color w:val="0000E1"/>
        </w:rPr>
        <w:t xml:space="preserve"> </w:t>
      </w:r>
      <w:r>
        <w:rPr>
          <w:rFonts w:ascii="Arial" w:cs="Arial" w:eastAsia="Arial" w:hAnsi="Arial"/>
          <w:sz w:val="16"/>
          <w:szCs w:val="16"/>
          <w:u w:val="single" w:color="auto"/>
          <w:color w:val="0000E1"/>
        </w:rPr>
        <w:t>and to extend credit to the Borrower hereunder.</w:t>
      </w:r>
      <w:r>
        <w:rPr>
          <w:rFonts w:ascii="Arial" w:cs="Arial" w:eastAsia="Arial" w:hAnsi="Arial"/>
          <w:sz w:val="16"/>
          <w:szCs w:val="16"/>
          <w:color w:val="0000E1"/>
        </w:rPr>
        <w:t xml:space="preserve"> </w:t>
      </w:r>
      <w:r>
        <w:rPr>
          <w:rFonts w:ascii="Arial" w:cs="Arial" w:eastAsia="Arial" w:hAnsi="Arial"/>
          <w:sz w:val="16"/>
          <w:szCs w:val="16"/>
          <w:color w:val="000000"/>
        </w:rPr>
        <w:t>Each</w:t>
      </w:r>
      <w:r>
        <w:rPr>
          <w:rFonts w:ascii="Arial" w:cs="Arial" w:eastAsia="Arial" w:hAnsi="Arial"/>
          <w:sz w:val="16"/>
          <w:szCs w:val="16"/>
          <w:color w:val="0000E1"/>
        </w:rPr>
        <w:t xml:space="preserve"> </w:t>
      </w:r>
      <w:r>
        <w:rPr>
          <w:rFonts w:ascii="Arial" w:cs="Arial" w:eastAsia="Arial" w:hAnsi="Arial"/>
          <w:sz w:val="16"/>
          <w:szCs w:val="16"/>
          <w:color w:val="000000"/>
        </w:rPr>
        <w:t xml:space="preserve">Lender further represents and warrants that it has reviewed each document made available to it on the Platform in connection with this Agreement and has acknowledged and accepted the terms and conditions applicable to the recipients thereof (including any such terms and conditions set forth, or otherwise maintained, on the Platform with respect thereto). Each Lender and the L/C Issuer also acknowledges that it will, independently and without reliance upon any Agent or any other Lender or any of their respective Affiliates and based on such documents and information as it shall from time to time deem appropriate, continue to make its own </w:t>
      </w:r>
      <w:r>
        <w:rPr>
          <w:rFonts w:ascii="Arial" w:cs="Arial" w:eastAsia="Arial" w:hAnsi="Arial"/>
          <w:sz w:val="16"/>
          <w:szCs w:val="16"/>
          <w:u w:val="single" w:color="auto"/>
          <w:color w:val="0000E1"/>
        </w:rPr>
        <w:t>credit analysis, appraisals and</w:t>
      </w:r>
      <w:r>
        <w:rPr>
          <w:rFonts w:ascii="Arial" w:cs="Arial" w:eastAsia="Arial" w:hAnsi="Arial"/>
          <w:sz w:val="16"/>
          <w:szCs w:val="16"/>
          <w:color w:val="000000"/>
        </w:rPr>
        <w:t xml:space="preserve"> decisions in taking or not taking action under or based upon this Agreement, any other Loan Document or </w:t>
      </w:r>
      <w:r>
        <w:rPr>
          <w:rFonts w:ascii="Arial" w:cs="Arial" w:eastAsia="Arial" w:hAnsi="Arial"/>
          <w:sz w:val="16"/>
          <w:szCs w:val="16"/>
          <w:u w:val="single" w:color="auto"/>
          <w:color w:val="0000E1"/>
        </w:rPr>
        <w:t>any</w:t>
      </w:r>
      <w:r>
        <w:rPr>
          <w:rFonts w:ascii="Arial" w:cs="Arial" w:eastAsia="Arial" w:hAnsi="Arial"/>
          <w:sz w:val="16"/>
          <w:szCs w:val="16"/>
          <w:color w:val="000000"/>
        </w:rPr>
        <w:t xml:space="preserve"> related agreement or any document furnished hereunder or thereunder. </w:t>
      </w:r>
      <w:r>
        <w:rPr>
          <w:rFonts w:ascii="Arial" w:cs="Arial" w:eastAsia="Arial" w:hAnsi="Arial"/>
          <w:sz w:val="16"/>
          <w:szCs w:val="16"/>
          <w:color w:val="FF0000"/>
          <w:strike w:val="1"/>
        </w:rPr>
        <w:t>Each</w:t>
      </w:r>
      <w:r>
        <w:rPr>
          <w:rFonts w:ascii="Arial" w:cs="Arial" w:eastAsia="Arial" w:hAnsi="Arial"/>
          <w:sz w:val="16"/>
          <w:szCs w:val="16"/>
          <w:color w:val="000000"/>
        </w:rPr>
        <w:t xml:space="preserve"> </w:t>
      </w:r>
      <w:r>
        <w:rPr>
          <w:rFonts w:ascii="Arial" w:cs="Arial" w:eastAsia="Arial" w:hAnsi="Arial"/>
          <w:sz w:val="16"/>
          <w:szCs w:val="16"/>
          <w:u w:val="single" w:color="auto"/>
          <w:color w:val="0000E1"/>
        </w:rPr>
        <w:t>and to make such</w:t>
      </w:r>
      <w:r>
        <w:rPr>
          <w:rFonts w:ascii="Arial" w:cs="Arial" w:eastAsia="Arial" w:hAnsi="Arial"/>
          <w:sz w:val="16"/>
          <w:szCs w:val="16"/>
          <w:color w:val="000000"/>
        </w:rPr>
        <w:t xml:space="preserve"> </w:t>
      </w:r>
      <w:r>
        <w:rPr>
          <w:rFonts w:ascii="Arial" w:cs="Arial" w:eastAsia="Arial" w:hAnsi="Arial"/>
          <w:sz w:val="16"/>
          <w:szCs w:val="16"/>
          <w:u w:val="single" w:color="auto"/>
          <w:color w:val="0000E1"/>
        </w:rPr>
        <w:t>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the L/C Issuer for the purpose of making, acquiring or holding commercial loans and providing other facilities set forth herein as may be applicable to such Lender or the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the L/C Issuer, and either it, or the Person exercising discretion in making its decision to make, acquire and/or hold such commercial loans or to provide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-3162300</wp:posOffset>
            </wp:positionV>
            <wp:extent cx="69469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694690" cy="825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-3239770</wp:posOffset>
            </wp:positionV>
            <wp:extent cx="2857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5149215</wp:posOffset>
            </wp:positionH>
            <wp:positionV relativeFrom="paragraph">
              <wp:posOffset>-3162300</wp:posOffset>
            </wp:positionV>
            <wp:extent cx="42862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-3162300</wp:posOffset>
            </wp:positionV>
            <wp:extent cx="548640"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-3025140</wp:posOffset>
            </wp:positionV>
            <wp:extent cx="6883400"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-2887980</wp:posOffset>
            </wp:positionV>
            <wp:extent cx="688340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-2750820</wp:posOffset>
            </wp:positionV>
            <wp:extent cx="6703695"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-2613660</wp:posOffset>
            </wp:positionV>
            <wp:extent cx="68408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-2476500</wp:posOffset>
            </wp:positionV>
            <wp:extent cx="3840480"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-2202180</wp:posOffset>
            </wp:positionV>
            <wp:extent cx="156845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568450" cy="8255"/>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-2202180</wp:posOffset>
            </wp:positionV>
            <wp:extent cx="276034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6309995</wp:posOffset>
            </wp:positionH>
            <wp:positionV relativeFrom="paragraph">
              <wp:posOffset>-2279650</wp:posOffset>
            </wp:positionV>
            <wp:extent cx="28575"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-2065020</wp:posOffset>
            </wp:positionV>
            <wp:extent cx="75438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-2065020</wp:posOffset>
            </wp:positionV>
            <wp:extent cx="3446145"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3206115</wp:posOffset>
            </wp:positionH>
            <wp:positionV relativeFrom="paragraph">
              <wp:posOffset>-2099310</wp:posOffset>
            </wp:positionV>
            <wp:extent cx="3445510"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34455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-1927860</wp:posOffset>
            </wp:positionV>
            <wp:extent cx="97726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-1927860</wp:posOffset>
            </wp:positionV>
            <wp:extent cx="2168525"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-2005330</wp:posOffset>
            </wp:positionV>
            <wp:extent cx="2857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2741930</wp:posOffset>
            </wp:positionH>
            <wp:positionV relativeFrom="paragraph">
              <wp:posOffset>-1593850</wp:posOffset>
            </wp:positionV>
            <wp:extent cx="2857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-1242060</wp:posOffset>
            </wp:positionV>
            <wp:extent cx="136271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36271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-1104900</wp:posOffset>
            </wp:positionV>
            <wp:extent cx="16256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-1104900</wp:posOffset>
            </wp:positionV>
            <wp:extent cx="796925"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-967740</wp:posOffset>
            </wp:positionV>
            <wp:extent cx="6995160"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-830580</wp:posOffset>
            </wp:positionV>
            <wp:extent cx="679767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-693420</wp:posOffset>
            </wp:positionV>
            <wp:extent cx="695198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-556260</wp:posOffset>
            </wp:positionV>
            <wp:extent cx="6866255"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-419100</wp:posOffset>
            </wp:positionV>
            <wp:extent cx="6875145"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-281940</wp:posOffset>
            </wp:positionV>
            <wp:extent cx="6463665"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64636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-144780</wp:posOffset>
            </wp:positionV>
            <wp:extent cx="653224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-7620</wp:posOffset>
            </wp:positionV>
            <wp:extent cx="682371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128905</wp:posOffset>
            </wp:positionV>
            <wp:extent cx="1928495"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00"/>
          </w:cols>
          <w:pgMar w:left="440" w:top="274" w:right="459" w:bottom="1440" w:gutter="0" w:footer="0" w:header="0"/>
        </w:sectPr>
      </w:pPr>
    </w:p>
    <w:bookmarkStart w:id="195" w:name="page196"/>
    <w:bookmarkEnd w:id="195"/>
    <w:p>
      <w:pPr>
        <w:ind w:right="100"/>
        <w:spacing w:after="0" w:line="257" w:lineRule="auto"/>
        <w:rPr>
          <w:sz w:val="20"/>
          <w:szCs w:val="20"/>
          <w:color w:val="auto"/>
        </w:rPr>
      </w:pPr>
      <w:r>
        <w:rPr>
          <w:rFonts w:ascii="Arial" w:cs="Arial" w:eastAsia="Arial" w:hAnsi="Arial"/>
          <w:sz w:val="18"/>
          <w:szCs w:val="18"/>
          <w:u w:val="single" w:color="auto"/>
          <w:color w:val="0000E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facilities, is experienced in making, acquiring or holding such commercial loans or providing such other facilities. Each</w:t>
      </w:r>
      <w:r>
        <w:rPr>
          <w:rFonts w:ascii="Arial" w:cs="Arial" w:eastAsia="Arial" w:hAnsi="Arial"/>
          <w:sz w:val="18"/>
          <w:szCs w:val="18"/>
          <w:color w:val="0000E1"/>
        </w:rPr>
        <w:t xml:space="preserve"> </w:t>
      </w:r>
      <w:r>
        <w:rPr>
          <w:rFonts w:ascii="Arial" w:cs="Arial" w:eastAsia="Arial" w:hAnsi="Arial"/>
          <w:sz w:val="18"/>
          <w:szCs w:val="18"/>
          <w:color w:val="000000"/>
        </w:rPr>
        <w:t>Lender as of the Closing Date</w:t>
      </w:r>
      <w:r>
        <w:rPr>
          <w:rFonts w:ascii="Arial" w:cs="Arial" w:eastAsia="Arial" w:hAnsi="Arial"/>
          <w:sz w:val="18"/>
          <w:szCs w:val="18"/>
          <w:color w:val="0000E1"/>
        </w:rPr>
        <w:t xml:space="preserve"> </w:t>
      </w:r>
      <w:r>
        <w:rPr>
          <w:rFonts w:ascii="Arial" w:cs="Arial" w:eastAsia="Arial" w:hAnsi="Arial"/>
          <w:sz w:val="18"/>
          <w:szCs w:val="18"/>
          <w:color w:val="000000"/>
        </w:rPr>
        <w:t>represents and warrants as of the Closing Date to the Administrative Agent and its Affiliates, and not, for the avoidance of doubt, for the benefit of the Borrower or any other Loan Party, that such Lender is not and will not be (1) an employee benefit plan subject to title I of ERISA; (2) a plan or account subject to Section 4975 of the Code; (3) an entity deemed to hold “plan assets” of any such plans or accounts for purposes of ERISA or the Code; or (4) a “governmental plan” within the meaning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-548005</wp:posOffset>
            </wp:positionV>
            <wp:extent cx="5494655"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5494655" cy="8890"/>
                    </a:xfrm>
                    <a:prstGeom prst="rect">
                      <a:avLst/>
                    </a:prstGeom>
                    <a:noFill/>
                  </pic:spPr>
                </pic:pic>
              </a:graphicData>
            </a:graphic>
          </wp:anchor>
        </w:drawing>
      </w:r>
    </w:p>
    <w:p>
      <w:pPr>
        <w:spacing w:after="0" w:line="168"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i w:val="1"/>
          <w:iCs w:val="1"/>
          <w:color w:val="auto"/>
        </w:rPr>
        <w:t>Name Agents</w:t>
      </w:r>
      <w:r>
        <w:rPr>
          <w:rFonts w:ascii="Arial" w:cs="Arial" w:eastAsia="Arial" w:hAnsi="Arial"/>
          <w:sz w:val="18"/>
          <w:szCs w:val="18"/>
          <w:i w:val="1"/>
          <w:iCs w:val="1"/>
          <w:u w:val="single" w:color="auto"/>
          <w:color w:val="0000E1"/>
        </w:rPr>
        <w:t>; No Other Duties, Etc.</w:t>
      </w:r>
      <w:r>
        <w:rPr>
          <w:rFonts w:ascii="Arial" w:cs="Arial" w:eastAsia="Arial" w:hAnsi="Arial"/>
          <w:sz w:val="18"/>
          <w:szCs w:val="18"/>
          <w:color w:val="auto"/>
        </w:rPr>
        <w:t xml:space="preserve">. The parties hereto acknowledge that the Arrangers hold such title in name only, and that such title confers no additional rights or obligations relative to those conferred on any Lender or the L/C Issuer hereunder. </w:t>
      </w:r>
      <w:r>
        <w:rPr>
          <w:rFonts w:ascii="Arial" w:cs="Arial" w:eastAsia="Arial" w:hAnsi="Arial"/>
          <w:sz w:val="18"/>
          <w:szCs w:val="18"/>
          <w:u w:val="single" w:color="auto"/>
          <w:color w:val="0000E1"/>
        </w:rPr>
        <w:t>Anything herein to the contrary</w:t>
      </w:r>
      <w:r>
        <w:rPr>
          <w:rFonts w:ascii="Arial" w:cs="Arial" w:eastAsia="Arial" w:hAnsi="Arial"/>
          <w:sz w:val="18"/>
          <w:szCs w:val="18"/>
          <w:color w:val="auto"/>
        </w:rPr>
        <w:t xml:space="preserve"> </w:t>
      </w:r>
      <w:r>
        <w:rPr>
          <w:rFonts w:ascii="Arial" w:cs="Arial" w:eastAsia="Arial" w:hAnsi="Arial"/>
          <w:sz w:val="18"/>
          <w:szCs w:val="18"/>
          <w:u w:val="single" w:color="auto"/>
          <w:color w:val="0000E1"/>
        </w:rPr>
        <w:t>notwithstanding, none of the Bookrunners, Arrangers, Syndication Agent or Co-Documentation Agents listed on the cover page hereof shall have any powers, duties or responsibilities under this Agreement or any of the other Loan Documents, except in its capacity, as applicable, as the Administrative Agent, a Lender or the L/C Issuer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-548005</wp:posOffset>
            </wp:positionV>
            <wp:extent cx="1054100"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-410845</wp:posOffset>
            </wp:positionV>
            <wp:extent cx="144018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4401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84911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6849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90054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2048510"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8"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 xml:space="preserve">Section 11.9 </w:t>
      </w:r>
      <w:r>
        <w:rPr>
          <w:rFonts w:ascii="Arial" w:cs="Arial" w:eastAsia="Arial" w:hAnsi="Arial"/>
          <w:sz w:val="17"/>
          <w:szCs w:val="17"/>
          <w:i w:val="1"/>
          <w:iCs w:val="1"/>
          <w:color w:val="auto"/>
        </w:rPr>
        <w:t>Withholding Taxes</w:t>
      </w:r>
      <w:r>
        <w:rPr>
          <w:rFonts w:ascii="Arial" w:cs="Arial" w:eastAsia="Arial" w:hAnsi="Arial"/>
          <w:sz w:val="17"/>
          <w:szCs w:val="17"/>
          <w:color w:val="auto"/>
        </w:rPr>
        <w:t xml:space="preserve">. To the extent required by any applicable law, the Administrative Agent may withhold from any payment to any Lender or L/C Issuer an amount equivalent to any applicable withholding </w:t>
      </w:r>
      <w:r>
        <w:rPr>
          <w:rFonts w:ascii="Arial" w:cs="Arial" w:eastAsia="Arial" w:hAnsi="Arial"/>
          <w:sz w:val="17"/>
          <w:szCs w:val="17"/>
          <w:color w:val="FF0000"/>
          <w:strike w:val="1"/>
        </w:rPr>
        <w:t>T</w:t>
      </w:r>
      <w:r>
        <w:rPr>
          <w:rFonts w:ascii="Arial" w:cs="Arial" w:eastAsia="Arial" w:hAnsi="Arial"/>
          <w:sz w:val="17"/>
          <w:szCs w:val="17"/>
          <w:u w:val="single" w:color="auto"/>
          <w:color w:val="0000E1"/>
        </w:rPr>
        <w:t>t</w:t>
      </w:r>
      <w:r>
        <w:rPr>
          <w:rFonts w:ascii="Arial" w:cs="Arial" w:eastAsia="Arial" w:hAnsi="Arial"/>
          <w:sz w:val="17"/>
          <w:szCs w:val="17"/>
          <w:color w:val="auto"/>
        </w:rPr>
        <w:t xml:space="preserve">ax. If the Internal Revenue Service or any other governmental authority asserts a claim that the Administrative Agent did not properly withhold </w:t>
      </w:r>
      <w:r>
        <w:rPr>
          <w:rFonts w:ascii="Arial" w:cs="Arial" w:eastAsia="Arial" w:hAnsi="Arial"/>
          <w:sz w:val="17"/>
          <w:szCs w:val="17"/>
          <w:color w:val="FF0000"/>
          <w:strike w:val="1"/>
        </w:rPr>
        <w:t>T</w:t>
      </w:r>
      <w:r>
        <w:rPr>
          <w:rFonts w:ascii="Arial" w:cs="Arial" w:eastAsia="Arial" w:hAnsi="Arial"/>
          <w:sz w:val="17"/>
          <w:szCs w:val="17"/>
          <w:u w:val="single" w:color="auto"/>
          <w:color w:val="0000E1"/>
        </w:rPr>
        <w:t>t</w:t>
      </w:r>
      <w:r>
        <w:rPr>
          <w:rFonts w:ascii="Arial" w:cs="Arial" w:eastAsia="Arial" w:hAnsi="Arial"/>
          <w:sz w:val="17"/>
          <w:szCs w:val="17"/>
          <w:color w:val="auto"/>
        </w:rPr>
        <w:t xml:space="preserve">ax from amounts paid to or for the account of any Lender or L/C Issuer because the appropriate form was not delivered or was not properly executed or because such Lender or L/C Issuer failed to notify the Administrative Agent of a change in circumstance which rendered the exemption from, or reduction of, withholding </w:t>
      </w:r>
      <w:r>
        <w:rPr>
          <w:rFonts w:ascii="Arial" w:cs="Arial" w:eastAsia="Arial" w:hAnsi="Arial"/>
          <w:sz w:val="17"/>
          <w:szCs w:val="17"/>
          <w:color w:val="FF0000"/>
          <w:strike w:val="1"/>
        </w:rPr>
        <w:t>T</w:t>
      </w:r>
      <w:r>
        <w:rPr>
          <w:rFonts w:ascii="Arial" w:cs="Arial" w:eastAsia="Arial" w:hAnsi="Arial"/>
          <w:sz w:val="17"/>
          <w:szCs w:val="17"/>
          <w:u w:val="single" w:color="auto"/>
          <w:color w:val="0000E1"/>
        </w:rPr>
        <w:t>t</w:t>
      </w:r>
      <w:r>
        <w:rPr>
          <w:rFonts w:ascii="Arial" w:cs="Arial" w:eastAsia="Arial" w:hAnsi="Arial"/>
          <w:sz w:val="17"/>
          <w:szCs w:val="17"/>
          <w:color w:val="auto"/>
        </w:rPr>
        <w:t xml:space="preserve">ax ineffective or for any other reason, or if Administrative Agent reasonably determines that a payment was made to a Lender or L/C Issuer pursuant to this Agreement without deduction of applicable withholding tax from such payment, such Lender or L/C Issuer shall indemnify the Administrative Agent fully for all amounts paid, directly or indirectly, by the Administrative Agent as </w:t>
      </w:r>
      <w:r>
        <w:rPr>
          <w:rFonts w:ascii="Arial" w:cs="Arial" w:eastAsia="Arial" w:hAnsi="Arial"/>
          <w:sz w:val="17"/>
          <w:szCs w:val="17"/>
          <w:color w:val="FF0000"/>
          <w:strike w:val="1"/>
        </w:rPr>
        <w:t>T</w:t>
      </w:r>
      <w:r>
        <w:rPr>
          <w:rFonts w:ascii="Arial" w:cs="Arial" w:eastAsia="Arial" w:hAnsi="Arial"/>
          <w:sz w:val="17"/>
          <w:szCs w:val="17"/>
          <w:u w:val="single" w:color="auto"/>
          <w:color w:val="0000E1"/>
        </w:rPr>
        <w:t>t</w:t>
      </w:r>
      <w:r>
        <w:rPr>
          <w:rFonts w:ascii="Arial" w:cs="Arial" w:eastAsia="Arial" w:hAnsi="Arial"/>
          <w:sz w:val="17"/>
          <w:szCs w:val="17"/>
          <w:color w:val="auto"/>
        </w:rPr>
        <w:t>ax or otherwise, including any penalties or interest and together with all expenses (including legal expenses, allocated internal costs and out-of-pocket expenses)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-1178560</wp:posOffset>
            </wp:positionV>
            <wp:extent cx="28575"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-963930</wp:posOffset>
            </wp:positionV>
            <wp:extent cx="3429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-1041400</wp:posOffset>
            </wp:positionV>
            <wp:extent cx="2857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-826770</wp:posOffset>
            </wp:positionV>
            <wp:extent cx="254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-552450</wp:posOffset>
            </wp:positionV>
            <wp:extent cx="34290"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-140970</wp:posOffset>
            </wp:positionV>
            <wp:extent cx="3429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69"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11.10</w:t>
      </w:r>
      <w:r>
        <w:rPr>
          <w:sz w:val="20"/>
          <w:szCs w:val="20"/>
          <w:color w:val="auto"/>
        </w:rPr>
        <w:tab/>
      </w:r>
      <w:r>
        <w:rPr>
          <w:rFonts w:ascii="Arial" w:cs="Arial" w:eastAsia="Arial" w:hAnsi="Arial"/>
          <w:sz w:val="16"/>
          <w:szCs w:val="16"/>
          <w:i w:val="1"/>
          <w:iCs w:val="1"/>
          <w:color w:val="auto"/>
        </w:rPr>
        <w:t>Lender’s Representations, Warranties and Acknowledgements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88" w:lineRule="auto"/>
        <w:tabs>
          <w:tab w:leader="none" w:pos="1371" w:val="left"/>
        </w:tabs>
        <w:numPr>
          <w:ilvl w:val="0"/>
          <w:numId w:val="247"/>
        </w:numPr>
        <w:rPr>
          <w:rFonts w:ascii="Arial" w:cs="Arial" w:eastAsia="Arial" w:hAnsi="Arial"/>
          <w:sz w:val="16"/>
          <w:szCs w:val="16"/>
          <w:color w:val="auto"/>
        </w:rPr>
      </w:pPr>
      <w:r>
        <w:rPr>
          <w:rFonts w:ascii="Arial" w:cs="Arial" w:eastAsia="Arial" w:hAnsi="Arial"/>
          <w:sz w:val="16"/>
          <w:szCs w:val="16"/>
          <w:color w:val="auto"/>
        </w:rPr>
        <w:t>Each Lender has made its own independent investigation of the financial condition and affairs of Holdings and its Subsidiaries in connection with Credit Events hereunder and has made and shall continue to make its own appraisal of the creditworthiness of Holdings and its Subsidiaries. No Agent shall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no Agent shall have any responsibility with respect to the accuracy of or the completeness of any information provided to the Lenders. Each Lender and L/C Issuer acknowledges that no Agent or Related Person of any Agent has made any representation or warranty to it. Except for documents expressly required by any Loan Document to be transmitted by an Agent to the Lenders or L/C Issuer, no Agent shall have any duty or responsibility (either express or implied) to provide any Lender or L/C Issuer with any credit or other information concerning any Loan Party, including the business, prospects, operations, property, financial and other condition or creditworthiness of any Loan Party or any Affiliate of a Loan Party, that may come in to the possession of an Agent or any of its Related Persons.</w:t>
      </w:r>
    </w:p>
    <w:p>
      <w:pPr>
        <w:spacing w:after="0" w:line="168" w:lineRule="exact"/>
        <w:rPr>
          <w:rFonts w:ascii="Arial" w:cs="Arial" w:eastAsia="Arial" w:hAnsi="Arial"/>
          <w:sz w:val="16"/>
          <w:szCs w:val="16"/>
          <w:color w:val="auto"/>
        </w:rPr>
      </w:pPr>
    </w:p>
    <w:p>
      <w:pPr>
        <w:jc w:val="both"/>
        <w:ind w:right="280" w:firstLine="987"/>
        <w:spacing w:after="0" w:line="263" w:lineRule="auto"/>
        <w:tabs>
          <w:tab w:leader="none" w:pos="138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Each Lender, by delivering its signature page to this Agreement or an Assignment and Assumption and funding its Loan, shall be deemed to have acknowledged receipt of, and consented to and approved, each Loan Document and each other document required to be approved by any Agent, the Required Lenders or the Lenders, as applicable,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-1588135</wp:posOffset>
            </wp:positionV>
            <wp:extent cx="28575"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-1039495</wp:posOffset>
            </wp:positionV>
            <wp:extent cx="28575"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00"/>
          </w:cols>
          <w:pgMar w:left="440" w:top="274" w:right="459" w:bottom="1440" w:gutter="0" w:footer="0" w:header="0"/>
        </w:sectPr>
      </w:pPr>
    </w:p>
    <w:bookmarkStart w:id="196" w:name="page197"/>
    <w:bookmarkEnd w:id="196"/>
    <w:p>
      <w:pPr>
        <w:ind w:left="444"/>
        <w:spacing w:after="0"/>
        <w:tabs>
          <w:tab w:leader="none" w:pos="15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11.11</w:t>
      </w:r>
      <w:r>
        <w:rPr>
          <w:sz w:val="20"/>
          <w:szCs w:val="20"/>
          <w:color w:val="auto"/>
        </w:rPr>
        <w:tab/>
      </w:r>
      <w:r>
        <w:rPr>
          <w:rFonts w:ascii="Arial" w:cs="Arial" w:eastAsia="Arial" w:hAnsi="Arial"/>
          <w:sz w:val="16"/>
          <w:szCs w:val="16"/>
          <w:i w:val="1"/>
          <w:iCs w:val="1"/>
          <w:color w:val="auto"/>
        </w:rPr>
        <w:t>Collateral Documents and Guaranty</w:t>
      </w:r>
      <w:r>
        <w:rPr>
          <w:rFonts w:ascii="Arial" w:cs="Arial" w:eastAsia="Arial" w:hAnsi="Arial"/>
          <w:sz w:val="16"/>
          <w:szCs w:val="16"/>
          <w:color w:val="auto"/>
        </w:rPr>
        <w:t>.</w:t>
      </w:r>
    </w:p>
    <w:p>
      <w:pPr>
        <w:spacing w:after="0" w:line="117" w:lineRule="exact"/>
        <w:rPr>
          <w:sz w:val="20"/>
          <w:szCs w:val="20"/>
          <w:color w:val="auto"/>
        </w:rPr>
      </w:pPr>
    </w:p>
    <w:p>
      <w:pPr>
        <w:ind w:left="4" w:right="20" w:firstLine="987"/>
        <w:spacing w:after="0" w:line="287" w:lineRule="auto"/>
        <w:tabs>
          <w:tab w:leader="none" w:pos="1375" w:val="left"/>
        </w:tabs>
        <w:numPr>
          <w:ilvl w:val="1"/>
          <w:numId w:val="248"/>
        </w:numPr>
        <w:rPr>
          <w:rFonts w:ascii="Arial" w:cs="Arial" w:eastAsia="Arial" w:hAnsi="Arial"/>
          <w:sz w:val="16"/>
          <w:szCs w:val="16"/>
          <w:color w:val="auto"/>
        </w:rPr>
      </w:pPr>
      <w:r>
        <w:rPr>
          <w:rFonts w:ascii="Arial" w:cs="Arial" w:eastAsia="Arial" w:hAnsi="Arial"/>
          <w:sz w:val="16"/>
          <w:szCs w:val="16"/>
          <w:i w:val="1"/>
          <w:iCs w:val="1"/>
          <w:color w:val="auto"/>
        </w:rPr>
        <w:t>Agents under Collateral Documents and Guaranty</w:t>
      </w:r>
      <w:r>
        <w:rPr>
          <w:rFonts w:ascii="Arial" w:cs="Arial" w:eastAsia="Arial" w:hAnsi="Arial"/>
          <w:sz w:val="16"/>
          <w:szCs w:val="16"/>
          <w:color w:val="auto"/>
        </w:rPr>
        <w:t>. Each Secured Creditor hereby further authorizes the Administrative Agent 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Collateral Agent, as applicable, on behalf of and for the benefit of the Secured Creditors, to be the agent for and representative of the Secured Creditors with respect to the Security Agreement, the Collateral and the Loan Documents; provided that neither the Administrative Agent nor the Collateral Agent shall owe any fiduciary duty, duty of loyalty, duty of care, duty of disclosure or any other obligation whatsoever to any holder of Obligations with respect to any agreement governing any Hedging Liability. Subject to </w:t>
      </w:r>
      <w:r>
        <w:rPr>
          <w:rFonts w:ascii="Arial" w:cs="Arial" w:eastAsia="Arial" w:hAnsi="Arial"/>
          <w:sz w:val="16"/>
          <w:szCs w:val="16"/>
          <w:u w:val="single" w:color="auto"/>
          <w:color w:val="auto"/>
        </w:rPr>
        <w:t>Section 13.13</w:t>
      </w:r>
      <w:r>
        <w:rPr>
          <w:rFonts w:ascii="Arial" w:cs="Arial" w:eastAsia="Arial" w:hAnsi="Arial"/>
          <w:sz w:val="16"/>
          <w:szCs w:val="16"/>
          <w:color w:val="auto"/>
        </w:rPr>
        <w:t xml:space="preserve">, without further written consent or authorization from any Secured Creditor, the Administrative Agent or the Collateral Agent, as applicable, may execute any documents or instruments necessary or otherwise advisable or customary to (i) in connection with a sale or disposition of assets permitted by this Agreement, evidence the release any Lien encumbering any item of Collateral that is the subject of such sale, transfer, lease or other disposition of assets or to which the Required Lenders (or such other Lenders as may be required to give such consent under </w:t>
      </w:r>
      <w:r>
        <w:rPr>
          <w:rFonts w:ascii="Arial" w:cs="Arial" w:eastAsia="Arial" w:hAnsi="Arial"/>
          <w:sz w:val="16"/>
          <w:szCs w:val="16"/>
          <w:u w:val="single" w:color="auto"/>
          <w:color w:val="auto"/>
        </w:rPr>
        <w:t>Section 13.13</w:t>
      </w:r>
      <w:r>
        <w:rPr>
          <w:rFonts w:ascii="Arial" w:cs="Arial" w:eastAsia="Arial" w:hAnsi="Arial"/>
          <w:sz w:val="16"/>
          <w:szCs w:val="16"/>
          <w:color w:val="auto"/>
        </w:rPr>
        <w:t xml:space="preserve">) have otherwise consented in accordance with </w:t>
      </w:r>
      <w:r>
        <w:rPr>
          <w:rFonts w:ascii="Arial" w:cs="Arial" w:eastAsia="Arial" w:hAnsi="Arial"/>
          <w:sz w:val="16"/>
          <w:szCs w:val="16"/>
          <w:u w:val="single" w:color="auto"/>
          <w:color w:val="auto"/>
        </w:rPr>
        <w:t>Section 13.13</w:t>
      </w:r>
      <w:r>
        <w:rPr>
          <w:rFonts w:ascii="Arial" w:cs="Arial" w:eastAsia="Arial" w:hAnsi="Arial"/>
          <w:sz w:val="16"/>
          <w:szCs w:val="16"/>
          <w:color w:val="auto"/>
        </w:rPr>
        <w:t xml:space="preserve"> or (ii) evidence the release any Guarantor from the Security Agreement pursuant to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or with respect to which the Required Lenders (or such other Lenders as may be required to give such consent under </w:t>
      </w:r>
      <w:r>
        <w:rPr>
          <w:rFonts w:ascii="Arial" w:cs="Arial" w:eastAsia="Arial" w:hAnsi="Arial"/>
          <w:sz w:val="16"/>
          <w:szCs w:val="16"/>
          <w:u w:val="single" w:color="auto"/>
          <w:color w:val="auto"/>
        </w:rPr>
        <w:t>Section 13.13</w:t>
      </w:r>
      <w:r>
        <w:rPr>
          <w:rFonts w:ascii="Arial" w:cs="Arial" w:eastAsia="Arial" w:hAnsi="Arial"/>
          <w:sz w:val="16"/>
          <w:szCs w:val="16"/>
          <w:color w:val="auto"/>
        </w:rPr>
        <w:t xml:space="preserve">) have otherwise consented in accordance with </w:t>
      </w:r>
      <w:r>
        <w:rPr>
          <w:rFonts w:ascii="Arial" w:cs="Arial" w:eastAsia="Arial" w:hAnsi="Arial"/>
          <w:sz w:val="16"/>
          <w:szCs w:val="16"/>
          <w:u w:val="single" w:color="auto"/>
          <w:color w:val="auto"/>
        </w:rPr>
        <w:t>Section 13.13</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left="4" w:firstLine="987"/>
        <w:spacing w:after="0" w:line="284" w:lineRule="auto"/>
        <w:tabs>
          <w:tab w:leader="none" w:pos="1385" w:val="left"/>
        </w:tabs>
        <w:numPr>
          <w:ilvl w:val="1"/>
          <w:numId w:val="248"/>
        </w:numPr>
        <w:rPr>
          <w:rFonts w:ascii="Arial" w:cs="Arial" w:eastAsia="Arial" w:hAnsi="Arial"/>
          <w:sz w:val="16"/>
          <w:szCs w:val="16"/>
          <w:color w:val="auto"/>
        </w:rPr>
      </w:pPr>
      <w:r>
        <w:rPr>
          <w:rFonts w:ascii="Arial" w:cs="Arial" w:eastAsia="Arial" w:hAnsi="Arial"/>
          <w:sz w:val="16"/>
          <w:szCs w:val="16"/>
          <w:i w:val="1"/>
          <w:iCs w:val="1"/>
          <w:color w:val="auto"/>
        </w:rPr>
        <w:t>Right to Realize on Collateral and Enforce Guaranty</w:t>
      </w:r>
      <w:r>
        <w:rPr>
          <w:rFonts w:ascii="Arial" w:cs="Arial" w:eastAsia="Arial" w:hAnsi="Arial"/>
          <w:sz w:val="16"/>
          <w:szCs w:val="16"/>
          <w:color w:val="auto"/>
        </w:rPr>
        <w:t>. Anything contained in any of the Loan Documents to the contrary</w:t>
      </w:r>
      <w:r>
        <w:rPr>
          <w:rFonts w:ascii="Arial" w:cs="Arial" w:eastAsia="Arial" w:hAnsi="Arial"/>
          <w:sz w:val="16"/>
          <w:szCs w:val="16"/>
          <w:i w:val="1"/>
          <w:iCs w:val="1"/>
          <w:color w:val="auto"/>
        </w:rPr>
        <w:t xml:space="preserve"> </w:t>
      </w:r>
      <w:r>
        <w:rPr>
          <w:rFonts w:ascii="Arial" w:cs="Arial" w:eastAsia="Arial" w:hAnsi="Arial"/>
          <w:sz w:val="16"/>
          <w:szCs w:val="16"/>
          <w:color w:val="auto"/>
        </w:rPr>
        <w:t>notwithstanding, the Borrower, the Administrative Agent, the Collateral Agent and each Secured Creditor hereby agree that (i) no Secured Creditor shall have any right individually to realize upon any of the Collateral or to enforce the Security Agreement, it being understood and agreed that all powers, rights and remedies hereunder and under any of the Loan Documents may be exercised solely by the Administrative Agent or the Collateral Agent, as applicable, for the benefit of the Secured Creditors in accordance with the terms hereof and thereof and all powers, rights and remedies under the Collateral Documents may be exercised solely by the Collateral Agent for the benefit of the Secured Creditors in accordance with the terms thereof, and</w:t>
      </w:r>
    </w:p>
    <w:p>
      <w:pPr>
        <w:spacing w:after="0" w:line="4" w:lineRule="exact"/>
        <w:rPr>
          <w:rFonts w:ascii="Arial" w:cs="Arial" w:eastAsia="Arial" w:hAnsi="Arial"/>
          <w:sz w:val="16"/>
          <w:szCs w:val="16"/>
          <w:color w:val="auto"/>
        </w:rPr>
      </w:pPr>
    </w:p>
    <w:p>
      <w:pPr>
        <w:ind w:left="4" w:right="160" w:hanging="4"/>
        <w:spacing w:after="0" w:line="268" w:lineRule="auto"/>
        <w:tabs>
          <w:tab w:leader="none" w:pos="269" w:val="left"/>
        </w:tabs>
        <w:numPr>
          <w:ilvl w:val="0"/>
          <w:numId w:val="249"/>
        </w:numPr>
        <w:rPr>
          <w:rFonts w:ascii="Arial" w:cs="Arial" w:eastAsia="Arial" w:hAnsi="Arial"/>
          <w:sz w:val="17"/>
          <w:szCs w:val="17"/>
          <w:color w:val="auto"/>
        </w:rPr>
      </w:pPr>
      <w:r>
        <w:rPr>
          <w:rFonts w:ascii="Arial" w:cs="Arial" w:eastAsia="Arial" w:hAnsi="Arial"/>
          <w:sz w:val="17"/>
          <w:szCs w:val="17"/>
          <w:color w:val="auto"/>
        </w:rPr>
        <w:t>in the event of a foreclosure or similar enforcement action by the Collateral Agent on any of the Collateral pursuant to a public or private sale or other disposition (including, without limitation, pursuant to Section 363(k), Section 1129(b)(2)(a)(ii) or otherwise of the Bankruptcy Code), the Collateral Agent (or any Lender, except with respect to a “credit bid” pursuant to Section 363(k), Section 1129(b)(2)(a)(ii) or otherwise of the Bankruptcy Code) may be the purchaser or licensor of any or all of such Collateral at any such sale or other disposition and the Collateral Agent, as agent for and representative of the Secured Creditors (but not any Lender or Lenders in its or their respective individual capacities) shall be entitled, upon instructions from the Required Lenders,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the Collateral Agent at such sale or other disposition.</w:t>
      </w:r>
    </w:p>
    <w:p>
      <w:pPr>
        <w:spacing w:after="0" w:line="183" w:lineRule="exact"/>
        <w:rPr>
          <w:rFonts w:ascii="Arial" w:cs="Arial" w:eastAsia="Arial" w:hAnsi="Arial"/>
          <w:sz w:val="17"/>
          <w:szCs w:val="17"/>
          <w:color w:val="auto"/>
        </w:rPr>
      </w:pPr>
    </w:p>
    <w:p>
      <w:pPr>
        <w:ind w:left="1364" w:hanging="373"/>
        <w:spacing w:after="0"/>
        <w:tabs>
          <w:tab w:leader="none" w:pos="1364" w:val="left"/>
        </w:tabs>
        <w:numPr>
          <w:ilvl w:val="1"/>
          <w:numId w:val="249"/>
        </w:numPr>
        <w:rPr>
          <w:rFonts w:ascii="Arial" w:cs="Arial" w:eastAsia="Arial" w:hAnsi="Arial"/>
          <w:sz w:val="18"/>
          <w:szCs w:val="18"/>
          <w:color w:val="auto"/>
        </w:rPr>
      </w:pPr>
      <w:r>
        <w:rPr>
          <w:rFonts w:ascii="Arial" w:cs="Arial" w:eastAsia="Arial" w:hAnsi="Arial"/>
          <w:sz w:val="18"/>
          <w:szCs w:val="18"/>
          <w:i w:val="1"/>
          <w:iCs w:val="1"/>
          <w:color w:val="auto"/>
        </w:rPr>
        <w:t>Release of Collateral and Guarantees, Termination of Loan Documents; Subordination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0" w:firstLine="1428"/>
        <w:spacing w:after="0" w:line="254" w:lineRule="auto"/>
        <w:tabs>
          <w:tab w:leader="none" w:pos="1786" w:val="left"/>
        </w:tabs>
        <w:numPr>
          <w:ilvl w:val="2"/>
          <w:numId w:val="24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or in any other Loan Document, (a) the Collateral Agent’s security interest in any Collateral shall be released upon, and the Collateral Agent shall (without notice to, or vote or consent of, any Lender, or any affiliate of any Lender that is a party to any agreement governing any Hedging Liability) take such actions as shall be required or otherwise advisable or customary to evidence the release of its security interest in any Collateral subject to, any sale, transfer, lease or other disposition of such Collateral (or owned by a Guarantor that is subject to any such sale, transfer, lease or other disposition) permitted by the Loan Documents or to which the Required Lenders (or such other Lenders as may be required to give such consent under </w:t>
      </w:r>
      <w:r>
        <w:rPr>
          <w:rFonts w:ascii="Arial" w:cs="Arial" w:eastAsia="Arial" w:hAnsi="Arial"/>
          <w:sz w:val="18"/>
          <w:szCs w:val="18"/>
          <w:u w:val="single" w:color="auto"/>
          <w:color w:val="auto"/>
        </w:rPr>
        <w:t>Section 13.13</w:t>
      </w:r>
      <w:r>
        <w:rPr>
          <w:rFonts w:ascii="Arial" w:cs="Arial" w:eastAsia="Arial" w:hAnsi="Arial"/>
          <w:sz w:val="18"/>
          <w:szCs w:val="18"/>
          <w:color w:val="auto"/>
        </w:rPr>
        <w:t xml:space="preserve">) have consented in accordance with </w:t>
      </w:r>
      <w:r>
        <w:rPr>
          <w:rFonts w:ascii="Arial" w:cs="Arial" w:eastAsia="Arial" w:hAnsi="Arial"/>
          <w:sz w:val="18"/>
          <w:szCs w:val="18"/>
          <w:u w:val="single" w:color="auto"/>
          <w:color w:val="auto"/>
        </w:rPr>
        <w:t>Section 13.13</w:t>
      </w:r>
      <w:r>
        <w:rPr>
          <w:rFonts w:ascii="Arial" w:cs="Arial" w:eastAsia="Arial" w:hAnsi="Arial"/>
          <w:sz w:val="18"/>
          <w:szCs w:val="18"/>
          <w:color w:val="auto"/>
        </w:rPr>
        <w:t>, (b) any guarantee obligations under any Loan Document</w:t>
      </w:r>
    </w:p>
    <w:p>
      <w:pPr>
        <w:spacing w:after="0" w:line="1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984"/>
          </w:cols>
          <w:pgMar w:left="436" w:top="274" w:right="479" w:bottom="1440" w:gutter="0" w:footer="0" w:header="0"/>
        </w:sectPr>
      </w:pPr>
    </w:p>
    <w:bookmarkStart w:id="197" w:name="page198"/>
    <w:bookmarkEnd w:id="197"/>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shall be released upon, and the Collateral Agent shall (without notice to, or vote or consent of, any Lender, or any affiliate of any Lender that is a party to any agreement governing any Hedging Liability) take such actions as shall be required or otherwise advisable or customary to evidence the release of any guarantee obligations under any Loan Document of any person subject to, any such sale, transfer, lease or other disposition.</w:t>
      </w:r>
    </w:p>
    <w:p>
      <w:pPr>
        <w:spacing w:after="0" w:line="165" w:lineRule="exact"/>
        <w:rPr>
          <w:sz w:val="20"/>
          <w:szCs w:val="20"/>
          <w:color w:val="auto"/>
        </w:rPr>
      </w:pPr>
    </w:p>
    <w:p>
      <w:pPr>
        <w:ind w:right="60" w:firstLine="1428"/>
        <w:spacing w:after="0" w:line="287" w:lineRule="auto"/>
        <w:tabs>
          <w:tab w:leader="none" w:pos="183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or any other Loan Document, when all Obligations (other than obligations in respect of any agreement governing any Hedging Liability) have been paid in full and all Commitments have terminated or expired, the Collateral Agent’s security interest in any Collateral and all guarantee obligations provided for in any Loan Document shall be released and, upon request of the Borrower, the Collateral Agent shall (without notice to, or vote or consent of, any Lender, or any affiliate of any Lender that is a party to any agreement governing any Hedging Liability) take such actions as shall be required or otherwise advisable or customary to evidence the release its security interest in all Collateral, and to release all guarantee obligations provided for in any Loan Document, whether or not on the date of such release there may be outstanding Obligations in respect of any agreement governing any Hedging Liability. Any such release of guarantee obligations shall be deemed subject to the provision that such guarantee obligations shall be reinstated if after such release any portion of any payment in respect of the Obligations guaranteed thereby shall be rescinded or must otherwise be restored or returned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w:t>
      </w:r>
    </w:p>
    <w:p>
      <w:pPr>
        <w:spacing w:after="0" w:line="171" w:lineRule="exact"/>
        <w:rPr>
          <w:rFonts w:ascii="Arial" w:cs="Arial" w:eastAsia="Arial" w:hAnsi="Arial"/>
          <w:sz w:val="16"/>
          <w:szCs w:val="16"/>
          <w:color w:val="auto"/>
        </w:rPr>
      </w:pPr>
    </w:p>
    <w:p>
      <w:pPr>
        <w:ind w:right="60" w:firstLine="1428"/>
        <w:spacing w:after="0" w:line="254" w:lineRule="auto"/>
        <w:tabs>
          <w:tab w:leader="none" w:pos="188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or in any other Loan Document, the Administrative Agent and the Collateral Agent are hereby authorized to, and shall (without notice to, or vote or consent of, any Lender, or any affiliate of any Lender that is a party to any agreement governing any Hedging Liability) (a) subordinate any Lien granted to the Collateral Agent for the benefit of the Lenders to any Liens permitted by </w:t>
      </w:r>
      <w:r>
        <w:rPr>
          <w:rFonts w:ascii="Arial" w:cs="Arial" w:eastAsia="Arial" w:hAnsi="Arial"/>
          <w:sz w:val="18"/>
          <w:szCs w:val="18"/>
          <w:u w:val="single" w:color="auto"/>
          <w:color w:val="auto"/>
        </w:rPr>
        <w:t>Sections 8.8 (a)</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(to the extent the relevant Lien is of the type to which the Lien of the Administrative Agent is otherwise required to be subordinated under this </w:t>
      </w:r>
      <w:r>
        <w:rPr>
          <w:rFonts w:ascii="Arial" w:cs="Arial" w:eastAsia="Arial" w:hAnsi="Arial"/>
          <w:sz w:val="18"/>
          <w:szCs w:val="18"/>
          <w:u w:val="single" w:color="auto"/>
          <w:color w:val="auto"/>
        </w:rPr>
        <w:t>clause (c)(iii)</w:t>
      </w:r>
      <w:r>
        <w:rPr>
          <w:rFonts w:ascii="Arial" w:cs="Arial" w:eastAsia="Arial" w:hAnsi="Arial"/>
          <w:sz w:val="18"/>
          <w:szCs w:val="18"/>
          <w:color w:val="auto"/>
        </w:rPr>
        <w:t xml:space="preserve"> pursuant to any of the other exceptions to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that are expressly included in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(p)(i), (r)</w:t>
      </w:r>
      <w:r>
        <w:rPr>
          <w:rFonts w:ascii="Arial" w:cs="Arial" w:eastAsia="Arial" w:hAnsi="Arial"/>
          <w:sz w:val="18"/>
          <w:szCs w:val="18"/>
          <w:color w:val="auto"/>
        </w:rPr>
        <w:t xml:space="preserve">, </w:t>
      </w:r>
      <w:r>
        <w:rPr>
          <w:rFonts w:ascii="Arial" w:cs="Arial" w:eastAsia="Arial" w:hAnsi="Arial"/>
          <w:sz w:val="18"/>
          <w:szCs w:val="18"/>
          <w:u w:val="single" w:color="auto"/>
          <w:color w:val="auto"/>
        </w:rPr>
        <w:t>(s)(ii)</w:t>
      </w:r>
      <w:r>
        <w:rPr>
          <w:rFonts w:ascii="Arial" w:cs="Arial" w:eastAsia="Arial" w:hAnsi="Arial"/>
          <w:sz w:val="18"/>
          <w:szCs w:val="18"/>
          <w:color w:val="auto"/>
        </w:rPr>
        <w:t xml:space="preserve">, </w:t>
      </w:r>
      <w:r>
        <w:rPr>
          <w:rFonts w:ascii="Arial" w:cs="Arial" w:eastAsia="Arial" w:hAnsi="Arial"/>
          <w:sz w:val="18"/>
          <w:szCs w:val="18"/>
          <w:u w:val="single" w:color="auto"/>
          <w:color w:val="auto"/>
        </w:rPr>
        <w:t>(u)(i)</w:t>
      </w:r>
      <w:r>
        <w:rPr>
          <w:rFonts w:ascii="Arial" w:cs="Arial" w:eastAsia="Arial" w:hAnsi="Arial"/>
          <w:sz w:val="18"/>
          <w:szCs w:val="18"/>
          <w:color w:val="auto"/>
        </w:rPr>
        <w:t xml:space="preserve">, </w:t>
      </w:r>
      <w:r>
        <w:rPr>
          <w:rFonts w:ascii="Arial" w:cs="Arial" w:eastAsia="Arial" w:hAnsi="Arial"/>
          <w:sz w:val="18"/>
          <w:szCs w:val="18"/>
          <w:u w:val="single" w:color="auto"/>
          <w:color w:val="auto"/>
        </w:rPr>
        <w:t>(w)</w:t>
      </w:r>
      <w:r>
        <w:rPr>
          <w:rFonts w:ascii="Arial" w:cs="Arial" w:eastAsia="Arial" w:hAnsi="Arial"/>
          <w:sz w:val="18"/>
          <w:szCs w:val="18"/>
          <w:color w:val="auto"/>
        </w:rPr>
        <w:t xml:space="preserve">, </w:t>
      </w:r>
      <w:r>
        <w:rPr>
          <w:rFonts w:ascii="Arial" w:cs="Arial" w:eastAsia="Arial" w:hAnsi="Arial"/>
          <w:sz w:val="18"/>
          <w:szCs w:val="18"/>
          <w:u w:val="single" w:color="auto"/>
          <w:color w:val="auto"/>
        </w:rPr>
        <w:t>(x)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and (b) enter into customary subordination, collateral trust, intercreditor and/or similar agreements reasonably satisfactory to the Administrative Agent with respect to indebtedness that is required or permitted to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subordinated pursuant to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w:t>
      </w:r>
      <w:r>
        <w:rPr>
          <w:rFonts w:ascii="Arial" w:cs="Arial" w:eastAsia="Arial" w:hAnsi="Arial"/>
          <w:sz w:val="18"/>
          <w:szCs w:val="18"/>
          <w:u w:val="single" w:color="auto"/>
          <w:color w:val="auto"/>
        </w:rPr>
        <w:t>1.20</w:t>
      </w:r>
      <w:r>
        <w:rPr>
          <w:rFonts w:ascii="Arial" w:cs="Arial" w:eastAsia="Arial" w:hAnsi="Arial"/>
          <w:sz w:val="18"/>
          <w:szCs w:val="18"/>
          <w:color w:val="auto"/>
        </w:rPr>
        <w:t xml:space="preserve">, </w:t>
      </w:r>
      <w:r>
        <w:rPr>
          <w:rFonts w:ascii="Arial" w:cs="Arial" w:eastAsia="Arial" w:hAnsi="Arial"/>
          <w:sz w:val="18"/>
          <w:szCs w:val="18"/>
          <w:u w:val="single" w:color="auto"/>
          <w:color w:val="auto"/>
        </w:rPr>
        <w:t>8.7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4552315</wp:posOffset>
            </wp:positionH>
            <wp:positionV relativeFrom="paragraph">
              <wp:posOffset>-1857375</wp:posOffset>
            </wp:positionV>
            <wp:extent cx="28575"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ind w:right="100" w:firstLine="987"/>
        <w:spacing w:after="0" w:line="259" w:lineRule="auto"/>
        <w:tabs>
          <w:tab w:leader="none" w:pos="137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Collateral Agent shall not be responsible for or have a duty to ascertain or inquire into any representation or warranty regarding the existence, value or collectability of the Collateral, the existence, priority or perfection of the Collateral Agent’s Lien thereon, or any certificate prepared by any Loan Party in connection therewith, nor shall the Collateral Agent be responsible or liable to the Lenders for any failure to monitor or maintain any portion of the Collateral.</w:t>
      </w:r>
    </w:p>
    <w:p>
      <w:pPr>
        <w:spacing w:after="0" w:line="18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i w:val="1"/>
          <w:iCs w:val="1"/>
          <w:color w:val="auto"/>
        </w:rPr>
        <w:t>Administrative Agent May File Bankruptcy Disclosure and Proofs of Claim</w:t>
      </w:r>
      <w:r>
        <w:rPr>
          <w:rFonts w:ascii="Arial" w:cs="Arial" w:eastAsia="Arial" w:hAnsi="Arial"/>
          <w:sz w:val="18"/>
          <w:szCs w:val="18"/>
          <w:color w:val="auto"/>
        </w:rPr>
        <w:t xml:space="preserve">. In case of the pendency of any proceeding under any Debtor Relief Laws or any other judicial proceeding relative to any Loan Party, the Administrative Agent (irrespective of whether the principal of any Loan </w:t>
      </w:r>
      <w:r>
        <w:rPr>
          <w:rFonts w:ascii="Arial" w:cs="Arial" w:eastAsia="Arial" w:hAnsi="Arial"/>
          <w:sz w:val="18"/>
          <w:szCs w:val="18"/>
          <w:u w:val="single" w:color="auto"/>
          <w:color w:val="0000E1"/>
        </w:rPr>
        <w:t>or L/C Obligation</w:t>
      </w:r>
      <w:r>
        <w:rPr>
          <w:rFonts w:ascii="Arial" w:cs="Arial" w:eastAsia="Arial" w:hAnsi="Arial"/>
          <w:sz w:val="18"/>
          <w:szCs w:val="18"/>
          <w:color w:val="auto"/>
        </w:rPr>
        <w:t xml:space="preserve"> shall then be due and payable as herein expressed or by declaration or otherwise and irrespective of whether the Administrative Agent shall have made any demand on </w:t>
      </w:r>
      <w:r>
        <w:rPr>
          <w:rFonts w:ascii="Arial" w:cs="Arial" w:eastAsia="Arial" w:hAnsi="Arial"/>
          <w:sz w:val="18"/>
          <w:szCs w:val="18"/>
          <w:u w:val="single" w:color="auto"/>
          <w:color w:val="0000E1"/>
        </w:rPr>
        <w:t>the</w:t>
      </w:r>
      <w:r>
        <w:rPr>
          <w:rFonts w:ascii="Arial" w:cs="Arial" w:eastAsia="Arial" w:hAnsi="Arial"/>
          <w:sz w:val="18"/>
          <w:szCs w:val="18"/>
          <w:color w:val="auto"/>
        </w:rPr>
        <w:t xml:space="preserve"> Borrower) shall be entitled and empowered (but not obligated) by intervention in such proceeding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4485005</wp:posOffset>
            </wp:positionH>
            <wp:positionV relativeFrom="paragraph">
              <wp:posOffset>-625475</wp:posOffset>
            </wp:positionV>
            <wp:extent cx="28575"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262890</wp:posOffset>
            </wp:positionH>
            <wp:positionV relativeFrom="paragraph">
              <wp:posOffset>-273685</wp:posOffset>
            </wp:positionV>
            <wp:extent cx="814705"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-136525</wp:posOffset>
            </wp:positionV>
            <wp:extent cx="137160"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8" w:lineRule="exact"/>
        <w:rPr>
          <w:sz w:val="20"/>
          <w:szCs w:val="20"/>
          <w:color w:val="auto"/>
        </w:rPr>
      </w:pPr>
    </w:p>
    <w:p>
      <w:pPr>
        <w:ind w:firstLine="987"/>
        <w:spacing w:after="0" w:line="277" w:lineRule="auto"/>
        <w:tabs>
          <w:tab w:leader="none" w:pos="137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to file a verified statement pursuant to rule 2019 of the Federal Rules of Bankruptcy Procedure that, in its sole opinion, complies with such rule’s disclosure requirements for entities representing more than one creditor;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980"/>
          </w:cols>
          <w:pgMar w:left="440" w:top="274" w:right="479" w:bottom="1440" w:gutter="0" w:footer="0" w:header="0"/>
        </w:sectPr>
      </w:pPr>
    </w:p>
    <w:bookmarkStart w:id="198" w:name="page199"/>
    <w:bookmarkEnd w:id="198"/>
    <w:p>
      <w:pPr>
        <w:ind w:right="80" w:firstLine="987"/>
        <w:spacing w:after="0" w:line="296" w:lineRule="auto"/>
        <w:tabs>
          <w:tab w:leader="none" w:pos="1381" w:val="left"/>
        </w:tabs>
        <w:numPr>
          <w:ilvl w:val="0"/>
          <w:numId w:val="2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file and prove a claim for the whole amount of the principal and interest owing and unpaid in respect of the Loans</w:t>
      </w:r>
      <w:r>
        <w:rPr>
          <w:rFonts w:ascii="Arial" w:cs="Arial" w:eastAsia="Arial" w:hAnsi="Arial"/>
          <w:sz w:val="16"/>
          <w:szCs w:val="16"/>
          <w:u w:val="single" w:color="auto"/>
          <w:color w:val="0000E1"/>
        </w:rPr>
        <w:t>, L/C</w:t>
      </w:r>
      <w:r>
        <w:rPr>
          <w:rFonts w:ascii="Arial" w:cs="Arial" w:eastAsia="Arial" w:hAnsi="Arial"/>
          <w:sz w:val="16"/>
          <w:szCs w:val="16"/>
          <w:color w:val="auto"/>
        </w:rPr>
        <w:t xml:space="preserve"> </w:t>
      </w:r>
      <w:r>
        <w:rPr>
          <w:rFonts w:ascii="Arial" w:cs="Arial" w:eastAsia="Arial" w:hAnsi="Arial"/>
          <w:sz w:val="16"/>
          <w:szCs w:val="16"/>
          <w:u w:val="single" w:color="auto"/>
          <w:color w:val="0000E1"/>
        </w:rPr>
        <w:t>Obligations</w:t>
      </w:r>
      <w:r>
        <w:rPr>
          <w:rFonts w:ascii="Arial" w:cs="Arial" w:eastAsia="Arial" w:hAnsi="Arial"/>
          <w:sz w:val="16"/>
          <w:szCs w:val="16"/>
          <w:color w:val="0000E1"/>
        </w:rPr>
        <w:t xml:space="preserve"> </w:t>
      </w:r>
      <w:r>
        <w:rPr>
          <w:rFonts w:ascii="Arial" w:cs="Arial" w:eastAsia="Arial" w:hAnsi="Arial"/>
          <w:sz w:val="16"/>
          <w:szCs w:val="16"/>
          <w:color w:val="000000"/>
        </w:rPr>
        <w:t>and all other Obligations that are owing and unpaid and to file such other documents as may be necessary or advisable in order to have the</w:t>
      </w:r>
      <w:r>
        <w:rPr>
          <w:rFonts w:ascii="Arial" w:cs="Arial" w:eastAsia="Arial" w:hAnsi="Arial"/>
          <w:sz w:val="16"/>
          <w:szCs w:val="16"/>
          <w:color w:val="0000E1"/>
        </w:rPr>
        <w:t xml:space="preserve"> </w:t>
      </w:r>
      <w:r>
        <w:rPr>
          <w:rFonts w:ascii="Arial" w:cs="Arial" w:eastAsia="Arial" w:hAnsi="Arial"/>
          <w:sz w:val="16"/>
          <w:szCs w:val="16"/>
          <w:color w:val="000000"/>
        </w:rPr>
        <w:t>claims of the Lenders</w:t>
      </w:r>
      <w:r>
        <w:rPr>
          <w:rFonts w:ascii="Arial" w:cs="Arial" w:eastAsia="Arial" w:hAnsi="Arial"/>
          <w:sz w:val="16"/>
          <w:szCs w:val="16"/>
          <w:u w:val="single" w:color="auto"/>
          <w:color w:val="0000E1"/>
        </w:rPr>
        <w:t>, the L/C Issuer</w:t>
      </w:r>
      <w:r>
        <w:rPr>
          <w:rFonts w:ascii="Arial" w:cs="Arial" w:eastAsia="Arial" w:hAnsi="Arial"/>
          <w:sz w:val="16"/>
          <w:szCs w:val="16"/>
          <w:color w:val="000000"/>
        </w:rPr>
        <w:t xml:space="preserve"> and the Administrative Agent (including any claim for the reasonable compensation, expenses, disbursements and advances of the </w:t>
      </w:r>
      <w:r>
        <w:rPr>
          <w:rFonts w:ascii="Arial" w:cs="Arial" w:eastAsia="Arial" w:hAnsi="Arial"/>
          <w:sz w:val="16"/>
          <w:szCs w:val="16"/>
          <w:u w:val="single" w:color="auto"/>
          <w:color w:val="0000E1"/>
        </w:rPr>
        <w:t>Lenders, the L/C Issuer and the</w:t>
      </w:r>
      <w:r>
        <w:rPr>
          <w:rFonts w:ascii="Arial" w:cs="Arial" w:eastAsia="Arial" w:hAnsi="Arial"/>
          <w:sz w:val="16"/>
          <w:szCs w:val="16"/>
          <w:color w:val="000000"/>
        </w:rPr>
        <w:t xml:space="preserve"> Administrative Agent and </w:t>
      </w:r>
      <w:r>
        <w:rPr>
          <w:rFonts w:ascii="Arial" w:cs="Arial" w:eastAsia="Arial" w:hAnsi="Arial"/>
          <w:sz w:val="16"/>
          <w:szCs w:val="16"/>
          <w:color w:val="FF0000"/>
          <w:strike w:val="1"/>
        </w:rPr>
        <w:t>its</w:t>
      </w:r>
      <w:r>
        <w:rPr>
          <w:rFonts w:ascii="Arial" w:cs="Arial" w:eastAsia="Arial" w:hAnsi="Arial"/>
          <w:sz w:val="16"/>
          <w:szCs w:val="16"/>
          <w:u w:val="single" w:color="auto"/>
          <w:color w:val="0000E1"/>
        </w:rPr>
        <w:t>their</w:t>
      </w:r>
      <w:r>
        <w:rPr>
          <w:rFonts w:ascii="Arial" w:cs="Arial" w:eastAsia="Arial" w:hAnsi="Arial"/>
          <w:sz w:val="16"/>
          <w:szCs w:val="16"/>
          <w:color w:val="000000"/>
        </w:rPr>
        <w:t xml:space="preserve"> respective agents and counsel and all other amounts due the </w:t>
      </w:r>
      <w:r>
        <w:rPr>
          <w:rFonts w:ascii="Arial" w:cs="Arial" w:eastAsia="Arial" w:hAnsi="Arial"/>
          <w:sz w:val="16"/>
          <w:szCs w:val="16"/>
          <w:u w:val="single" w:color="auto"/>
          <w:color w:val="0000E1"/>
        </w:rPr>
        <w:t>Lenders,</w:t>
      </w:r>
      <w:r>
        <w:rPr>
          <w:rFonts w:ascii="Arial" w:cs="Arial" w:eastAsia="Arial" w:hAnsi="Arial"/>
          <w:sz w:val="16"/>
          <w:szCs w:val="16"/>
          <w:color w:val="000000"/>
        </w:rPr>
        <w:t xml:space="preserve"> </w:t>
      </w:r>
      <w:r>
        <w:rPr>
          <w:rFonts w:ascii="Arial" w:cs="Arial" w:eastAsia="Arial" w:hAnsi="Arial"/>
          <w:sz w:val="16"/>
          <w:szCs w:val="16"/>
          <w:u w:val="single" w:color="auto"/>
          <w:color w:val="0000E1"/>
        </w:rPr>
        <w:t>the L/C Issuer and the</w:t>
      </w:r>
      <w:r>
        <w:rPr>
          <w:rFonts w:ascii="Arial" w:cs="Arial" w:eastAsia="Arial" w:hAnsi="Arial"/>
          <w:sz w:val="16"/>
          <w:szCs w:val="16"/>
          <w:color w:val="0000E1"/>
        </w:rPr>
        <w:t xml:space="preserve"> </w:t>
      </w:r>
      <w:r>
        <w:rPr>
          <w:rFonts w:ascii="Arial" w:cs="Arial" w:eastAsia="Arial" w:hAnsi="Arial"/>
          <w:sz w:val="16"/>
          <w:szCs w:val="16"/>
          <w:color w:val="000000"/>
        </w:rPr>
        <w:t>Administrative Agent under</w:t>
      </w:r>
      <w:r>
        <w:rPr>
          <w:rFonts w:ascii="Arial" w:cs="Arial" w:eastAsia="Arial" w:hAnsi="Arial"/>
          <w:sz w:val="16"/>
          <w:szCs w:val="16"/>
          <w:color w:val="0000E1"/>
        </w:rPr>
        <w:t xml:space="preserve"> </w:t>
      </w:r>
      <w:r>
        <w:rPr>
          <w:rFonts w:ascii="Arial" w:cs="Arial" w:eastAsia="Arial" w:hAnsi="Arial"/>
          <w:sz w:val="16"/>
          <w:szCs w:val="16"/>
          <w:u w:val="single" w:color="auto"/>
          <w:color w:val="000000"/>
        </w:rPr>
        <w:t>Section</w:t>
      </w:r>
      <w:r>
        <w:rPr>
          <w:rFonts w:ascii="Arial" w:cs="Arial" w:eastAsia="Arial" w:hAnsi="Arial"/>
          <w:sz w:val="16"/>
          <w:szCs w:val="16"/>
          <w:color w:val="0000E1"/>
        </w:rPr>
        <w:t xml:space="preserve"> </w:t>
      </w:r>
      <w:r>
        <w:rPr>
          <w:rFonts w:ascii="Arial" w:cs="Arial" w:eastAsia="Arial" w:hAnsi="Arial"/>
          <w:sz w:val="16"/>
          <w:szCs w:val="16"/>
          <w:color w:val="FF0000"/>
        </w:rPr>
        <w:t>1.03</w:t>
      </w:r>
      <w:r>
        <w:rPr>
          <w:rFonts w:ascii="Arial" w:cs="Arial" w:eastAsia="Arial" w:hAnsi="Arial"/>
          <w:sz w:val="16"/>
          <w:szCs w:val="16"/>
          <w:u w:val="single" w:color="auto"/>
          <w:color w:val="0000E1"/>
        </w:rPr>
        <w:t>1.3</w:t>
      </w:r>
      <w:r>
        <w:rPr>
          <w:rFonts w:ascii="Arial" w:cs="Arial" w:eastAsia="Arial" w:hAnsi="Arial"/>
          <w:sz w:val="16"/>
          <w:szCs w:val="16"/>
          <w:color w:val="000000"/>
        </w:rPr>
        <w:t>,</w:t>
      </w:r>
      <w:r>
        <w:rPr>
          <w:rFonts w:ascii="Arial" w:cs="Arial" w:eastAsia="Arial" w:hAnsi="Arial"/>
          <w:sz w:val="16"/>
          <w:szCs w:val="16"/>
          <w:color w:val="0000E1"/>
        </w:rPr>
        <w:t xml:space="preserve"> </w:t>
      </w:r>
      <w:r>
        <w:rPr>
          <w:rFonts w:ascii="Arial" w:cs="Arial" w:eastAsia="Arial" w:hAnsi="Arial"/>
          <w:sz w:val="16"/>
          <w:szCs w:val="16"/>
          <w:u w:val="single" w:color="auto"/>
          <w:color w:val="000000"/>
        </w:rPr>
        <w:t>2</w:t>
      </w:r>
      <w:r>
        <w:rPr>
          <w:rFonts w:ascii="Arial" w:cs="Arial" w:eastAsia="Arial" w:hAnsi="Arial"/>
          <w:sz w:val="16"/>
          <w:szCs w:val="16"/>
          <w:color w:val="0000E1"/>
        </w:rPr>
        <w:t xml:space="preserve"> </w:t>
      </w:r>
      <w:r>
        <w:rPr>
          <w:rFonts w:ascii="Arial" w:cs="Arial" w:eastAsia="Arial" w:hAnsi="Arial"/>
          <w:sz w:val="16"/>
          <w:szCs w:val="16"/>
          <w:color w:val="000000"/>
        </w:rPr>
        <w:t>or</w:t>
      </w:r>
      <w:r>
        <w:rPr>
          <w:rFonts w:ascii="Arial" w:cs="Arial" w:eastAsia="Arial" w:hAnsi="Arial"/>
          <w:sz w:val="16"/>
          <w:szCs w:val="16"/>
          <w:color w:val="0000E1"/>
        </w:rPr>
        <w:t xml:space="preserve"> </w:t>
      </w:r>
      <w:r>
        <w:rPr>
          <w:rFonts w:ascii="Arial" w:cs="Arial" w:eastAsia="Arial" w:hAnsi="Arial"/>
          <w:sz w:val="16"/>
          <w:szCs w:val="16"/>
          <w:u w:val="single" w:color="auto"/>
          <w:color w:val="000000"/>
        </w:rPr>
        <w:t>13.15</w:t>
      </w:r>
      <w:r>
        <w:rPr>
          <w:rFonts w:ascii="Arial" w:cs="Arial" w:eastAsia="Arial" w:hAnsi="Arial"/>
          <w:sz w:val="16"/>
          <w:szCs w:val="16"/>
          <w:color w:val="000000"/>
        </w:rPr>
        <w:t>) allowed in such judicial proceeding; and</w:t>
      </w:r>
    </w:p>
    <w:p>
      <w:pPr>
        <w:spacing w:after="0" w:line="161" w:lineRule="exact"/>
        <w:rPr>
          <w:rFonts w:ascii="Arial" w:cs="Arial" w:eastAsia="Arial" w:hAnsi="Arial"/>
          <w:sz w:val="16"/>
          <w:szCs w:val="16"/>
          <w:color w:val="auto"/>
        </w:rPr>
      </w:pPr>
    </w:p>
    <w:p>
      <w:pPr>
        <w:ind w:left="1360" w:hanging="373"/>
        <w:spacing w:after="0"/>
        <w:tabs>
          <w:tab w:leader="none" w:pos="13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6195060</wp:posOffset>
            </wp:positionH>
            <wp:positionV relativeFrom="paragraph">
              <wp:posOffset>-798830</wp:posOffset>
            </wp:positionV>
            <wp:extent cx="240030"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-661670</wp:posOffset>
            </wp:positionV>
            <wp:extent cx="53149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-524510</wp:posOffset>
            </wp:positionV>
            <wp:extent cx="702945"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-387350</wp:posOffset>
            </wp:positionV>
            <wp:extent cx="1440180"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440180" cy="825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-387350</wp:posOffset>
            </wp:positionV>
            <wp:extent cx="214630"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-387350</wp:posOffset>
            </wp:positionV>
            <wp:extent cx="39433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-250190</wp:posOffset>
            </wp:positionV>
            <wp:extent cx="10115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-284480</wp:posOffset>
            </wp:positionV>
            <wp:extent cx="22860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-327660</wp:posOffset>
            </wp:positionV>
            <wp:extent cx="228600"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-250190</wp:posOffset>
            </wp:positionV>
            <wp:extent cx="137160"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and any custodian, receiver, assignee, trustee, liquidator, sequestrator or other similar official in any such judicial proceeding is hereby authorized by each Lender </w:t>
      </w:r>
      <w:r>
        <w:rPr>
          <w:rFonts w:ascii="Arial" w:cs="Arial" w:eastAsia="Arial" w:hAnsi="Arial"/>
          <w:sz w:val="17"/>
          <w:szCs w:val="17"/>
          <w:u w:val="single" w:color="auto"/>
          <w:color w:val="0000E1"/>
        </w:rPr>
        <w:t>and the L/C Issuer</w:t>
      </w:r>
      <w:r>
        <w:rPr>
          <w:rFonts w:ascii="Arial" w:cs="Arial" w:eastAsia="Arial" w:hAnsi="Arial"/>
          <w:sz w:val="17"/>
          <w:szCs w:val="17"/>
          <w:color w:val="auto"/>
        </w:rPr>
        <w:t xml:space="preserve"> to make such payments to the Administrative Agent and, </w:t>
      </w:r>
      <w:r>
        <w:rPr>
          <w:rFonts w:ascii="Arial" w:cs="Arial" w:eastAsia="Arial" w:hAnsi="Arial"/>
          <w:sz w:val="17"/>
          <w:szCs w:val="17"/>
          <w:color w:val="FF0000"/>
          <w:strike w:val="1"/>
        </w:rPr>
        <w:t>in the event that</w:t>
      </w:r>
      <w:r>
        <w:rPr>
          <w:rFonts w:ascii="Arial" w:cs="Arial" w:eastAsia="Arial" w:hAnsi="Arial"/>
          <w:sz w:val="17"/>
          <w:szCs w:val="17"/>
          <w:u w:val="single" w:color="auto"/>
          <w:color w:val="0000E1"/>
        </w:rPr>
        <w:t>if</w:t>
      </w:r>
      <w:r>
        <w:rPr>
          <w:rFonts w:ascii="Arial" w:cs="Arial" w:eastAsia="Arial" w:hAnsi="Arial"/>
          <w:sz w:val="17"/>
          <w:szCs w:val="17"/>
          <w:color w:val="auto"/>
        </w:rPr>
        <w:t xml:space="preserve"> the Administrative Agent shall consent to the making of such payments directly to the Lenders </w:t>
      </w:r>
      <w:r>
        <w:rPr>
          <w:rFonts w:ascii="Arial" w:cs="Arial" w:eastAsia="Arial" w:hAnsi="Arial"/>
          <w:sz w:val="17"/>
          <w:szCs w:val="17"/>
          <w:color w:val="0000E1"/>
        </w:rPr>
        <w:t>and the L/C Issuer</w:t>
      </w:r>
      <w:r>
        <w:rPr>
          <w:rFonts w:ascii="Arial" w:cs="Arial" w:eastAsia="Arial" w:hAnsi="Arial"/>
          <w:sz w:val="17"/>
          <w:szCs w:val="17"/>
          <w:color w:val="auto"/>
        </w:rPr>
        <w:t>, to pay to the Administrative Agent any amount due for the reasonable compensation, expenses, disbursements and advances of the Administrative Agent and its agents and counsel, and any other amounts due the Administrative Agent under this Agreement. To the extent that the payment of any such compensation, expenses, disbursements and advances of the Administrative Agent, its agents and counsel, and any other amounts due the Administrative Agent under this Agreement out of the estate in any such proceeding, shall be denied for any reason, payment of the same shall be secured by a Lien on, and shall be paid out of, any and all distributions, dividends, money, securities and other properties that the Lenders may be entitled to receive in such proceeding whether in liquidation or under any plan of reorganization or arrangement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-963930</wp:posOffset>
            </wp:positionV>
            <wp:extent cx="84010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-963930</wp:posOffset>
            </wp:positionV>
            <wp:extent cx="68580"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-826770</wp:posOffset>
            </wp:positionV>
            <wp:extent cx="87439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-861060</wp:posOffset>
            </wp:positionV>
            <wp:extent cx="86931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61"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 xml:space="preserve">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w:t>
      </w:r>
      <w:r>
        <w:rPr>
          <w:rFonts w:ascii="Arial" w:cs="Arial" w:eastAsia="Arial" w:hAnsi="Arial"/>
          <w:sz w:val="16"/>
          <w:szCs w:val="16"/>
          <w:u w:val="single" w:color="auto"/>
          <w:color w:val="0000E1"/>
        </w:rPr>
        <w:t>the</w:t>
      </w:r>
      <w:r>
        <w:rPr>
          <w:rFonts w:ascii="Arial" w:cs="Arial" w:eastAsia="Arial" w:hAnsi="Arial"/>
          <w:sz w:val="16"/>
          <w:szCs w:val="16"/>
          <w:color w:val="auto"/>
        </w:rPr>
        <w:t xml:space="preserve"> </w:t>
      </w:r>
      <w:r>
        <w:rPr>
          <w:rFonts w:ascii="Arial" w:cs="Arial" w:eastAsia="Arial" w:hAnsi="Arial"/>
          <w:sz w:val="16"/>
          <w:szCs w:val="16"/>
          <w:u w:val="single" w:color="auto"/>
          <w:color w:val="0000E1"/>
        </w:rPr>
        <w:t>L/C Issuer</w:t>
      </w:r>
      <w:r>
        <w:rPr>
          <w:rFonts w:ascii="Arial" w:cs="Arial" w:eastAsia="Arial" w:hAnsi="Arial"/>
          <w:sz w:val="16"/>
          <w:szCs w:val="16"/>
          <w:color w:val="0000E1"/>
        </w:rPr>
        <w:t xml:space="preserve"> </w:t>
      </w:r>
      <w:r>
        <w:rPr>
          <w:rFonts w:ascii="Arial" w:cs="Arial" w:eastAsia="Arial" w:hAnsi="Arial"/>
          <w:sz w:val="16"/>
          <w:szCs w:val="16"/>
          <w:color w:val="000000"/>
        </w:rPr>
        <w:t>to authorize the Administrative Agent to vote in respect of the claim of any Lender or the L/C Issuer in any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6821170</wp:posOffset>
            </wp:positionH>
            <wp:positionV relativeFrom="paragraph">
              <wp:posOffset>-161290</wp:posOffset>
            </wp:positionV>
            <wp:extent cx="13716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480060"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37"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u w:val="single" w:color="auto"/>
          <w:color w:val="0000E1"/>
        </w:rPr>
        <w:t>Section 11.13</w:t>
      </w:r>
      <w:r>
        <w:rPr>
          <w:sz w:val="20"/>
          <w:szCs w:val="20"/>
          <w:color w:val="auto"/>
        </w:rPr>
        <w:tab/>
      </w:r>
      <w:r>
        <w:rPr>
          <w:rFonts w:ascii="Arial" w:cs="Arial" w:eastAsia="Arial" w:hAnsi="Arial"/>
          <w:sz w:val="16"/>
          <w:szCs w:val="16"/>
          <w:u w:val="single" w:color="auto"/>
          <w:color w:val="0000E1"/>
        </w:rPr>
        <w:t>Certain ERISA Matters</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1808480"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97" w:lineRule="exact"/>
        <w:rPr>
          <w:sz w:val="20"/>
          <w:szCs w:val="20"/>
          <w:color w:val="auto"/>
        </w:rPr>
      </w:pPr>
    </w:p>
    <w:p>
      <w:pPr>
        <w:ind w:right="140" w:firstLine="987"/>
        <w:spacing w:after="0" w:line="311" w:lineRule="auto"/>
        <w:tabs>
          <w:tab w:leader="none" w:pos="1371"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0000E1"/>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48" w:lineRule="exact"/>
        <w:rPr>
          <w:rFonts w:ascii="Arial" w:cs="Arial" w:eastAsia="Arial" w:hAnsi="Arial"/>
          <w:sz w:val="16"/>
          <w:szCs w:val="16"/>
          <w:color w:val="auto"/>
        </w:rPr>
      </w:pPr>
    </w:p>
    <w:p>
      <w:pPr>
        <w:ind w:right="340" w:firstLine="1428"/>
        <w:spacing w:after="0" w:line="263" w:lineRule="auto"/>
        <w:tabs>
          <w:tab w:leader="none" w:pos="1782" w:val="left"/>
        </w:tabs>
        <w:numPr>
          <w:ilvl w:val="1"/>
          <w:numId w:val="254"/>
        </w:numPr>
        <w:rPr>
          <w:rFonts w:ascii="Arial" w:cs="Arial" w:eastAsia="Arial" w:hAnsi="Arial"/>
          <w:sz w:val="18"/>
          <w:szCs w:val="18"/>
          <w:color w:val="auto"/>
        </w:rPr>
      </w:pPr>
      <w:r>
        <w:rPr>
          <w:rFonts w:ascii="Arial" w:cs="Arial" w:eastAsia="Arial" w:hAnsi="Arial"/>
          <w:sz w:val="18"/>
          <w:szCs w:val="18"/>
          <w:u w:val="single" w:color="auto"/>
          <w:color w:val="0000E1"/>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3" w:lineRule="exact"/>
        <w:rPr>
          <w:rFonts w:ascii="Arial" w:cs="Arial" w:eastAsia="Arial" w:hAnsi="Arial"/>
          <w:sz w:val="18"/>
          <w:szCs w:val="18"/>
          <w:color w:val="auto"/>
        </w:rPr>
      </w:pPr>
    </w:p>
    <w:p>
      <w:pPr>
        <w:ind w:right="40" w:firstLine="1428"/>
        <w:spacing w:after="0" w:line="273" w:lineRule="auto"/>
        <w:tabs>
          <w:tab w:leader="none" w:pos="1877" w:val="left"/>
        </w:tabs>
        <w:numPr>
          <w:ilvl w:val="1"/>
          <w:numId w:val="254"/>
        </w:numPr>
        <w:rPr>
          <w:rFonts w:ascii="Arial" w:cs="Arial" w:eastAsia="Arial" w:hAnsi="Arial"/>
          <w:sz w:val="17"/>
          <w:szCs w:val="17"/>
          <w:color w:val="auto"/>
        </w:rPr>
      </w:pPr>
      <w:r>
        <w:rPr>
          <w:rFonts w:ascii="Arial" w:cs="Arial" w:eastAsia="Arial" w:hAnsi="Arial"/>
          <w:sz w:val="17"/>
          <w:szCs w:val="17"/>
          <w:u w:val="single" w:color="auto"/>
          <w:color w:val="0000E1"/>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-1788795</wp:posOffset>
            </wp:positionV>
            <wp:extent cx="593217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59321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-1651635</wp:posOffset>
            </wp:positionV>
            <wp:extent cx="6892290"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-1514475</wp:posOffset>
            </wp:positionV>
            <wp:extent cx="6823710"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-1240155</wp:posOffset>
            </wp:positionV>
            <wp:extent cx="5640705"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56407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-1102995</wp:posOffset>
            </wp:positionV>
            <wp:extent cx="6412230"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-965835</wp:posOffset>
            </wp:positionV>
            <wp:extent cx="1525905"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-691515</wp:posOffset>
            </wp:positionV>
            <wp:extent cx="543496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5434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-554355</wp:posOffset>
            </wp:positionV>
            <wp:extent cx="690943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-417195</wp:posOffset>
            </wp:positionV>
            <wp:extent cx="6763385"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-280035</wp:posOffset>
            </wp:positionV>
            <wp:extent cx="6892290"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96087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270002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00"/>
          </w:cols>
          <w:pgMar w:left="440" w:top="274" w:right="459" w:bottom="1440" w:gutter="0" w:footer="0" w:header="0"/>
        </w:sectPr>
      </w:pPr>
    </w:p>
    <w:bookmarkStart w:id="199" w:name="page200"/>
    <w:bookmarkEnd w:id="199"/>
    <w:p>
      <w:pPr>
        <w:ind w:right="20" w:firstLine="1428"/>
        <w:spacing w:after="0" w:line="254" w:lineRule="auto"/>
        <w:tabs>
          <w:tab w:leader="none" w:pos="1927" w:val="left"/>
        </w:tabs>
        <w:numPr>
          <w:ilvl w:val="1"/>
          <w:numId w:val="255"/>
        </w:numPr>
        <w:rPr>
          <w:rFonts w:ascii="Arial" w:cs="Arial" w:eastAsia="Arial" w:hAnsi="Arial"/>
          <w:sz w:val="18"/>
          <w:szCs w:val="18"/>
          <w:u w:val="single" w:color="auto"/>
          <w:color w:val="0000E1"/>
        </w:rPr>
      </w:pPr>
      <w:r>
        <w:rPr>
          <w:rFonts w:ascii="Arial" w:cs="Arial" w:eastAsia="Arial" w:hAnsi="Arial"/>
          <w:sz w:val="18"/>
          <w:szCs w:val="18"/>
          <w:u w:val="single" w:color="auto"/>
          <w:color w:val="0000E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w:t>
      </w:r>
    </w:p>
    <w:p>
      <w:pPr>
        <w:spacing w:after="0" w:line="194" w:lineRule="exact"/>
        <w:rPr>
          <w:rFonts w:ascii="Arial" w:cs="Arial" w:eastAsia="Arial" w:hAnsi="Arial"/>
          <w:sz w:val="18"/>
          <w:szCs w:val="18"/>
          <w:u w:val="single" w:color="auto"/>
          <w:color w:val="0000E1"/>
        </w:rPr>
      </w:pPr>
    </w:p>
    <w:p>
      <w:pPr>
        <w:ind w:firstLine="436"/>
        <w:spacing w:after="0" w:line="272" w:lineRule="auto"/>
        <w:tabs>
          <w:tab w:leader="none" w:pos="875" w:val="left"/>
        </w:tabs>
        <w:numPr>
          <w:ilvl w:val="0"/>
          <w:numId w:val="256"/>
        </w:numPr>
        <w:rPr>
          <w:rFonts w:ascii="Arial" w:cs="Arial" w:eastAsia="Arial" w:hAnsi="Arial"/>
          <w:sz w:val="17"/>
          <w:szCs w:val="17"/>
          <w:u w:val="single" w:color="auto"/>
          <w:color w:val="0000E1"/>
        </w:rPr>
      </w:pPr>
      <w:r>
        <w:rPr>
          <w:rFonts w:ascii="Arial" w:cs="Arial" w:eastAsia="Arial" w:hAnsi="Arial"/>
          <w:sz w:val="17"/>
          <w:szCs w:val="17"/>
          <w:u w:val="single" w:color="auto"/>
          <w:color w:val="0000E1"/>
        </w:rPr>
        <w:t>In addition, unless sub-clause</w:t>
      </w:r>
      <w:r>
        <w:rPr>
          <w:rFonts w:ascii="Arial" w:cs="Arial" w:eastAsia="Arial" w:hAnsi="Arial"/>
          <w:sz w:val="17"/>
          <w:szCs w:val="17"/>
          <w:color w:val="0000E1"/>
        </w:rPr>
        <w:t xml:space="preserve"> (i</w:t>
      </w:r>
      <w:r>
        <w:rPr>
          <w:rFonts w:ascii="Arial" w:cs="Arial" w:eastAsia="Arial" w:hAnsi="Arial"/>
          <w:sz w:val="17"/>
          <w:szCs w:val="17"/>
          <w:u w:val="single" w:color="auto"/>
          <w:color w:val="0000E1"/>
        </w:rPr>
        <w:t>) in the immediately preceding clause (a) is true with respect to a Lender, such Lender further (x) represents</w:t>
      </w:r>
      <w:r>
        <w:rPr>
          <w:rFonts w:ascii="Arial" w:cs="Arial" w:eastAsia="Arial" w:hAnsi="Arial"/>
          <w:sz w:val="17"/>
          <w:szCs w:val="17"/>
          <w:color w:val="0000E1"/>
        </w:rPr>
        <w:t xml:space="preserve"> </w:t>
      </w:r>
      <w:r>
        <w:rPr>
          <w:rFonts w:ascii="Arial" w:cs="Arial" w:eastAsia="Arial" w:hAnsi="Arial"/>
          <w:sz w:val="17"/>
          <w:szCs w:val="17"/>
          <w:u w:val="single" w:color="auto"/>
          <w:color w:val="0000E1"/>
        </w:rPr>
        <w:t>and warrants, as of the date such Person became a Lender party hereto, to, and (y) covenants, from the date such Person became a Lender party hereto to the date such Person ceases being a Lender party hereto, for the benefit of, the Administrative Agent and not</w:t>
      </w:r>
      <w:r>
        <w:rPr>
          <w:rFonts w:ascii="Arial" w:cs="Arial" w:eastAsia="Arial" w:hAnsi="Arial"/>
          <w:sz w:val="17"/>
          <w:szCs w:val="17"/>
          <w:u w:val="single" w:color="auto"/>
          <w:color w:val="008000"/>
        </w:rPr>
        <w:t>, for the avoidance of doubt,</w:t>
      </w:r>
      <w:r>
        <w:rPr>
          <w:rFonts w:ascii="Arial" w:cs="Arial" w:eastAsia="Arial" w:hAnsi="Arial"/>
          <w:sz w:val="17"/>
          <w:szCs w:val="17"/>
          <w:u w:val="single" w:color="auto"/>
          <w:color w:val="0000E1"/>
        </w:rPr>
        <w:t xml:space="preserve">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-1926590</wp:posOffset>
            </wp:positionV>
            <wp:extent cx="603504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-1789430</wp:posOffset>
            </wp:positionV>
            <wp:extent cx="6694805"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-1652270</wp:posOffset>
            </wp:positionV>
            <wp:extent cx="691769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-1515110</wp:posOffset>
            </wp:positionV>
            <wp:extent cx="68834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-1377950</wp:posOffset>
            </wp:positionV>
            <wp:extent cx="696087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-1240790</wp:posOffset>
            </wp:positionV>
            <wp:extent cx="649795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-1103630</wp:posOffset>
            </wp:positionV>
            <wp:extent cx="54038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54038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-863600</wp:posOffset>
            </wp:positionV>
            <wp:extent cx="6669405" cy="4318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6669405"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-692150</wp:posOffset>
            </wp:positionV>
            <wp:extent cx="6978015"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-554990</wp:posOffset>
            </wp:positionV>
            <wp:extent cx="6823710"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-417830</wp:posOffset>
            </wp:positionV>
            <wp:extent cx="6823710"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-280670</wp:posOffset>
            </wp:positionV>
            <wp:extent cx="6497955"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-143510</wp:posOffset>
            </wp:positionV>
            <wp:extent cx="6557645"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250317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6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12.</w:t>
        <w:tab/>
        <w:t>T</w:t>
      </w:r>
      <w:r>
        <w:rPr>
          <w:rFonts w:ascii="Arial" w:cs="Arial" w:eastAsia="Arial" w:hAnsi="Arial"/>
          <w:sz w:val="14"/>
          <w:szCs w:val="14"/>
          <w:color w:val="auto"/>
        </w:rPr>
        <w:t>HE</w:t>
      </w:r>
      <w:r>
        <w:rPr>
          <w:rFonts w:ascii="Arial" w:cs="Arial" w:eastAsia="Arial" w:hAnsi="Arial"/>
          <w:sz w:val="18"/>
          <w:szCs w:val="18"/>
          <w:color w:val="auto"/>
        </w:rPr>
        <w:t xml:space="preserve"> G</w:t>
      </w:r>
      <w:r>
        <w:rPr>
          <w:rFonts w:ascii="Arial" w:cs="Arial" w:eastAsia="Arial" w:hAnsi="Arial"/>
          <w:sz w:val="14"/>
          <w:szCs w:val="14"/>
          <w:color w:val="auto"/>
        </w:rPr>
        <w:t>UARANTEES</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85"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i w:val="1"/>
          <w:iCs w:val="1"/>
          <w:color w:val="auto"/>
        </w:rPr>
        <w:t>The Guarantees</w:t>
      </w:r>
      <w:r>
        <w:rPr>
          <w:rFonts w:ascii="Arial" w:cs="Arial" w:eastAsia="Arial" w:hAnsi="Arial"/>
          <w:sz w:val="16"/>
          <w:szCs w:val="16"/>
          <w:color w:val="auto"/>
        </w:rPr>
        <w:t xml:space="preserve">. To induce the Lenders to provide the credit facilities described herein and in consideration of benefits expected to accrue to the Guarantors by reason of the Commitments and for other good and valuable consideration, receipt of which is hereby acknowledged, the Guarantors (including any Restricted Subsidiary executing an Additional Guarantor Supplement in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or such other form reasonably acceptable to the Administrative Agent and the Borrower after the Closing Date), hereby unconditionally and irrevocably guarantee jointly and severally to the Administrative Agent, the Lenders and any Person that enters into any agreement with the Borrower or any Guarantor establishing a Hedging Liability or Funds Transfer, Deposit Account Liability and Foreign LCs, the due and punctual payment of all present and future Obligations, Hedging Liability, and Funds Transfer, Deposit Account Liability and Foreign LCs, including, but not limited to, the due and punctual payment of principal of and interest on the Loans, the Reimbursement Obligations, and the due and punctual payment of all other Obligations now or hereafter owed by the Borrower under the Loan Documents and the due and punctual payment of all Hedging Liability and Funds Transfer, Deposit Account Liability and Foreign LCs, in each case as and when the same shall become due and payable, whether at stated maturity, by acceleration, or otherwise, according to the terms hereof and thereof (including interest which, but for the filing of a petition in bankruptcy, would otherwise accrue on any such indebtedness, obligation, or liability) (all such obligations referred to in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above (other than Excluded Swap Obligations) being herein collectively referred to as the “</w:t>
      </w:r>
      <w:r>
        <w:rPr>
          <w:rFonts w:ascii="Arial" w:cs="Arial" w:eastAsia="Arial" w:hAnsi="Arial"/>
          <w:sz w:val="16"/>
          <w:szCs w:val="16"/>
          <w:i w:val="1"/>
          <w:iCs w:val="1"/>
          <w:color w:val="auto"/>
        </w:rPr>
        <w:t>Guaranteed Obligations</w:t>
      </w:r>
      <w:r>
        <w:rPr>
          <w:rFonts w:ascii="Arial" w:cs="Arial" w:eastAsia="Arial" w:hAnsi="Arial"/>
          <w:sz w:val="16"/>
          <w:szCs w:val="16"/>
          <w:color w:val="auto"/>
        </w:rPr>
        <w:t xml:space="preserve">”). In case of failure by the Borrower or other obligor punctually to pay any Guaranteed Obligations, each Guarantor hereby unconditionally agrees to make such payment or to cause such payment to be made punctually as and when the same shall become due and payable, whether at stated maturity, by acceleration, or otherwise, and as if such payment were made by the Borrower or such obligor;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is understood and agreed that each Qualified ECP Guarantor guarantees the obligations of each other Guarantor under this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(including all Hedging Liabilities that would otherwise be deemed to be Excluded Swap Obligations) and that each such guarantee is intended as a “guarantee” as described under Section 1a(18) of the Commodity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1724025</wp:posOffset>
            </wp:positionH>
            <wp:positionV relativeFrom="paragraph">
              <wp:posOffset>-2418715</wp:posOffset>
            </wp:positionV>
            <wp:extent cx="2857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980"/>
          </w:cols>
          <w:pgMar w:left="440" w:top="274" w:right="479" w:bottom="1440" w:gutter="0" w:footer="0" w:header="0"/>
        </w:sectPr>
      </w:pPr>
    </w:p>
    <w:bookmarkStart w:id="200" w:name="page201"/>
    <w:bookmarkEnd w:id="200"/>
    <w:p>
      <w:pPr>
        <w:ind w:right="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12.2 </w:t>
      </w:r>
      <w:r>
        <w:rPr>
          <w:rFonts w:ascii="Arial" w:cs="Arial" w:eastAsia="Arial" w:hAnsi="Arial"/>
          <w:sz w:val="18"/>
          <w:szCs w:val="18"/>
          <w:i w:val="1"/>
          <w:iCs w:val="1"/>
          <w:color w:val="auto"/>
        </w:rPr>
        <w:t>Guarantee Unconditional</w:t>
      </w:r>
      <w:r>
        <w:rPr>
          <w:rFonts w:ascii="Arial" w:cs="Arial" w:eastAsia="Arial" w:hAnsi="Arial"/>
          <w:sz w:val="18"/>
          <w:szCs w:val="18"/>
          <w:color w:val="auto"/>
        </w:rPr>
        <w:t xml:space="preserve">. The guarantee by each Guarantor under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is an absolute and unconditional guaranty of payment when due, and not of collection, by each Guarantor, jointly and severally with each other Guarantor of the Guaranteed Obligations in each and every particular. The obligations of each Guarantor hereunder are several from those of each other Guarantor and are primary obligations concerning which each Guarantor is the principal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-488950</wp:posOffset>
            </wp:positionV>
            <wp:extent cx="28575"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-214630</wp:posOffset>
            </wp:positionV>
            <wp:extent cx="28575"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12.6</w:t>
      </w:r>
      <w:r>
        <w:rPr>
          <w:rFonts w:ascii="Arial" w:cs="Arial" w:eastAsia="Arial" w:hAnsi="Arial"/>
          <w:sz w:val="18"/>
          <w:szCs w:val="18"/>
          <w:color w:val="auto"/>
        </w:rPr>
        <w:t>, the obligations of each Guarantor hereunder shall not be subject to any reduction, limitation, impairment or termination for any reason, including the existence of any claim, set-off or other right which any Guarantor may have at any time against any other Guarantor or the Borrower, any Agent or other Secured Creditor or any other Person, whether in connection herewith or any unrelated transactions. Without limiting the generality of the foregoing, each Guarantor’s liability shall extend to all amounts that constitute part of the Guaranteed Obligations and would be owed by any other Loan Party to any Secured Creditor under any document evidencing or governing the Guaranteed Obligations but for the fact that they are unenforceable or not allowable due to the existence of a bankruptcy, reorganization or similar proceeding involving the Borrower or such other Loan Party.</w:t>
      </w:r>
    </w:p>
    <w:p>
      <w:pPr>
        <w:spacing w:after="0" w:line="19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Without limiting the generality of the foregoing, the obligations of each Guarantor hereunder shall not be released, discharged, or otherwise affected by:</w:t>
      </w:r>
    </w:p>
    <w:p>
      <w:pPr>
        <w:spacing w:after="0" w:line="170" w:lineRule="exact"/>
        <w:rPr>
          <w:sz w:val="20"/>
          <w:szCs w:val="20"/>
          <w:color w:val="auto"/>
        </w:rPr>
      </w:pPr>
    </w:p>
    <w:p>
      <w:pPr>
        <w:ind w:right="480" w:firstLine="987"/>
        <w:spacing w:after="0" w:line="277" w:lineRule="auto"/>
        <w:tabs>
          <w:tab w:leader="none" w:pos="137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the Borrower or of any other Guarantor under this Agreement or any other Loan Document or by operation of law or otherwise;</w:t>
      </w:r>
    </w:p>
    <w:p>
      <w:pPr>
        <w:spacing w:after="0" w:line="170" w:lineRule="exact"/>
        <w:rPr>
          <w:rFonts w:ascii="Arial" w:cs="Arial" w:eastAsia="Arial" w:hAnsi="Arial"/>
          <w:sz w:val="18"/>
          <w:szCs w:val="18"/>
          <w:color w:val="auto"/>
        </w:rPr>
      </w:pPr>
    </w:p>
    <w:p>
      <w:pPr>
        <w:ind w:right="500" w:firstLine="987"/>
        <w:spacing w:after="0" w:line="277" w:lineRule="auto"/>
        <w:tabs>
          <w:tab w:leader="none" w:pos="138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this Agreement or any other Loan Document or any agreement relating to Hedging Liability or Funds Transfer, Deposit Account Liability and Foreign LCs;</w:t>
      </w:r>
    </w:p>
    <w:p>
      <w:pPr>
        <w:spacing w:after="0" w:line="170" w:lineRule="exact"/>
        <w:rPr>
          <w:rFonts w:ascii="Arial" w:cs="Arial" w:eastAsia="Arial" w:hAnsi="Arial"/>
          <w:sz w:val="18"/>
          <w:szCs w:val="18"/>
          <w:color w:val="auto"/>
        </w:rPr>
      </w:pPr>
    </w:p>
    <w:p>
      <w:pPr>
        <w:ind w:right="320" w:firstLine="987"/>
        <w:spacing w:after="0" w:line="263" w:lineRule="auto"/>
        <w:tabs>
          <w:tab w:leader="none" w:pos="137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change in the corporate existence, structure, or ownership of, or any insolvency, bankruptcy, reorganization, or other similar proceeding affecting, the Borrower, any Guarantor, any other guarantor, or any of their respective assets, or any resulting release or discharge of any obligation of the Borrower or of any other Guarantor contained in any Loan Document;</w:t>
      </w:r>
    </w:p>
    <w:p>
      <w:pPr>
        <w:spacing w:after="0" w:line="183" w:lineRule="exact"/>
        <w:rPr>
          <w:rFonts w:ascii="Arial" w:cs="Arial" w:eastAsia="Arial" w:hAnsi="Arial"/>
          <w:sz w:val="18"/>
          <w:szCs w:val="18"/>
          <w:color w:val="auto"/>
        </w:rPr>
      </w:pPr>
    </w:p>
    <w:p>
      <w:pPr>
        <w:ind w:right="540" w:firstLine="987"/>
        <w:spacing w:after="0" w:line="277" w:lineRule="auto"/>
        <w:tabs>
          <w:tab w:leader="none" w:pos="138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existence of any claim, set off, or other rights which the Borrower or any other guarantor may have at any time against the Administrative Agent, any Lender, or any other Person, whether or not arising in connection herewith;</w:t>
      </w:r>
    </w:p>
    <w:p>
      <w:pPr>
        <w:spacing w:after="0" w:line="170" w:lineRule="exact"/>
        <w:rPr>
          <w:rFonts w:ascii="Arial" w:cs="Arial" w:eastAsia="Arial" w:hAnsi="Arial"/>
          <w:sz w:val="18"/>
          <w:szCs w:val="18"/>
          <w:color w:val="auto"/>
        </w:rPr>
      </w:pPr>
    </w:p>
    <w:p>
      <w:pPr>
        <w:ind w:right="20" w:firstLine="987"/>
        <w:spacing w:after="0" w:line="277" w:lineRule="auto"/>
        <w:tabs>
          <w:tab w:leader="none" w:pos="137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failure to assert, or any assertion of, any claim or demand or any exercise of, or failure to exercise, any rights or remedies against the Borrower, any other Guarantor, or any other Person or Property;</w:t>
      </w:r>
    </w:p>
    <w:p>
      <w:pPr>
        <w:spacing w:after="0" w:line="170" w:lineRule="exact"/>
        <w:rPr>
          <w:rFonts w:ascii="Arial" w:cs="Arial" w:eastAsia="Arial" w:hAnsi="Arial"/>
          <w:sz w:val="18"/>
          <w:szCs w:val="18"/>
          <w:color w:val="auto"/>
        </w:rPr>
      </w:pPr>
    </w:p>
    <w:p>
      <w:pPr>
        <w:ind w:firstLine="987"/>
        <w:spacing w:after="0" w:line="277" w:lineRule="auto"/>
        <w:tabs>
          <w:tab w:leader="none" w:pos="135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application of any sums by whomsoever paid or howsoever realized to any obligation of the Borrower or other obligor, regardless of what obligations of the Borrower or other obligor remain unpaid;</w:t>
      </w:r>
    </w:p>
    <w:p>
      <w:pPr>
        <w:spacing w:after="0" w:line="170" w:lineRule="exact"/>
        <w:rPr>
          <w:rFonts w:ascii="Arial" w:cs="Arial" w:eastAsia="Arial" w:hAnsi="Arial"/>
          <w:sz w:val="18"/>
          <w:szCs w:val="18"/>
          <w:color w:val="auto"/>
        </w:rPr>
      </w:pPr>
    </w:p>
    <w:p>
      <w:pPr>
        <w:ind w:right="160" w:firstLine="987"/>
        <w:spacing w:after="0" w:line="275" w:lineRule="auto"/>
        <w:tabs>
          <w:tab w:leader="none" w:pos="1381"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any invalidity or unenforceability relating to or against the Borrower or other obligor or any other guarantor for any reason of this Agreement or of any other Loan Document or any agreement relating to Hedging Liability or Funds Transfer, Deposit Account Liability and Foreign LCs or any provision of applicable law or regulation purporting to prohibit the payment by the Borrower or other obligor or any other guarantor of the principal of or interest on any Loan or any Reimbursement Obligation or any other amount payable under the Loan Documents or any agreement relating to Hedging Liability or Funds Transfer, Deposit Account Liability and Foreign LCs;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980"/>
          </w:cols>
          <w:pgMar w:left="440" w:top="274" w:right="479" w:bottom="1440" w:gutter="0" w:footer="0" w:header="0"/>
        </w:sectPr>
      </w:pPr>
    </w:p>
    <w:bookmarkStart w:id="201" w:name="page202"/>
    <w:bookmarkEnd w:id="201"/>
    <w:p>
      <w:pPr>
        <w:ind w:firstLine="987"/>
        <w:spacing w:after="0" w:line="263" w:lineRule="auto"/>
        <w:tabs>
          <w:tab w:leader="none" w:pos="1381" w:val="left"/>
        </w:tabs>
        <w:numPr>
          <w:ilvl w:val="0"/>
          <w:numId w:val="2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other act or omission to act or delay of any kind by the Administrative Agent, any Lender, the L/C Issuer or any other Person or any other circumstance whatsoever that might, but for the provisions of this paragraph, constitute a legal or equitable discharge of the obligations of any Guarantor under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other than payment in full of the Obligations.</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12.3 </w:t>
      </w:r>
      <w:r>
        <w:rPr>
          <w:rFonts w:ascii="Arial" w:cs="Arial" w:eastAsia="Arial" w:hAnsi="Arial"/>
          <w:sz w:val="17"/>
          <w:szCs w:val="17"/>
          <w:i w:val="1"/>
          <w:iCs w:val="1"/>
          <w:color w:val="auto"/>
        </w:rPr>
        <w:t>Discharge Only upon Payment in Full; Reinstatement in Certain Circumstances</w:t>
      </w:r>
      <w:r>
        <w:rPr>
          <w:rFonts w:ascii="Arial" w:cs="Arial" w:eastAsia="Arial" w:hAnsi="Arial"/>
          <w:sz w:val="17"/>
          <w:szCs w:val="17"/>
          <w:color w:val="auto"/>
        </w:rPr>
        <w:t xml:space="preserve">. Each Guarantor’s obligations under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shall remain in full force and effect until the Commitments are terminated, all Letters of Credit have expired (or been cash collateralized or backed by standby letters of credit reasonably acceptable to the applicable L/C Issuer or “grandfathered” into any future credit facilities), all Hedging Liabilities and Funds Transfer </w:t>
      </w:r>
      <w:r>
        <w:rPr>
          <w:rFonts w:ascii="Arial" w:cs="Arial" w:eastAsia="Arial" w:hAnsi="Arial"/>
          <w:sz w:val="17"/>
          <w:szCs w:val="17"/>
          <w:color w:val="FF0000"/>
          <w:strike w:val="1"/>
        </w:rPr>
        <w:t>and</w:t>
      </w:r>
      <w:r>
        <w:rPr>
          <w:rFonts w:ascii="Arial" w:cs="Arial" w:eastAsia="Arial" w:hAnsi="Arial"/>
          <w:sz w:val="17"/>
          <w:szCs w:val="17"/>
          <w:u w:val="single" w:color="auto"/>
          <w:color w:val="0000E1"/>
        </w:rPr>
        <w:t>,</w:t>
      </w:r>
      <w:r>
        <w:rPr>
          <w:rFonts w:ascii="Arial" w:cs="Arial" w:eastAsia="Arial" w:hAnsi="Arial"/>
          <w:sz w:val="17"/>
          <w:szCs w:val="17"/>
          <w:color w:val="auto"/>
        </w:rPr>
        <w:t xml:space="preserve"> Deposit Account Liabilities </w:t>
      </w:r>
      <w:r>
        <w:rPr>
          <w:rFonts w:ascii="Arial" w:cs="Arial" w:eastAsia="Arial" w:hAnsi="Arial"/>
          <w:sz w:val="17"/>
          <w:szCs w:val="17"/>
          <w:u w:val="single" w:color="auto"/>
          <w:color w:val="0000E1"/>
        </w:rPr>
        <w:t>and Foreign LCs</w:t>
      </w:r>
      <w:r>
        <w:rPr>
          <w:rFonts w:ascii="Arial" w:cs="Arial" w:eastAsia="Arial" w:hAnsi="Arial"/>
          <w:sz w:val="17"/>
          <w:szCs w:val="17"/>
          <w:color w:val="auto"/>
        </w:rPr>
        <w:t xml:space="preserve"> have been paid in full (or been cash collateralized in a manner reasonably acceptable to the applicable counterparty) and the principal of and interest on the Loans and all other amounts payable by the Borrower and the Guarantors under this Agreement and all other Loan Documents and all other Obligations have been paid in full, unless such Guarantor is otherwise released from its obligations under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Section 11.11</w:t>
      </w:r>
      <w:r>
        <w:rPr>
          <w:rFonts w:ascii="Arial" w:cs="Arial" w:eastAsia="Arial" w:hAnsi="Arial"/>
          <w:sz w:val="17"/>
          <w:szCs w:val="17"/>
          <w:color w:val="auto"/>
        </w:rPr>
        <w:t xml:space="preserve">. If at any time any payment of the principal of or interest on any Loan or any Reimbursement Obligation or any other amount payable by the Borrower or other obligor or any Guarantor under the Loan Documents in respect of the Obligations is rescinded or must be otherwise restored or returned upon the insolvency, bankruptcy, or reorganization of the Borrower or other obligor or of any Guarantor, or otherwise, each Guarantor’s obligations under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with respect to such payment shall be reinstated at such time as though such payment had become due but had not been made at such time, unless such Guarantor is otherwise released from its obligations under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Section 11.11</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-1102360</wp:posOffset>
            </wp:positionV>
            <wp:extent cx="3429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-1102360</wp:posOffset>
            </wp:positionV>
            <wp:extent cx="771525"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-768350</wp:posOffset>
            </wp:positionV>
            <wp:extent cx="28575"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-768350</wp:posOffset>
            </wp:positionV>
            <wp:extent cx="28575"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9"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Section 12.4 </w:t>
      </w:r>
      <w:r>
        <w:rPr>
          <w:rFonts w:ascii="Arial" w:cs="Arial" w:eastAsia="Arial" w:hAnsi="Arial"/>
          <w:sz w:val="16"/>
          <w:szCs w:val="16"/>
          <w:i w:val="1"/>
          <w:iCs w:val="1"/>
          <w:color w:val="auto"/>
        </w:rPr>
        <w:t>Subrogation</w:t>
      </w:r>
      <w:r>
        <w:rPr>
          <w:rFonts w:ascii="Arial" w:cs="Arial" w:eastAsia="Arial" w:hAnsi="Arial"/>
          <w:sz w:val="16"/>
          <w:szCs w:val="16"/>
          <w:color w:val="auto"/>
        </w:rPr>
        <w:t xml:space="preserve">. Each Guarantor agrees it will not exercise any rights which it may acquire by way of subrogation by any payment made hereunder, or otherwise, until all the Obligations, Hedging Liability, and Funds Transfer, Deposit Account Liability and Foreign LCs shall have been paid in full (other than contingent obligations not yet accrued and payable) and subsequent to the termination of all the Commitments and expiration of all Letters of Credit (or such Letters of Credit have been cash collateralized or backed by standby letters of credit reasonably acceptable to the applicable L/C Issuer or “grandfathered” into any future credit facilities), subject to </w:t>
      </w:r>
      <w:r>
        <w:rPr>
          <w:rFonts w:ascii="Arial" w:cs="Arial" w:eastAsia="Arial" w:hAnsi="Arial"/>
          <w:sz w:val="16"/>
          <w:szCs w:val="16"/>
          <w:u w:val="single" w:color="auto"/>
          <w:color w:val="auto"/>
        </w:rPr>
        <w:t>Section 12.6</w:t>
      </w:r>
      <w:r>
        <w:rPr>
          <w:rFonts w:ascii="Arial" w:cs="Arial" w:eastAsia="Arial" w:hAnsi="Arial"/>
          <w:sz w:val="16"/>
          <w:szCs w:val="16"/>
          <w:color w:val="auto"/>
        </w:rPr>
        <w:t>. If any amount shall be paid to a Guarantor on account of such subrogation rights at any time prior to the later of (x) the payment in full of the Obligations, Hedging Liability, and Funds Transfer, Deposit Account Liability and Foreign LCs and all other amounts payable by the Borrower hereunder and the other Loan Documents and (y) the termination of the Commitments and expiration of all Letters of Credit (or such Letters of Credit have been cash collateralized or backed by standby letters of credit reasonably acceptable to the applicable L/C Issuer or “grandfathered” into any future credit facilities), such amount shall be held in trust for the benefit of the Administrative Agent, the Lenders and the L/C Issuer (and their Affiliates) and shall forthwith be paid to the Administrative Agent for the benefit of the Lenders (and their Affiliates) or be credited and applied upon the Obligations, Hedging Liability, and Funds Transfer, Deposit Account Liability and Foreign LCs, whether matured or unmatured,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1580515</wp:posOffset>
            </wp:positionH>
            <wp:positionV relativeFrom="paragraph">
              <wp:posOffset>-1598295</wp:posOffset>
            </wp:positionV>
            <wp:extent cx="28575"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-1049655</wp:posOffset>
            </wp:positionV>
            <wp:extent cx="28575"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8"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i w:val="1"/>
          <w:iCs w:val="1"/>
          <w:color w:val="auto"/>
        </w:rPr>
        <w:t>Waivers</w:t>
      </w:r>
      <w:r>
        <w:rPr>
          <w:rFonts w:ascii="Arial" w:cs="Arial" w:eastAsia="Arial" w:hAnsi="Arial"/>
          <w:sz w:val="18"/>
          <w:szCs w:val="18"/>
          <w:color w:val="auto"/>
        </w:rPr>
        <w:t>. Each Guarantor irrevocably waives acceptance hereof, presentment, demand, protest, and any notice not provided for herein, as well as any requirement that at any time any action be taken by the Administrative Agent, any Lender, or any other Person against the Borrower, any Guarantor,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-353695</wp:posOffset>
            </wp:positionV>
            <wp:extent cx="28575"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12.6 </w:t>
      </w:r>
      <w:r>
        <w:rPr>
          <w:rFonts w:ascii="Arial" w:cs="Arial" w:eastAsia="Arial" w:hAnsi="Arial"/>
          <w:sz w:val="18"/>
          <w:szCs w:val="18"/>
          <w:i w:val="1"/>
          <w:iCs w:val="1"/>
          <w:color w:val="auto"/>
        </w:rPr>
        <w:t>Limit on Recovery</w:t>
      </w:r>
      <w:r>
        <w:rPr>
          <w:rFonts w:ascii="Arial" w:cs="Arial" w:eastAsia="Arial" w:hAnsi="Arial"/>
          <w:sz w:val="18"/>
          <w:szCs w:val="18"/>
          <w:color w:val="auto"/>
        </w:rPr>
        <w:t xml:space="preserve">. Notwithstanding any other provision hereof, the right of recovery against each Guarantor under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shall not exceed $1.00 less than the lowest amount which would render such Guarantor’s obligations under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void or voidable under applicable law, including, without limitation, fraudulent conveyance law. To effectuate the foregoing intention, the Administrative Agent, the Lenders, the L/C Issuers and the Guarantors hereby irrevocably agree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-488950</wp:posOffset>
            </wp:positionV>
            <wp:extent cx="28575"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960"/>
          </w:cols>
          <w:pgMar w:left="440" w:top="274" w:right="499" w:bottom="1440" w:gutter="0" w:footer="0" w:header="0"/>
        </w:sectPr>
      </w:pPr>
    </w:p>
    <w:bookmarkStart w:id="202" w:name="page203"/>
    <w:bookmarkEnd w:id="20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Obligations of each Guarantor (other than Holdings) under the guarantee set forth in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at any time shall be limited to the maximum amount as will result in the Obligations of such Guarantor under the Guarantee set forth in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not constituting a fraudulent transfer or conveyance after giving full effect to the liability under the Guarantee set forth in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its related contribution rights set forth in the following sentence but before taking into account any liabilities under any other guarantee by such Guarantors. To the extent that any Guarantor shall be required hereunder to pay any portion of any guaranteed obligation exceeding the greater of (a) the amount of the value actually received by such Guarantor and its Restricted Subsidiaries (other than the Borrower) from the Loans and such other obligations and (b) the amount such Guarantor would otherwise have paid if such Guarantor had paid the aggregate amount of the guaranteed obligations (excluding the amount thereof repaid by the Borrower) in the same proportion as such Guarantor’s net worth on the date enforcement is sought hereunder bears to the aggregate net worth of all the Guarantors on such date, then such Guarantor shall be reimbursed by such other Guarantors for the amount of such excess,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the respective net worth of such other Guarantors on such date. For purposes of determining the net worth of any Guarantor in connection with the foregoing, all guarantees of such Guarantor other than the Guarantee under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will be deemed to be enforceable and payable after the Guarantee under this </w:t>
      </w:r>
      <w:r>
        <w:rPr>
          <w:rFonts w:ascii="Arial" w:cs="Arial" w:eastAsia="Arial" w:hAnsi="Arial"/>
          <w:sz w:val="16"/>
          <w:szCs w:val="16"/>
          <w:u w:val="single" w:color="auto"/>
          <w:color w:val="auto"/>
        </w:rPr>
        <w:t>Section 12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-1047115</wp:posOffset>
            </wp:positionV>
            <wp:extent cx="28575"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-224155</wp:posOffset>
            </wp:positionV>
            <wp:extent cx="28575"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2"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12.7 </w:t>
      </w:r>
      <w:r>
        <w:rPr>
          <w:rFonts w:ascii="Arial" w:cs="Arial" w:eastAsia="Arial" w:hAnsi="Arial"/>
          <w:sz w:val="18"/>
          <w:szCs w:val="18"/>
          <w:i w:val="1"/>
          <w:iCs w:val="1"/>
          <w:color w:val="auto"/>
        </w:rPr>
        <w:t>Stay of Acceleration</w:t>
      </w:r>
      <w:r>
        <w:rPr>
          <w:rFonts w:ascii="Arial" w:cs="Arial" w:eastAsia="Arial" w:hAnsi="Arial"/>
          <w:sz w:val="18"/>
          <w:szCs w:val="18"/>
          <w:color w:val="auto"/>
        </w:rPr>
        <w:t>. If acceleration of the time for payment of any amount payable by the Borrower under this Agreement or any other Loan Document, or under any agreement establishing Hedging Liability or Funds Transfer, Deposit Account Liability and Foreign LCs, is stayed upon the insolvency, bankruptcy or reorganization of the Borrower or such obligor, all such amounts otherwise subject to acceleration under the terms of this Agreement or the other Loan Documents, or under any agreement establishing Hedging Liability or Funds Transfer, Deposit Account Liability and Foreign LCs, shall nonetheless be payable by the Guarantors hereunder forthwith on demand by the Administrative Agent made at the request of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-759460</wp:posOffset>
            </wp:positionV>
            <wp:extent cx="28575"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 xml:space="preserve">Section 12.8 </w:t>
      </w:r>
      <w:r>
        <w:rPr>
          <w:rFonts w:ascii="Arial" w:cs="Arial" w:eastAsia="Arial" w:hAnsi="Arial"/>
          <w:sz w:val="18"/>
          <w:szCs w:val="18"/>
          <w:i w:val="1"/>
          <w:iCs w:val="1"/>
          <w:color w:val="auto"/>
        </w:rPr>
        <w:t>Benefit to Guarantors</w:t>
      </w:r>
      <w:r>
        <w:rPr>
          <w:rFonts w:ascii="Arial" w:cs="Arial" w:eastAsia="Arial" w:hAnsi="Arial"/>
          <w:sz w:val="18"/>
          <w:szCs w:val="18"/>
          <w:color w:val="auto"/>
        </w:rPr>
        <w:t>. The Borrower and the Guarantors are engaged in related businesses and integrated to such an extent that the financial strength and flexibility of the Borrower has a direct impact on the success of each Guarantor. Each Guarantor will derive substantial direct and indirect benefit from the extensions of credit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-353695</wp:posOffset>
            </wp:positionV>
            <wp:extent cx="28575"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-216535</wp:posOffset>
            </wp:positionV>
            <wp:extent cx="28575"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4"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color w:val="auto"/>
        </w:rPr>
        <w:t xml:space="preserve">Section 12.9 </w:t>
      </w:r>
      <w:r>
        <w:rPr>
          <w:rFonts w:ascii="Arial" w:cs="Arial" w:eastAsia="Arial" w:hAnsi="Arial"/>
          <w:sz w:val="16"/>
          <w:szCs w:val="16"/>
          <w:i w:val="1"/>
          <w:iCs w:val="1"/>
          <w:color w:val="auto"/>
        </w:rPr>
        <w:t>Guarantor Covenants.</w:t>
      </w:r>
      <w:r>
        <w:rPr>
          <w:rFonts w:ascii="Arial" w:cs="Arial" w:eastAsia="Arial" w:hAnsi="Arial"/>
          <w:sz w:val="16"/>
          <w:szCs w:val="16"/>
          <w:color w:val="auto"/>
        </w:rPr>
        <w:t xml:space="preserve"> Each Guarantor shall take such action as the Borrower is required by this Agreement to cause such Guarantor to take, and shall refrain from taking such action as the Borrower is required by this Agreement to prohibit such Guarantor from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-254635</wp:posOffset>
            </wp:positionV>
            <wp:extent cx="28575"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1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13.</w:t>
        <w:tab/>
        <w:t>M</w:t>
      </w:r>
      <w:r>
        <w:rPr>
          <w:rFonts w:ascii="Arial" w:cs="Arial" w:eastAsia="Arial" w:hAnsi="Arial"/>
          <w:sz w:val="14"/>
          <w:szCs w:val="14"/>
          <w:color w:val="auto"/>
        </w:rPr>
        <w:t>ISCELLANEOUS</w:t>
      </w:r>
      <w:r>
        <w:rPr>
          <w:rFonts w:ascii="Arial" w:cs="Arial" w:eastAsia="Arial" w:hAnsi="Arial"/>
          <w:sz w:val="18"/>
          <w:szCs w:val="18"/>
          <w:color w:val="auto"/>
        </w:rPr>
        <w:t>.</w:t>
      </w:r>
    </w:p>
    <w:p>
      <w:pPr>
        <w:spacing w:after="0" w:line="117"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13.1</w:t>
      </w:r>
      <w:r>
        <w:rPr>
          <w:sz w:val="20"/>
          <w:szCs w:val="20"/>
          <w:color w:val="auto"/>
        </w:rPr>
        <w:tab/>
      </w:r>
      <w:r>
        <w:rPr>
          <w:rFonts w:ascii="Arial" w:cs="Arial" w:eastAsia="Arial" w:hAnsi="Arial"/>
          <w:sz w:val="13"/>
          <w:szCs w:val="13"/>
          <w:i w:val="1"/>
          <w:iCs w:val="1"/>
          <w:color w:val="auto"/>
        </w:rPr>
        <w:t>Taxes</w:t>
      </w:r>
      <w:r>
        <w:rPr>
          <w:rFonts w:ascii="Arial" w:cs="Arial" w:eastAsia="Arial" w:hAnsi="Arial"/>
          <w:sz w:val="13"/>
          <w:szCs w:val="13"/>
          <w:color w:val="auto"/>
        </w:rPr>
        <w:t>.</w:t>
      </w:r>
    </w:p>
    <w:p>
      <w:pPr>
        <w:spacing w:after="0" w:line="117" w:lineRule="exact"/>
        <w:rPr>
          <w:sz w:val="20"/>
          <w:szCs w:val="20"/>
          <w:color w:val="auto"/>
        </w:rPr>
      </w:pPr>
    </w:p>
    <w:p>
      <w:pPr>
        <w:ind w:right="60" w:firstLine="987"/>
        <w:spacing w:after="0" w:line="271" w:lineRule="auto"/>
        <w:tabs>
          <w:tab w:leader="none" w:pos="1361"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Any and all payments by or on account of any obligation of the Loan Parties hereunder or under any other Loan Document shall be made free and clear of and without deduction, reduction or withholding for any and all Indemnified Taxes;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Borrower or any Guarantor shall be required by applicable Legal Requirements to deduct any Indemnified Taxes from such payments, then (i) the sum payable shall be increased as necessary so that after making all required deductions (including deductions, reductions or withholdings applicable to additional sums payable under this </w:t>
      </w:r>
      <w:r>
        <w:rPr>
          <w:rFonts w:ascii="Arial" w:cs="Arial" w:eastAsia="Arial" w:hAnsi="Arial"/>
          <w:sz w:val="17"/>
          <w:szCs w:val="17"/>
          <w:u w:val="single" w:color="auto"/>
          <w:color w:val="auto"/>
        </w:rPr>
        <w:t>Section 13.1(a)</w:t>
      </w:r>
      <w:r>
        <w:rPr>
          <w:rFonts w:ascii="Arial" w:cs="Arial" w:eastAsia="Arial" w:hAnsi="Arial"/>
          <w:sz w:val="17"/>
          <w:szCs w:val="17"/>
          <w:color w:val="auto"/>
        </w:rPr>
        <w:t xml:space="preserve">) the Administrative Agent, any Lender or the L/C Issuer, as the case may be, receives an amount equal to the sum it would have received had no such deductions, reductions or withholdings been made, (ii) the Borrower or such Guarantor shall make such deductions, reductions or withholdings, and (iii) the Borrower or such Guarantor shall timely pay the full amount deducted or withheld to the relevant governmental authority in accordance with applicable Legal Requirements; </w:t>
      </w:r>
      <w:r>
        <w:rPr>
          <w:rFonts w:ascii="Arial" w:cs="Arial" w:eastAsia="Arial" w:hAnsi="Arial"/>
          <w:sz w:val="17"/>
          <w:szCs w:val="17"/>
          <w:i w:val="1"/>
          <w:iCs w:val="1"/>
          <w:color w:val="auto"/>
        </w:rPr>
        <w:t>provided</w:t>
      </w:r>
      <w:r>
        <w:rPr>
          <w:rFonts w:ascii="Arial" w:cs="Arial" w:eastAsia="Arial" w:hAnsi="Arial"/>
          <w:sz w:val="17"/>
          <w:szCs w:val="17"/>
          <w:color w:val="auto"/>
        </w:rPr>
        <w:t>, that if the Borrower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00"/>
          </w:cols>
          <w:pgMar w:left="440" w:top="274" w:right="459" w:bottom="1440" w:gutter="0" w:footer="0" w:header="0"/>
        </w:sectPr>
      </w:pPr>
    </w:p>
    <w:bookmarkStart w:id="203" w:name="page204"/>
    <w:bookmarkEnd w:id="203"/>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reasonably believes that such taxes were not correctly or legally asserted, the Administrative Agent, such Lender or the L/C Issuer, as the case may be, will use reasonable efforts to cooperate with the Borrower to obtain a refund of such taxes so long as such efforts would not, in the sole determination of the Administrative Agent, such Lender or the L/C Issuer, as the case may be, result in any additional costs, expenses or risks or be otherwise disadvantageous to it. If the Administrative Agent, any Lender or the L/C Issuer pays any amount in respect of any such Indemnified Taxes, the Borrower or such Guarantor shall reimburse the Administrative Agent, such Lender or the L/C Issuer for that payment (plus any reasonable expenses) within </w:t>
      </w:r>
      <w:r>
        <w:rPr>
          <w:rFonts w:ascii="Arial" w:cs="Arial" w:eastAsia="Arial" w:hAnsi="Arial"/>
          <w:sz w:val="17"/>
          <w:szCs w:val="17"/>
          <w:u w:val="single" w:color="auto"/>
          <w:color w:val="0000E1"/>
        </w:rPr>
        <w:t>thirty</w:t>
      </w:r>
      <w:r>
        <w:rPr>
          <w:rFonts w:ascii="Arial" w:cs="Arial" w:eastAsia="Arial" w:hAnsi="Arial"/>
          <w:sz w:val="17"/>
          <w:szCs w:val="17"/>
          <w:color w:val="auto"/>
        </w:rPr>
        <w:t xml:space="preserve"> (30 </w:t>
      </w:r>
      <w:r>
        <w:rPr>
          <w:rFonts w:ascii="Arial" w:cs="Arial" w:eastAsia="Arial" w:hAnsi="Arial"/>
          <w:sz w:val="17"/>
          <w:szCs w:val="17"/>
          <w:u w:val="single" w:color="auto"/>
          <w:color w:val="0000E1"/>
        </w:rPr>
        <w:t>)</w:t>
      </w:r>
      <w:r>
        <w:rPr>
          <w:rFonts w:ascii="Arial" w:cs="Arial" w:eastAsia="Arial" w:hAnsi="Arial"/>
          <w:sz w:val="17"/>
          <w:szCs w:val="17"/>
          <w:color w:val="auto"/>
        </w:rPr>
        <w:t xml:space="preserve"> days of written demand in the currency in which such payment was made, so long as such demand has been made within </w:t>
      </w:r>
      <w:r>
        <w:rPr>
          <w:rFonts w:ascii="Arial" w:cs="Arial" w:eastAsia="Arial" w:hAnsi="Arial"/>
          <w:sz w:val="17"/>
          <w:szCs w:val="17"/>
          <w:u w:val="single" w:color="auto"/>
          <w:color w:val="0000E1"/>
        </w:rPr>
        <w:t>one hundred</w:t>
      </w:r>
      <w:r>
        <w:rPr>
          <w:rFonts w:ascii="Arial" w:cs="Arial" w:eastAsia="Arial" w:hAnsi="Arial"/>
          <w:sz w:val="17"/>
          <w:szCs w:val="17"/>
          <w:color w:val="auto"/>
        </w:rPr>
        <w:t xml:space="preserve"> </w:t>
      </w:r>
      <w:r>
        <w:rPr>
          <w:rFonts w:ascii="Arial" w:cs="Arial" w:eastAsia="Arial" w:hAnsi="Arial"/>
          <w:sz w:val="17"/>
          <w:szCs w:val="17"/>
          <w:u w:val="single" w:color="auto"/>
          <w:color w:val="0000E1"/>
        </w:rPr>
        <w:t>twenty</w:t>
      </w:r>
      <w:r>
        <w:rPr>
          <w:rFonts w:ascii="Arial" w:cs="Arial" w:eastAsia="Arial" w:hAnsi="Arial"/>
          <w:sz w:val="17"/>
          <w:szCs w:val="17"/>
          <w:color w:val="0000E1"/>
        </w:rPr>
        <w:t xml:space="preserve"> </w:t>
      </w:r>
      <w:r>
        <w:rPr>
          <w:rFonts w:ascii="Arial" w:cs="Arial" w:eastAsia="Arial" w:hAnsi="Arial"/>
          <w:sz w:val="17"/>
          <w:szCs w:val="17"/>
          <w:color w:val="000000"/>
        </w:rPr>
        <w:t>(120</w:t>
      </w:r>
      <w:r>
        <w:rPr>
          <w:rFonts w:ascii="Arial" w:cs="Arial" w:eastAsia="Arial" w:hAnsi="Arial"/>
          <w:sz w:val="17"/>
          <w:szCs w:val="17"/>
          <w:color w:val="0000E1"/>
        </w:rPr>
        <w:t xml:space="preserve"> </w:t>
      </w:r>
      <w:r>
        <w:rPr>
          <w:rFonts w:ascii="Arial" w:cs="Arial" w:eastAsia="Arial" w:hAnsi="Arial"/>
          <w:sz w:val="17"/>
          <w:szCs w:val="17"/>
          <w:u w:val="single" w:color="auto"/>
          <w:color w:val="0000E1"/>
        </w:rPr>
        <w:t>)</w:t>
      </w:r>
      <w:r>
        <w:rPr>
          <w:rFonts w:ascii="Arial" w:cs="Arial" w:eastAsia="Arial" w:hAnsi="Arial"/>
          <w:sz w:val="17"/>
          <w:szCs w:val="17"/>
          <w:color w:val="0000E1"/>
        </w:rPr>
        <w:t xml:space="preserve"> </w:t>
      </w:r>
      <w:r>
        <w:rPr>
          <w:rFonts w:ascii="Arial" w:cs="Arial" w:eastAsia="Arial" w:hAnsi="Arial"/>
          <w:sz w:val="17"/>
          <w:szCs w:val="17"/>
          <w:color w:val="000000"/>
        </w:rPr>
        <w:t>days after the Administrative Agent, the applicable Lender or the L/C Issuer has made such payment. If the Borrower or such Guarantor</w:t>
      </w:r>
      <w:r>
        <w:rPr>
          <w:rFonts w:ascii="Arial" w:cs="Arial" w:eastAsia="Arial" w:hAnsi="Arial"/>
          <w:sz w:val="17"/>
          <w:szCs w:val="17"/>
          <w:color w:val="0000E1"/>
        </w:rPr>
        <w:t xml:space="preserve"> </w:t>
      </w:r>
      <w:r>
        <w:rPr>
          <w:rFonts w:ascii="Arial" w:cs="Arial" w:eastAsia="Arial" w:hAnsi="Arial"/>
          <w:sz w:val="17"/>
          <w:szCs w:val="17"/>
          <w:color w:val="000000"/>
        </w:rPr>
        <w:t>pays any such Indemnified Taxes, it shall deliver official tax receipts or other official documentation evidencing that payment or copies thereof to the Lender, the L/C Issuer or the Administrative Agent on whose account such withholding was made (with a copy to the Administrative Agent if not the recipient of the original) on or before the thirtieth day after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-901700</wp:posOffset>
            </wp:positionV>
            <wp:extent cx="2857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314325</wp:posOffset>
            </wp:positionH>
            <wp:positionV relativeFrom="paragraph">
              <wp:posOffset>-549910</wp:posOffset>
            </wp:positionV>
            <wp:extent cx="283210"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-627380</wp:posOffset>
            </wp:positionV>
            <wp:extent cx="28575"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-549910</wp:posOffset>
            </wp:positionV>
            <wp:extent cx="34290"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-549910</wp:posOffset>
            </wp:positionV>
            <wp:extent cx="565785"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-412750</wp:posOffset>
            </wp:positionV>
            <wp:extent cx="3429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-490220</wp:posOffset>
            </wp:positionV>
            <wp:extent cx="28575"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-412750</wp:posOffset>
            </wp:positionV>
            <wp:extent cx="4318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-490220</wp:posOffset>
            </wp:positionV>
            <wp:extent cx="28575"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5" w:lineRule="exact"/>
        <w:rPr>
          <w:sz w:val="20"/>
          <w:szCs w:val="20"/>
          <w:color w:val="auto"/>
        </w:rPr>
      </w:pPr>
    </w:p>
    <w:p>
      <w:pPr>
        <w:ind w:firstLine="987"/>
        <w:spacing w:after="0" w:line="284" w:lineRule="auto"/>
        <w:tabs>
          <w:tab w:leader="none" w:pos="1381" w:val="left"/>
        </w:tabs>
        <w:numPr>
          <w:ilvl w:val="0"/>
          <w:numId w:val="260"/>
        </w:numPr>
        <w:rPr>
          <w:rFonts w:ascii="Arial" w:cs="Arial" w:eastAsia="Arial" w:hAnsi="Arial"/>
          <w:sz w:val="16"/>
          <w:szCs w:val="16"/>
          <w:color w:val="auto"/>
        </w:rPr>
      </w:pPr>
      <w:r>
        <w:rPr>
          <w:rFonts w:ascii="Arial" w:cs="Arial" w:eastAsia="Arial" w:hAnsi="Arial"/>
          <w:sz w:val="16"/>
          <w:szCs w:val="16"/>
          <w:color w:val="auto"/>
        </w:rPr>
        <w:t xml:space="preserve">Each Lender or L/C Issuer that is not a United States person (as such term is defined in Section 7701(a)(30) of the Code) shall submit to the Borrower and the Administrative Agent on or before the date the initial Credit Event is made hereunder or, if later, the date such Person becomes a Lender or L/C Issuer hereunder, </w:t>
      </w:r>
      <w:r>
        <w:rPr>
          <w:rFonts w:ascii="Arial" w:cs="Arial" w:eastAsia="Arial" w:hAnsi="Arial"/>
          <w:sz w:val="16"/>
          <w:szCs w:val="16"/>
          <w:color w:val="FF0000"/>
          <w:strike w:val="1"/>
        </w:rPr>
        <w:t>two</w:t>
      </w:r>
      <w:r>
        <w:rPr>
          <w:rFonts w:ascii="Arial" w:cs="Arial" w:eastAsia="Arial" w:hAnsi="Arial"/>
          <w:sz w:val="16"/>
          <w:szCs w:val="16"/>
          <w:u w:val="single" w:color="auto"/>
          <w:color w:val="0000E1"/>
        </w:rPr>
        <w:t>a</w:t>
      </w:r>
      <w:r>
        <w:rPr>
          <w:rFonts w:ascii="Arial" w:cs="Arial" w:eastAsia="Arial" w:hAnsi="Arial"/>
          <w:sz w:val="16"/>
          <w:szCs w:val="16"/>
          <w:color w:val="auto"/>
        </w:rPr>
        <w:t xml:space="preserve"> duly completed and signed </w:t>
      </w:r>
      <w:r>
        <w:rPr>
          <w:rFonts w:ascii="Arial" w:cs="Arial" w:eastAsia="Arial" w:hAnsi="Arial"/>
          <w:sz w:val="16"/>
          <w:szCs w:val="16"/>
          <w:color w:val="FF0000"/>
          <w:strike w:val="1"/>
        </w:rPr>
        <w:t>originals</w:t>
      </w:r>
      <w:r>
        <w:rPr>
          <w:rFonts w:ascii="Arial" w:cs="Arial" w:eastAsia="Arial" w:hAnsi="Arial"/>
          <w:sz w:val="16"/>
          <w:szCs w:val="16"/>
          <w:u w:val="single" w:color="auto"/>
          <w:color w:val="0000E1"/>
        </w:rPr>
        <w:t>copy</w:t>
      </w:r>
      <w:r>
        <w:rPr>
          <w:rFonts w:ascii="Arial" w:cs="Arial" w:eastAsia="Arial" w:hAnsi="Arial"/>
          <w:sz w:val="16"/>
          <w:szCs w:val="16"/>
          <w:color w:val="auto"/>
        </w:rPr>
        <w:t xml:space="preserve"> of (i) Forms W-8BEN or W-8BEN-E, as applicable (relating to such Lender or L/C Issuer and entitling it to a complete exemption from or reduction of withholding under an applicable tax treaty on amounts to be received by such Lender or L/C Issuer, including fees, pursuant to the Loan Documents and the Obligations), Form W-8ECI (relating to amounts to be received by such Lender or L/C Issuer, including fees, pursuant to the Loan Documents and the Obligations), Form W-8EXP or Form W-8IMY (together with the required attachments) of the United States Internal Revenue Service or any subsequent versions thereof or successors thereto, and (ii) solely if such Lender or L/C Issuer is claiming exemption from United States withholding tax under Section 871(h) or 881(c) of the Code with respect to payments of “portfolio interest”, Forms W-8BEN or W-8BEN-E, as applicable, and a certificate of such Lender or L/C Issuer representing to the Administrative Agent and the Borrower that such Lender or L/C Issuer is not a bank for purposes of Section 881(c) of the Code, is not a 10-percent shareholder (within the meaning of Section 871(h)(3)(B) of the Code) of </w:t>
      </w:r>
      <w:r>
        <w:rPr>
          <w:rFonts w:ascii="Arial" w:cs="Arial" w:eastAsia="Arial" w:hAnsi="Arial"/>
          <w:sz w:val="16"/>
          <w:szCs w:val="16"/>
          <w:u w:val="single" w:color="auto"/>
          <w:color w:val="0000E1"/>
        </w:rPr>
        <w:t>the</w:t>
      </w:r>
      <w:r>
        <w:rPr>
          <w:rFonts w:ascii="Arial" w:cs="Arial" w:eastAsia="Arial" w:hAnsi="Arial"/>
          <w:sz w:val="16"/>
          <w:szCs w:val="16"/>
          <w:color w:val="auto"/>
        </w:rPr>
        <w:t xml:space="preserve"> Borrower and is not a controlled foreign corporation related to </w:t>
      </w:r>
      <w:r>
        <w:rPr>
          <w:rFonts w:ascii="Arial" w:cs="Arial" w:eastAsia="Arial" w:hAnsi="Arial"/>
          <w:sz w:val="16"/>
          <w:szCs w:val="16"/>
          <w:u w:val="single" w:color="auto"/>
          <w:color w:val="0000E1"/>
        </w:rPr>
        <w:t>the</w:t>
      </w:r>
      <w:r>
        <w:rPr>
          <w:rFonts w:ascii="Arial" w:cs="Arial" w:eastAsia="Arial" w:hAnsi="Arial"/>
          <w:sz w:val="16"/>
          <w:szCs w:val="16"/>
          <w:color w:val="auto"/>
        </w:rPr>
        <w:t xml:space="preserve"> Borrower (within the meaning of Section 864(d)(4) of the Code), and such Lender or L/C Issuer agrees that it shall promptly notify the Administrative Agent in the event any such representation is no longer accurate. Each Lender or L/C Issuer that is a United States person (as such term is defined in Section 7701(a)(30) of the Code) shall submit to the Borrower and the Administrative Agent on or before the date the initial Credit Event is made hereunder or, if later, the date such Person becomes a Lender or L/C Issuer hereunder, </w:t>
      </w:r>
      <w:r>
        <w:rPr>
          <w:rFonts w:ascii="Arial" w:cs="Arial" w:eastAsia="Arial" w:hAnsi="Arial"/>
          <w:sz w:val="16"/>
          <w:szCs w:val="16"/>
          <w:color w:val="FF0000"/>
          <w:strike w:val="1"/>
        </w:rPr>
        <w:t>two</w:t>
      </w:r>
      <w:r>
        <w:rPr>
          <w:rFonts w:ascii="Arial" w:cs="Arial" w:eastAsia="Arial" w:hAnsi="Arial"/>
          <w:sz w:val="16"/>
          <w:szCs w:val="16"/>
          <w:u w:val="single" w:color="auto"/>
          <w:color w:val="0000E1"/>
        </w:rPr>
        <w:t>a</w:t>
      </w:r>
      <w:r>
        <w:rPr>
          <w:rFonts w:ascii="Arial" w:cs="Arial" w:eastAsia="Arial" w:hAnsi="Arial"/>
          <w:sz w:val="16"/>
          <w:szCs w:val="16"/>
          <w:color w:val="auto"/>
        </w:rPr>
        <w:t xml:space="preserve"> duly completed and signed </w:t>
      </w:r>
      <w:r>
        <w:rPr>
          <w:rFonts w:ascii="Arial" w:cs="Arial" w:eastAsia="Arial" w:hAnsi="Arial"/>
          <w:sz w:val="16"/>
          <w:szCs w:val="16"/>
          <w:color w:val="FF0000"/>
          <w:strike w:val="1"/>
        </w:rPr>
        <w:t>copies</w:t>
      </w:r>
      <w:r>
        <w:rPr>
          <w:rFonts w:ascii="Arial" w:cs="Arial" w:eastAsia="Arial" w:hAnsi="Arial"/>
          <w:sz w:val="16"/>
          <w:szCs w:val="16"/>
          <w:u w:val="single" w:color="auto"/>
          <w:color w:val="0000E1"/>
        </w:rPr>
        <w:t>copy</w:t>
      </w:r>
      <w:r>
        <w:rPr>
          <w:rFonts w:ascii="Arial" w:cs="Arial" w:eastAsia="Arial" w:hAnsi="Arial"/>
          <w:sz w:val="16"/>
          <w:szCs w:val="16"/>
          <w:color w:val="auto"/>
        </w:rPr>
        <w:t xml:space="preserve"> of Form W-9 of the United States Internal Revenue Service or any subsequent versions thereof or successors thereto. Thereafter and from time to time each Lender or L/C Issuer shall submit to the Borrower and the Administrative Agent such additional duly completed and signed copies of one or the other of such documents, information and forms (or such successor forms as shall be adopted from time to time by the relevant United States taxing authorities) (A) upon the expiration of any previously delivered forms, documents or information and (B) as may be (i) requested by the Borrower or the Administrative Agent in a notice, directly or through the Administrative Agent, to such Lender or L/C Issuer and (ii) required under then current United States law or regulations to avoid or reduce United States withholding taxes on payments in respect of all amounts to be received by such Lender or L/C Issuer, including fees, pursuant to the Loan Documents or the Obligations. Notwithstanding any other provision in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a Lender or L/C Issuer </w:t>
      </w:r>
      <w:r>
        <w:rPr>
          <w:rFonts w:ascii="Arial" w:cs="Arial" w:eastAsia="Arial" w:hAnsi="Arial"/>
          <w:sz w:val="16"/>
          <w:szCs w:val="16"/>
          <w:u w:val="single" w:color="auto"/>
          <w:color w:val="0000E1"/>
        </w:rPr>
        <w:t>that is not a United States person</w:t>
      </w:r>
      <w:r>
        <w:rPr>
          <w:rFonts w:ascii="Arial" w:cs="Arial" w:eastAsia="Arial" w:hAnsi="Arial"/>
          <w:sz w:val="16"/>
          <w:szCs w:val="16"/>
          <w:color w:val="auto"/>
        </w:rPr>
        <w:t xml:space="preserve"> </w:t>
      </w:r>
      <w:r>
        <w:rPr>
          <w:rFonts w:ascii="Arial" w:cs="Arial" w:eastAsia="Arial" w:hAnsi="Arial"/>
          <w:sz w:val="16"/>
          <w:szCs w:val="16"/>
          <w:u w:val="single" w:color="auto"/>
          <w:color w:val="0000E1"/>
        </w:rPr>
        <w:t>(as such term is defined in Section 7701(a)(30) of the Code)</w:t>
      </w:r>
      <w:r>
        <w:rPr>
          <w:rFonts w:ascii="Arial" w:cs="Arial" w:eastAsia="Arial" w:hAnsi="Arial"/>
          <w:sz w:val="16"/>
          <w:szCs w:val="16"/>
          <w:color w:val="0000E1"/>
        </w:rPr>
        <w:t xml:space="preserve"> </w:t>
      </w:r>
      <w:r>
        <w:rPr>
          <w:rFonts w:ascii="Arial" w:cs="Arial" w:eastAsia="Arial" w:hAnsi="Arial"/>
          <w:sz w:val="16"/>
          <w:szCs w:val="16"/>
          <w:color w:val="000000"/>
        </w:rPr>
        <w:t>shall not be required to deliver any form pursuant to this</w:t>
      </w:r>
      <w:r>
        <w:rPr>
          <w:rFonts w:ascii="Arial" w:cs="Arial" w:eastAsia="Arial" w:hAnsi="Arial"/>
          <w:sz w:val="16"/>
          <w:szCs w:val="16"/>
          <w:color w:val="0000E1"/>
        </w:rPr>
        <w:t xml:space="preserve"> </w:t>
      </w:r>
      <w:r>
        <w:rPr>
          <w:rFonts w:ascii="Arial" w:cs="Arial" w:eastAsia="Arial" w:hAnsi="Arial"/>
          <w:sz w:val="16"/>
          <w:szCs w:val="16"/>
          <w:u w:val="single" w:color="auto"/>
          <w:color w:val="000000"/>
        </w:rPr>
        <w:t>Section 13.1(b)</w:t>
      </w:r>
      <w:r>
        <w:rPr>
          <w:rFonts w:ascii="Arial" w:cs="Arial" w:eastAsia="Arial" w:hAnsi="Arial"/>
          <w:sz w:val="16"/>
          <w:szCs w:val="16"/>
          <w:color w:val="0000E1"/>
        </w:rPr>
        <w:t xml:space="preserve"> </w:t>
      </w:r>
      <w:r>
        <w:rPr>
          <w:rFonts w:ascii="Arial" w:cs="Arial" w:eastAsia="Arial" w:hAnsi="Arial"/>
          <w:sz w:val="16"/>
          <w:szCs w:val="16"/>
          <w:color w:val="000000"/>
        </w:rPr>
        <w:t>to the extent such</w:t>
      </w:r>
      <w:r>
        <w:rPr>
          <w:rFonts w:ascii="Arial" w:cs="Arial" w:eastAsia="Arial" w:hAnsi="Arial"/>
          <w:sz w:val="16"/>
          <w:szCs w:val="16"/>
          <w:color w:val="0000E1"/>
        </w:rPr>
        <w:t xml:space="preserve"> </w:t>
      </w:r>
      <w:r>
        <w:rPr>
          <w:rFonts w:ascii="Arial" w:cs="Arial" w:eastAsia="Arial" w:hAnsi="Arial"/>
          <w:sz w:val="16"/>
          <w:szCs w:val="16"/>
          <w:color w:val="000000"/>
        </w:rPr>
        <w:t>Lender is not legally able to deliver it</w:t>
      </w:r>
      <w:r>
        <w:rPr>
          <w:rFonts w:ascii="Arial" w:cs="Arial" w:eastAsia="Arial" w:hAnsi="Arial"/>
          <w:sz w:val="16"/>
          <w:szCs w:val="16"/>
          <w:color w:val="FF0000"/>
          <w:strike w:val="1"/>
        </w:rPr>
        <w:t>;</w:t>
      </w:r>
      <w:r>
        <w:rPr>
          <w:rFonts w:ascii="Arial" w:cs="Arial" w:eastAsia="Arial" w:hAnsi="Arial"/>
          <w:sz w:val="16"/>
          <w:szCs w:val="16"/>
          <w:color w:val="000000"/>
        </w:rPr>
        <w:t xml:space="preserve"> </w:t>
      </w:r>
      <w:r>
        <w:rPr>
          <w:rFonts w:ascii="Arial" w:cs="Arial" w:eastAsia="Arial" w:hAnsi="Arial"/>
          <w:sz w:val="16"/>
          <w:szCs w:val="16"/>
          <w:i w:val="1"/>
          <w:iCs w:val="1"/>
          <w:color w:val="FF0000"/>
          <w:strike w:val="1"/>
        </w:rPr>
        <w:t>provided, however</w:t>
      </w:r>
      <w:r>
        <w:rPr>
          <w:rFonts w:ascii="Arial" w:cs="Arial" w:eastAsia="Arial" w:hAnsi="Arial"/>
          <w:sz w:val="16"/>
          <w:szCs w:val="16"/>
          <w:color w:val="008000"/>
          <w:strike w:val="1"/>
        </w:rPr>
        <w:t>, for the avoidance of doubt,</w:t>
      </w:r>
      <w:r>
        <w:rPr>
          <w:rFonts w:ascii="Arial" w:cs="Arial" w:eastAsia="Arial" w:hAnsi="Arial"/>
          <w:sz w:val="16"/>
          <w:szCs w:val="16"/>
          <w:color w:val="000000"/>
        </w:rPr>
        <w:t xml:space="preserve"> </w:t>
      </w:r>
      <w:r>
        <w:rPr>
          <w:rFonts w:ascii="Arial" w:cs="Arial" w:eastAsia="Arial" w:hAnsi="Arial"/>
          <w:sz w:val="16"/>
          <w:szCs w:val="16"/>
          <w:color w:val="FF0000"/>
          <w:strike w:val="1"/>
        </w:rPr>
        <w:t>the inability to legally deliver such forms shall not limit the</w:t>
      </w:r>
      <w:r>
        <w:rPr>
          <w:rFonts w:ascii="Arial" w:cs="Arial" w:eastAsia="Arial" w:hAnsi="Arial"/>
          <w:sz w:val="16"/>
          <w:szCs w:val="16"/>
          <w:color w:val="000000"/>
        </w:rPr>
        <w:t xml:space="preserve"> </w:t>
      </w:r>
      <w:r>
        <w:rPr>
          <w:rFonts w:ascii="Arial" w:cs="Arial" w:eastAsia="Arial" w:hAnsi="Arial"/>
          <w:sz w:val="16"/>
          <w:szCs w:val="16"/>
          <w:color w:val="FF0000"/>
          <w:strike w:val="1"/>
        </w:rPr>
        <w:t>applicability of clause (d) of the definition of Excluded Taxes</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-2887980</wp:posOffset>
            </wp:positionV>
            <wp:extent cx="51435"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3400425</wp:posOffset>
            </wp:positionH>
            <wp:positionV relativeFrom="paragraph">
              <wp:posOffset>-2887980</wp:posOffset>
            </wp:positionV>
            <wp:extent cx="214630"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-1790700</wp:posOffset>
            </wp:positionV>
            <wp:extent cx="137160"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-1790700</wp:posOffset>
            </wp:positionV>
            <wp:extent cx="137160"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-1593850</wp:posOffset>
            </wp:positionV>
            <wp:extent cx="28575"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-1242060</wp:posOffset>
            </wp:positionV>
            <wp:extent cx="51435"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4377690</wp:posOffset>
            </wp:positionH>
            <wp:positionV relativeFrom="paragraph">
              <wp:posOffset>-1242060</wp:posOffset>
            </wp:positionV>
            <wp:extent cx="214630"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-281940</wp:posOffset>
            </wp:positionV>
            <wp:extent cx="1508760"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5087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-144780</wp:posOffset>
            </wp:positionV>
            <wp:extent cx="2751455"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00"/>
          </w:cols>
          <w:pgMar w:left="440" w:top="274" w:right="459" w:bottom="1440" w:gutter="0" w:footer="0" w:header="0"/>
        </w:sectPr>
      </w:pPr>
    </w:p>
    <w:bookmarkStart w:id="204" w:name="page205"/>
    <w:bookmarkEnd w:id="204"/>
    <w:p>
      <w:pPr>
        <w:ind w:left="4" w:firstLine="987"/>
        <w:spacing w:after="0" w:line="293" w:lineRule="auto"/>
        <w:tabs>
          <w:tab w:leader="none" w:pos="1365" w:val="left"/>
        </w:tabs>
        <w:numPr>
          <w:ilvl w:val="1"/>
          <w:numId w:val="2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Lender, L/C Issuer or Administrative Agent claiming any indemnity payment or additional payment amounts payable pursuant to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shall use reasonable efforts (consistent with legal and regulatory restrictions) to file any certificate or document reasonably requested in writing by the Borrower or to change the jurisdiction of its applicable lending office if the making of such a filing or change would avoid the need for or reduce the amount of any such indemnity payment or additional amount which may thereafter accrue, would not require such Lender, L/C Issuer or Administrative Agent to disclose any information such Lender, L/C Issuer or Administrative Agent deems confidential and would not, in the sole determination of such Lender, L/C Issuer or Administrative Agent be otherwise disadvantageous to such Lender, L/C Issuer or Administrative Agent.</w:t>
      </w:r>
    </w:p>
    <w:p>
      <w:pPr>
        <w:spacing w:after="0" w:line="164" w:lineRule="exact"/>
        <w:rPr>
          <w:rFonts w:ascii="Arial" w:cs="Arial" w:eastAsia="Arial" w:hAnsi="Arial"/>
          <w:sz w:val="16"/>
          <w:szCs w:val="16"/>
          <w:color w:val="auto"/>
        </w:rPr>
      </w:pPr>
    </w:p>
    <w:p>
      <w:pPr>
        <w:ind w:left="4" w:right="20" w:firstLine="987"/>
        <w:spacing w:after="0" w:line="254" w:lineRule="auto"/>
        <w:tabs>
          <w:tab w:leader="none" w:pos="1385" w:val="left"/>
        </w:tabs>
        <w:numPr>
          <w:ilvl w:val="1"/>
          <w:numId w:val="261"/>
        </w:numPr>
        <w:rPr>
          <w:rFonts w:ascii="Arial" w:cs="Arial" w:eastAsia="Arial" w:hAnsi="Arial"/>
          <w:sz w:val="18"/>
          <w:szCs w:val="18"/>
          <w:color w:val="auto"/>
        </w:rPr>
      </w:pPr>
      <w:r>
        <w:rPr>
          <w:rFonts w:ascii="Arial" w:cs="Arial" w:eastAsia="Arial" w:hAnsi="Arial"/>
          <w:sz w:val="18"/>
          <w:szCs w:val="18"/>
          <w:i w:val="1"/>
          <w:iCs w:val="1"/>
          <w:color w:val="auto"/>
        </w:rPr>
        <w:t>Inability of Lender or L/C Issuer to Submit Forms</w:t>
      </w:r>
      <w:r>
        <w:rPr>
          <w:rFonts w:ascii="Arial" w:cs="Arial" w:eastAsia="Arial" w:hAnsi="Arial"/>
          <w:sz w:val="18"/>
          <w:szCs w:val="18"/>
          <w:color w:val="auto"/>
        </w:rPr>
        <w:t>. If any Lender or L/C Issuer determines, as a result of any change in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law, regulation or treaty, or in any official application or interpretation thereof, that it is unable to submit to the Borrower or the Administrative Agent any form or certificate that such Lender or L/C Issuer is obligated to submit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or that such Lender or L/C Issuer is required to withdraw or cancel any such form or certificate previously submitted or any such form or certificate otherwise becomes ineffective or inaccurate, such Lender or L/C Issuer shall promptly notify the Borrower and the Administrative Agent of such fact and the Lender or L/C Issuer shall to that extent not be obligated to provide any such form or certificate and will be entitled to withdraw or cancel any affected form or certificate, as applicable.</w:t>
      </w:r>
    </w:p>
    <w:p>
      <w:pPr>
        <w:spacing w:after="0" w:line="194" w:lineRule="exact"/>
        <w:rPr>
          <w:rFonts w:ascii="Arial" w:cs="Arial" w:eastAsia="Arial" w:hAnsi="Arial"/>
          <w:sz w:val="18"/>
          <w:szCs w:val="18"/>
          <w:color w:val="auto"/>
        </w:rPr>
      </w:pPr>
    </w:p>
    <w:p>
      <w:pPr>
        <w:ind w:left="4" w:right="60" w:firstLine="987"/>
        <w:spacing w:after="0" w:line="269" w:lineRule="auto"/>
        <w:tabs>
          <w:tab w:leader="none" w:pos="1420" w:val="left"/>
        </w:tabs>
        <w:numPr>
          <w:ilvl w:val="1"/>
          <w:numId w:val="261"/>
        </w:numPr>
        <w:rPr>
          <w:rFonts w:ascii="Arial" w:cs="Arial" w:eastAsia="Arial" w:hAnsi="Arial"/>
          <w:sz w:val="17"/>
          <w:szCs w:val="17"/>
          <w:color w:val="auto"/>
        </w:rPr>
      </w:pPr>
      <w:r>
        <w:rPr>
          <w:rFonts w:ascii="Arial" w:cs="Arial" w:eastAsia="Arial" w:hAnsi="Arial"/>
          <w:sz w:val="17"/>
          <w:szCs w:val="17"/>
          <w:i w:val="1"/>
          <w:iCs w:val="1"/>
          <w:color w:val="auto"/>
        </w:rPr>
        <w:t>Reimbursement</w:t>
      </w:r>
      <w:r>
        <w:rPr>
          <w:rFonts w:ascii="Arial" w:cs="Arial" w:eastAsia="Arial" w:hAnsi="Arial"/>
          <w:sz w:val="17"/>
          <w:szCs w:val="17"/>
          <w:color w:val="auto"/>
        </w:rPr>
        <w:t>. If any Lender, L/C Issuer or the Administrative Agent determines, in good faith, that it has received a refund of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taxes as to which it has been indemnified by the Borrower or with respect to which the Borrower has paid additional amounts pursuant to this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with respect to the taxes giving rise to such refund), net of all out-of-pocket expenses of such Lender, L/C Issuer or Administrative Agent, and without interest (other than any interest paid by the relevant governmental authority with respect to such refund);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Borrower, upon the request of such Lender, L/C Issuer or Administrative Agent, agree to repay the amount paid over to the Borrower</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penalties, interest or other charges imposed by the relevant governmental authority) to such Lender, L/C Issuer or Administrative Agent in the event such Lender, L/C Issuer or Administrative Agent is required to repay such refund to such governmental authority. This paragraph shall not be construed to require any Lender, L/C Issuer or Administrative Agent to make available its tax returns (or any other information relating to its taxes which it deems confidential) to the Borrower or any other Person.</w:t>
      </w:r>
    </w:p>
    <w:p>
      <w:pPr>
        <w:spacing w:after="0" w:line="185" w:lineRule="exact"/>
        <w:rPr>
          <w:rFonts w:ascii="Arial" w:cs="Arial" w:eastAsia="Arial" w:hAnsi="Arial"/>
          <w:sz w:val="17"/>
          <w:szCs w:val="17"/>
          <w:color w:val="auto"/>
        </w:rPr>
      </w:pPr>
    </w:p>
    <w:p>
      <w:pPr>
        <w:ind w:left="1344" w:hanging="353"/>
        <w:spacing w:after="0"/>
        <w:tabs>
          <w:tab w:leader="none" w:pos="1344" w:val="left"/>
        </w:tabs>
        <w:numPr>
          <w:ilvl w:val="1"/>
          <w:numId w:val="261"/>
        </w:numPr>
        <w:rPr>
          <w:rFonts w:ascii="Arial" w:cs="Arial" w:eastAsia="Arial" w:hAnsi="Arial"/>
          <w:sz w:val="17"/>
          <w:szCs w:val="17"/>
          <w:color w:val="auto"/>
        </w:rPr>
      </w:pPr>
      <w:r>
        <w:rPr>
          <w:rFonts w:ascii="Arial" w:cs="Arial" w:eastAsia="Arial" w:hAnsi="Arial"/>
          <w:sz w:val="17"/>
          <w:szCs w:val="17"/>
          <w:i w:val="1"/>
          <w:iCs w:val="1"/>
          <w:color w:val="auto"/>
        </w:rPr>
        <w:t>Failure to Submit Required Forms</w:t>
      </w:r>
      <w:r>
        <w:rPr>
          <w:rFonts w:ascii="Arial" w:cs="Arial" w:eastAsia="Arial" w:hAnsi="Arial"/>
          <w:sz w:val="17"/>
          <w:szCs w:val="17"/>
          <w:color w:val="auto"/>
        </w:rPr>
        <w:t>. If any of the forms or other documentation required under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subsection (b)</w:t>
      </w:r>
      <w:r>
        <w:rPr>
          <w:rFonts w:ascii="Arial" w:cs="Arial" w:eastAsia="Arial" w:hAnsi="Arial"/>
          <w:sz w:val="17"/>
          <w:szCs w:val="17"/>
          <w:i w:val="1"/>
          <w:iCs w:val="1"/>
          <w:color w:val="auto"/>
        </w:rPr>
        <w:t xml:space="preserve"> </w:t>
      </w:r>
      <w:r>
        <w:rPr>
          <w:rFonts w:ascii="Arial" w:cs="Arial" w:eastAsia="Arial" w:hAnsi="Arial"/>
          <w:sz w:val="17"/>
          <w:szCs w:val="17"/>
          <w:color w:val="auto"/>
        </w:rPr>
        <w:t>above or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subsection</w:t>
      </w:r>
    </w:p>
    <w:p>
      <w:pPr>
        <w:spacing w:after="0" w:line="34" w:lineRule="exact"/>
        <w:rPr>
          <w:rFonts w:ascii="Arial" w:cs="Arial" w:eastAsia="Arial" w:hAnsi="Arial"/>
          <w:sz w:val="17"/>
          <w:szCs w:val="17"/>
          <w:color w:val="auto"/>
        </w:rPr>
      </w:pPr>
    </w:p>
    <w:p>
      <w:pPr>
        <w:ind w:left="4" w:hanging="4"/>
        <w:spacing w:after="0" w:line="292" w:lineRule="auto"/>
        <w:tabs>
          <w:tab w:leader="none" w:pos="259" w:val="left"/>
        </w:tabs>
        <w:numPr>
          <w:ilvl w:val="0"/>
          <w:numId w:val="262"/>
        </w:numPr>
        <w:rPr>
          <w:rFonts w:ascii="Arial" w:cs="Arial" w:eastAsia="Arial" w:hAnsi="Arial"/>
          <w:sz w:val="16"/>
          <w:szCs w:val="16"/>
          <w:u w:val="single" w:color="auto"/>
          <w:color w:val="auto"/>
        </w:rPr>
      </w:pPr>
      <w:r>
        <w:rPr>
          <w:rFonts w:ascii="Arial" w:cs="Arial" w:eastAsia="Arial" w:hAnsi="Arial"/>
          <w:sz w:val="16"/>
          <w:szCs w:val="16"/>
          <w:color w:val="auto"/>
        </w:rPr>
        <w:t xml:space="preserve">below are not delivered to the Administrative Agent and Borrower (or, in the case of an assignee of a Lender or L/C Issuer which (x) is an Affiliate of such Lender, L/C Issuer or a Related Fund of such Lender and (y) does not deliver an Assignment and Assumption to the Administrative Agent for recordation pursuant to the last sentence of </w:t>
      </w:r>
      <w:r>
        <w:rPr>
          <w:rFonts w:ascii="Arial" w:cs="Arial" w:eastAsia="Arial" w:hAnsi="Arial"/>
          <w:sz w:val="16"/>
          <w:szCs w:val="16"/>
          <w:u w:val="single" w:color="auto"/>
          <w:color w:val="auto"/>
        </w:rPr>
        <w:t>Section 13.12(</w:t>
      </w:r>
      <w:r>
        <w:rPr>
          <w:rFonts w:ascii="Arial" w:cs="Arial" w:eastAsia="Arial" w:hAnsi="Arial"/>
          <w:sz w:val="16"/>
          <w:szCs w:val="16"/>
          <w:color w:val="FF0000"/>
          <w:strike w:val="1"/>
        </w:rPr>
        <w:t>a</w:t>
      </w:r>
      <w:r>
        <w:rPr>
          <w:rFonts w:ascii="Arial" w:cs="Arial" w:eastAsia="Arial" w:hAnsi="Arial"/>
          <w:sz w:val="16"/>
          <w:szCs w:val="16"/>
          <w:u w:val="single" w:color="auto"/>
          <w:color w:val="0000E1"/>
        </w:rPr>
        <w:t>b</w:t>
      </w:r>
      <w:r>
        <w:rPr>
          <w:rFonts w:ascii="Arial" w:cs="Arial" w:eastAsia="Arial" w:hAnsi="Arial"/>
          <w:sz w:val="16"/>
          <w:szCs w:val="16"/>
          <w:u w:val="single" w:color="auto"/>
          <w:color w:val="auto"/>
        </w:rPr>
        <w:t>)</w:t>
      </w:r>
      <w:r>
        <w:rPr>
          <w:rFonts w:ascii="Arial" w:cs="Arial" w:eastAsia="Arial" w:hAnsi="Arial"/>
          <w:sz w:val="16"/>
          <w:szCs w:val="16"/>
          <w:color w:val="auto"/>
        </w:rPr>
        <w:t xml:space="preserve">, to the assigning Lender or L/C Issuer only) as therein required (as modified by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w:t>
      </w:r>
      <w:r>
        <w:rPr>
          <w:rFonts w:ascii="Arial" w:cs="Arial" w:eastAsia="Arial" w:hAnsi="Arial"/>
          <w:sz w:val="16"/>
          <w:szCs w:val="16"/>
          <w:color w:val="FF0000"/>
          <w:strike w:val="1"/>
        </w:rPr>
        <w:t>c</w:t>
      </w:r>
      <w:r>
        <w:rPr>
          <w:rFonts w:ascii="Arial" w:cs="Arial" w:eastAsia="Arial" w:hAnsi="Arial"/>
          <w:sz w:val="16"/>
          <w:szCs w:val="16"/>
          <w:u w:val="single" w:color="auto"/>
          <w:color w:val="0000E1"/>
        </w:rPr>
        <w:t>d</w:t>
      </w:r>
      <w:r>
        <w:rPr>
          <w:rFonts w:ascii="Arial" w:cs="Arial" w:eastAsia="Arial" w:hAnsi="Arial"/>
          <w:sz w:val="16"/>
          <w:szCs w:val="16"/>
          <w:u w:val="single" w:color="auto"/>
          <w:color w:val="auto"/>
        </w:rPr>
        <w:t>)</w:t>
      </w:r>
      <w:r>
        <w:rPr>
          <w:rFonts w:ascii="Arial" w:cs="Arial" w:eastAsia="Arial" w:hAnsi="Arial"/>
          <w:sz w:val="16"/>
          <w:szCs w:val="16"/>
          <w:color w:val="auto"/>
        </w:rPr>
        <w:t>), then the Borrower and the Administrative Agent may withhold any payment to such Lender or L/C Issuer not providing such forms or other documentation in an amount equivalent to the applicable withholding tax as required by applicable Legal Requirements.</w:t>
      </w:r>
    </w:p>
    <w:p>
      <w:pPr>
        <w:spacing w:after="0" w:line="162" w:lineRule="exact"/>
        <w:rPr>
          <w:rFonts w:ascii="Arial" w:cs="Arial" w:eastAsia="Arial" w:hAnsi="Arial"/>
          <w:sz w:val="16"/>
          <w:szCs w:val="16"/>
          <w:u w:val="single" w:color="auto"/>
          <w:color w:val="auto"/>
        </w:rPr>
      </w:pPr>
    </w:p>
    <w:p>
      <w:pPr>
        <w:ind w:left="4" w:firstLine="987"/>
        <w:spacing w:after="0" w:line="257" w:lineRule="auto"/>
        <w:tabs>
          <w:tab w:leader="none" w:pos="1385" w:val="left"/>
        </w:tabs>
        <w:numPr>
          <w:ilvl w:val="1"/>
          <w:numId w:val="262"/>
        </w:numPr>
        <w:rPr>
          <w:rFonts w:ascii="Arial" w:cs="Arial" w:eastAsia="Arial" w:hAnsi="Arial"/>
          <w:sz w:val="18"/>
          <w:szCs w:val="18"/>
          <w:color w:val="auto"/>
        </w:rPr>
      </w:pPr>
      <w:r>
        <w:rPr>
          <w:rFonts w:ascii="Arial" w:cs="Arial" w:eastAsia="Arial" w:hAnsi="Arial"/>
          <w:sz w:val="18"/>
          <w:szCs w:val="18"/>
          <w:i w:val="1"/>
          <w:iCs w:val="1"/>
          <w:color w:val="auto"/>
        </w:rPr>
        <w:t>FATCA</w:t>
      </w:r>
      <w:r>
        <w:rPr>
          <w:rFonts w:ascii="Arial" w:cs="Arial" w:eastAsia="Arial" w:hAnsi="Arial"/>
          <w:sz w:val="18"/>
          <w:szCs w:val="18"/>
          <w:color w:val="auto"/>
        </w:rPr>
        <w:t>. If a payment made to a Lender or L/C Issuer under any Loan Document would be subject to U.S. federal withholding</w:t>
      </w:r>
      <w:r>
        <w:rPr>
          <w:rFonts w:ascii="Arial" w:cs="Arial" w:eastAsia="Arial" w:hAnsi="Arial"/>
          <w:sz w:val="18"/>
          <w:szCs w:val="18"/>
          <w:i w:val="1"/>
          <w:iCs w:val="1"/>
          <w:color w:val="auto"/>
        </w:rPr>
        <w:t xml:space="preserve"> </w:t>
      </w:r>
      <w:r>
        <w:rPr>
          <w:rFonts w:ascii="Arial" w:cs="Arial" w:eastAsia="Arial" w:hAnsi="Arial"/>
          <w:sz w:val="18"/>
          <w:szCs w:val="18"/>
          <w:color w:val="FF0000"/>
          <w:strike w:val="1"/>
        </w:rPr>
        <w:t>T</w:t>
      </w:r>
      <w:r>
        <w:rPr>
          <w:rFonts w:ascii="Arial" w:cs="Arial" w:eastAsia="Arial" w:hAnsi="Arial"/>
          <w:sz w:val="18"/>
          <w:szCs w:val="18"/>
          <w:u w:val="single" w:color="auto"/>
          <w:color w:val="0000E1"/>
        </w:rPr>
        <w:t>t</w:t>
      </w:r>
      <w:r>
        <w:rPr>
          <w:rFonts w:ascii="Arial" w:cs="Arial" w:eastAsia="Arial" w:hAnsi="Arial"/>
          <w:sz w:val="18"/>
          <w:szCs w:val="18"/>
          <w:color w:val="auto"/>
        </w:rPr>
        <w:t>ax</w:t>
      </w:r>
      <w:r>
        <w:rPr>
          <w:rFonts w:ascii="Arial" w:cs="Arial" w:eastAsia="Arial" w:hAnsi="Arial"/>
          <w:sz w:val="18"/>
          <w:szCs w:val="18"/>
          <w:i w:val="1"/>
          <w:iCs w:val="1"/>
          <w:color w:val="auto"/>
        </w:rPr>
        <w:t xml:space="preserve"> </w:t>
      </w:r>
      <w:r>
        <w:rPr>
          <w:rFonts w:ascii="Arial" w:cs="Arial" w:eastAsia="Arial" w:hAnsi="Arial"/>
          <w:sz w:val="18"/>
          <w:szCs w:val="18"/>
          <w:color w:val="auto"/>
        </w:rPr>
        <w:t>imposed by FATCA if such Lender or L/C Issuer were to fail to comply with the applicable reporting requirements of FATCA (including those contained in Section 1471(b) or 1472(b) of the Code, as applicable), such Lender or L/C Issuer shall deliver to the Borrower and the Administrative Agent at the time or times prescribed by law and at such time or times reasonably requested by the Borrower or the Administrative Agent such documentation prescribed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3190875</wp:posOffset>
            </wp:positionH>
            <wp:positionV relativeFrom="paragraph">
              <wp:posOffset>-4191635</wp:posOffset>
            </wp:positionV>
            <wp:extent cx="28575"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1638300</wp:posOffset>
            </wp:positionH>
            <wp:positionV relativeFrom="paragraph">
              <wp:posOffset>-3094355</wp:posOffset>
            </wp:positionV>
            <wp:extent cx="28575"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-1585595</wp:posOffset>
            </wp:positionV>
            <wp:extent cx="28575"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2734310</wp:posOffset>
            </wp:positionH>
            <wp:positionV relativeFrom="paragraph">
              <wp:posOffset>-1096645</wp:posOffset>
            </wp:positionV>
            <wp:extent cx="60325"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-959485</wp:posOffset>
            </wp:positionV>
            <wp:extent cx="60325"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1235710</wp:posOffset>
            </wp:positionH>
            <wp:positionV relativeFrom="paragraph">
              <wp:posOffset>-625475</wp:posOffset>
            </wp:positionV>
            <wp:extent cx="28575"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6720840</wp:posOffset>
            </wp:positionH>
            <wp:positionV relativeFrom="paragraph">
              <wp:posOffset>-548005</wp:posOffset>
            </wp:positionV>
            <wp:extent cx="3429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04"/>
          </w:cols>
          <w:pgMar w:left="436" w:top="274" w:right="459" w:bottom="1440" w:gutter="0" w:footer="0" w:header="0"/>
        </w:sectPr>
      </w:pPr>
    </w:p>
    <w:bookmarkStart w:id="205" w:name="page206"/>
    <w:bookmarkEnd w:id="205"/>
    <w:p>
      <w:pPr>
        <w:ind w:right="4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or L/C Issuer has complied with its obligations under FATCA or to determine the amount to deduct and withhold from such payment. Solely for purposes of this </w:t>
      </w:r>
      <w:r>
        <w:rPr>
          <w:rFonts w:ascii="Arial" w:cs="Arial" w:eastAsia="Arial" w:hAnsi="Arial"/>
          <w:sz w:val="18"/>
          <w:szCs w:val="18"/>
          <w:u w:val="single" w:color="auto"/>
          <w:color w:val="auto"/>
        </w:rPr>
        <w:t>clause (g)</w:t>
      </w:r>
      <w:r>
        <w:rPr>
          <w:rFonts w:ascii="Arial" w:cs="Arial" w:eastAsia="Arial" w:hAnsi="Arial"/>
          <w:sz w:val="18"/>
          <w:szCs w:val="18"/>
          <w:color w:val="auto"/>
        </w:rPr>
        <w:t>, “FATCA” shall include any amendments made to FATCA after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-213995</wp:posOffset>
            </wp:positionV>
            <wp:extent cx="2857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13.2</w:t>
      </w:r>
      <w:r>
        <w:rPr>
          <w:sz w:val="20"/>
          <w:szCs w:val="20"/>
          <w:color w:val="auto"/>
        </w:rPr>
        <w:tab/>
      </w:r>
      <w:r>
        <w:rPr>
          <w:rFonts w:ascii="Arial" w:cs="Arial" w:eastAsia="Arial" w:hAnsi="Arial"/>
          <w:sz w:val="15"/>
          <w:szCs w:val="15"/>
          <w:i w:val="1"/>
          <w:iCs w:val="1"/>
          <w:color w:val="auto"/>
        </w:rPr>
        <w:t>No Waiver, Cumulative Remedies</w:t>
      </w:r>
      <w:r>
        <w:rPr>
          <w:rFonts w:ascii="Arial" w:cs="Arial" w:eastAsia="Arial" w:hAnsi="Arial"/>
          <w:sz w:val="15"/>
          <w:szCs w:val="15"/>
          <w:color w:val="auto"/>
        </w:rPr>
        <w:t>.</w:t>
      </w:r>
    </w:p>
    <w:p>
      <w:pPr>
        <w:spacing w:after="0" w:line="117" w:lineRule="exact"/>
        <w:rPr>
          <w:sz w:val="20"/>
          <w:szCs w:val="20"/>
          <w:color w:val="auto"/>
        </w:rPr>
      </w:pPr>
    </w:p>
    <w:p>
      <w:pPr>
        <w:jc w:val="both"/>
        <w:ind w:right="80" w:firstLine="987"/>
        <w:spacing w:after="0" w:line="275" w:lineRule="auto"/>
        <w:tabs>
          <w:tab w:leader="none" w:pos="1371" w:val="left"/>
        </w:tabs>
        <w:numPr>
          <w:ilvl w:val="0"/>
          <w:numId w:val="263"/>
        </w:numPr>
        <w:rPr>
          <w:rFonts w:ascii="Arial" w:cs="Arial" w:eastAsia="Arial" w:hAnsi="Arial"/>
          <w:sz w:val="17"/>
          <w:szCs w:val="17"/>
          <w:color w:val="auto"/>
        </w:rPr>
      </w:pPr>
      <w:r>
        <w:rPr>
          <w:rFonts w:ascii="Arial" w:cs="Arial" w:eastAsia="Arial" w:hAnsi="Arial"/>
          <w:sz w:val="17"/>
          <w:szCs w:val="17"/>
          <w:color w:val="auto"/>
        </w:rPr>
        <w:t>No delay or failure on the part of the Administrative Agent, the L/C Issuer or any 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L/C Issuer, the Lenders and of the holder or holders of any of the Obligations are cumulative to, and not exclusive of, any rights or remedies which any of them would otherwise have.</w:t>
      </w:r>
    </w:p>
    <w:p>
      <w:pPr>
        <w:spacing w:after="0" w:line="176" w:lineRule="exact"/>
        <w:rPr>
          <w:rFonts w:ascii="Arial" w:cs="Arial" w:eastAsia="Arial" w:hAnsi="Arial"/>
          <w:sz w:val="17"/>
          <w:szCs w:val="17"/>
          <w:color w:val="auto"/>
        </w:rPr>
      </w:pPr>
    </w:p>
    <w:p>
      <w:pPr>
        <w:ind w:firstLine="987"/>
        <w:spacing w:after="0" w:line="287" w:lineRule="auto"/>
        <w:tabs>
          <w:tab w:leader="none" w:pos="138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for the benefit of all the Lenders and the L/C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(d) any Lender from filing proofs of claim or appearing and filing pleadings on its own behalf during the pendency of a proceeding relative to any Loan Party under any Debtor Relief Law; and provided, further,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auto"/>
        </w:rPr>
        <w:t>Section 11.6(b)</w:t>
      </w:r>
      <w:r>
        <w:rPr>
          <w:rFonts w:ascii="Arial" w:cs="Arial" w:eastAsia="Arial" w:hAnsi="Arial"/>
          <w:sz w:val="16"/>
          <w:szCs w:val="16"/>
          <w:color w:val="auto"/>
        </w:rPr>
        <w:t xml:space="preserve"> and (ii) in addition to the matters set forth in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the preceding proviso, any Lender may, with the consent of the Required Lenders, enforce any rights and remedies available to it and as authorized by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-2009775</wp:posOffset>
            </wp:positionV>
            <wp:extent cx="28575"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i w:val="1"/>
          <w:iCs w:val="1"/>
          <w:color w:val="auto"/>
        </w:rPr>
        <w:t>Non-Business Days</w:t>
      </w:r>
      <w:r>
        <w:rPr>
          <w:rFonts w:ascii="Arial" w:cs="Arial" w:eastAsia="Arial" w:hAnsi="Arial"/>
          <w:sz w:val="18"/>
          <w:szCs w:val="18"/>
          <w:color w:val="auto"/>
        </w:rPr>
        <w:t>. Unless otherwise specified herein, if any payment or the performance of any obligation hereunder or any other Loan Document becomes due and payable or performable as the case may be on a day which is not a Business Day, the due date of such payment or the date of such performance shall be extended to the next succeeding Business Day on which date such payment shall be due and payable or such performance required.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-759460</wp:posOffset>
            </wp:positionV>
            <wp:extent cx="28575"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-347980</wp:posOffset>
            </wp:positionV>
            <wp:extent cx="28575"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i w:val="1"/>
          <w:iCs w:val="1"/>
          <w:color w:val="auto"/>
        </w:rPr>
        <w:t>Documentary Taxes</w:t>
      </w:r>
      <w:r>
        <w:rPr>
          <w:rFonts w:ascii="Arial" w:cs="Arial" w:eastAsia="Arial" w:hAnsi="Arial"/>
          <w:sz w:val="18"/>
          <w:szCs w:val="18"/>
          <w:color w:val="auto"/>
        </w:rPr>
        <w:t>. The Borrower agrees to pay on demand, indemnify and hold harmless the Administrative Agent, any Lender, the L/C Issuer and any of their Affiliates with respect to any documentary, stamp or similar taxes payable in respect of this Agreement or any other Loan Document, including interest and penalties applicable thereto, in the event any such taxes are assessed, irrespective of when such assessment is made and whether or not any credit is then in use or available hereunder, except any such taxes imposed with respect to an assignment. The Borrower shall deliver to the Administrative Agent official receipts or other evidence of such payment reasonably satisfactory to the Administrative Agent promptly after any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-759460</wp:posOffset>
            </wp:positionV>
            <wp:extent cx="28575"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5887720</wp:posOffset>
            </wp:positionH>
            <wp:positionV relativeFrom="paragraph">
              <wp:posOffset>-347980</wp:posOffset>
            </wp:positionV>
            <wp:extent cx="28575"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00"/>
          </w:cols>
          <w:pgMar w:left="440" w:top="274" w:right="459" w:bottom="1440" w:gutter="0" w:footer="0" w:header="0"/>
        </w:sectPr>
      </w:pPr>
    </w:p>
    <w:bookmarkStart w:id="206" w:name="page207"/>
    <w:bookmarkEnd w:id="206"/>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13.5 </w:t>
      </w:r>
      <w:r>
        <w:rPr>
          <w:rFonts w:ascii="Arial" w:cs="Arial" w:eastAsia="Arial" w:hAnsi="Arial"/>
          <w:sz w:val="18"/>
          <w:szCs w:val="18"/>
          <w:i w:val="1"/>
          <w:iCs w:val="1"/>
          <w:color w:val="auto"/>
        </w:rPr>
        <w:t>Survival of Representations</w:t>
      </w:r>
      <w:r>
        <w:rPr>
          <w:rFonts w:ascii="Arial" w:cs="Arial" w:eastAsia="Arial" w:hAnsi="Arial"/>
          <w:sz w:val="18"/>
          <w:szCs w:val="18"/>
          <w:color w:val="auto"/>
        </w:rPr>
        <w:t>. All representations and warranties made herein or in any other Loan Document or in documents given pursuant hereto or thereto shall survive the execution and delivery of this Agreement and the other Loan Documents, and shall continue in full force and effect with respect to the date as of which they were made as long as any credit is in use or available hereunder.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extension of credit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-759460</wp:posOffset>
            </wp:positionV>
            <wp:extent cx="28575"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jc w:val="both"/>
        <w:ind w:right="140" w:firstLine="440"/>
        <w:spacing w:after="0" w:line="259" w:lineRule="auto"/>
        <w:rPr>
          <w:sz w:val="20"/>
          <w:szCs w:val="20"/>
          <w:color w:val="auto"/>
        </w:rPr>
      </w:pPr>
      <w:r>
        <w:rPr>
          <w:rFonts w:ascii="Arial" w:cs="Arial" w:eastAsia="Arial" w:hAnsi="Arial"/>
          <w:sz w:val="18"/>
          <w:szCs w:val="18"/>
          <w:color w:val="auto"/>
        </w:rPr>
        <w:t xml:space="preserve">Section 13.6 </w:t>
      </w:r>
      <w:r>
        <w:rPr>
          <w:rFonts w:ascii="Arial" w:cs="Arial" w:eastAsia="Arial" w:hAnsi="Arial"/>
          <w:sz w:val="18"/>
          <w:szCs w:val="18"/>
          <w:i w:val="1"/>
          <w:iCs w:val="1"/>
          <w:color w:val="auto"/>
        </w:rPr>
        <w:t>Survival of Indemnities</w:t>
      </w:r>
      <w:r>
        <w:rPr>
          <w:rFonts w:ascii="Arial" w:cs="Arial" w:eastAsia="Arial" w:hAnsi="Arial"/>
          <w:sz w:val="18"/>
          <w:szCs w:val="18"/>
          <w:color w:val="auto"/>
        </w:rPr>
        <w:t xml:space="preserve">. All indemnities and other provisions relating to reimbursement to the Lenders and L/C Issuer of amounts sufficient to protect the yield of the Lenders and L/C Issuer with respect to the Loans and Letters of Credit, including, but not limited to, </w:t>
      </w:r>
      <w:r>
        <w:rPr>
          <w:rFonts w:ascii="Arial" w:cs="Arial" w:eastAsia="Arial" w:hAnsi="Arial"/>
          <w:sz w:val="18"/>
          <w:szCs w:val="18"/>
          <w:u w:val="single" w:color="auto"/>
          <w:color w:val="auto"/>
        </w:rPr>
        <w:t>Sections 1.12</w:t>
      </w:r>
      <w:r>
        <w:rPr>
          <w:rFonts w:ascii="Arial" w:cs="Arial" w:eastAsia="Arial" w:hAnsi="Arial"/>
          <w:sz w:val="18"/>
          <w:szCs w:val="18"/>
          <w:color w:val="auto"/>
        </w:rPr>
        <w:t xml:space="preserve">, </w:t>
      </w:r>
      <w:r>
        <w:rPr>
          <w:rFonts w:ascii="Arial" w:cs="Arial" w:eastAsia="Arial" w:hAnsi="Arial"/>
          <w:sz w:val="18"/>
          <w:szCs w:val="18"/>
          <w:u w:val="single" w:color="auto"/>
          <w:color w:val="auto"/>
        </w:rPr>
        <w:t>10.3</w:t>
      </w:r>
      <w:r>
        <w:rPr>
          <w:rFonts w:ascii="Arial" w:cs="Arial" w:eastAsia="Arial" w:hAnsi="Arial"/>
          <w:sz w:val="18"/>
          <w:szCs w:val="18"/>
          <w:color w:val="FF0000"/>
          <w:strike w:val="1"/>
        </w:rPr>
        <w: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13.15</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shall survive the termination of this Agreement and the other Loan Documents and the payment of the Obligations or the time periods specified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-488950</wp:posOffset>
            </wp:positionV>
            <wp:extent cx="28575"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13.7</w:t>
      </w:r>
      <w:r>
        <w:rPr>
          <w:sz w:val="20"/>
          <w:szCs w:val="20"/>
          <w:color w:val="auto"/>
        </w:rPr>
        <w:tab/>
      </w:r>
      <w:r>
        <w:rPr>
          <w:rFonts w:ascii="Arial" w:cs="Arial" w:eastAsia="Arial" w:hAnsi="Arial"/>
          <w:sz w:val="16"/>
          <w:szCs w:val="16"/>
          <w:i w:val="1"/>
          <w:iCs w:val="1"/>
          <w:color w:val="auto"/>
        </w:rPr>
        <w:t>Sharing of Set-Off</w:t>
      </w:r>
      <w:r>
        <w:rPr>
          <w:rFonts w:ascii="Arial" w:cs="Arial" w:eastAsia="Arial" w:hAnsi="Arial"/>
          <w:sz w:val="16"/>
          <w:szCs w:val="16"/>
          <w:color w:val="auto"/>
        </w:rPr>
        <w:t>.</w:t>
      </w:r>
    </w:p>
    <w:p>
      <w:pPr>
        <w:spacing w:after="0" w:line="117" w:lineRule="exact"/>
        <w:rPr>
          <w:sz w:val="20"/>
          <w:szCs w:val="20"/>
          <w:color w:val="auto"/>
        </w:rPr>
      </w:pPr>
    </w:p>
    <w:p>
      <w:pPr>
        <w:jc w:val="both"/>
        <w:ind w:right="60" w:firstLine="987"/>
        <w:spacing w:after="0" w:line="287" w:lineRule="auto"/>
        <w:tabs>
          <w:tab w:leader="none" w:pos="1371"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Each Lender agrees with each other Lender party hereto that if such Lender shall receive and retain any payment (whether by set off or application of deposit balances or otherwise, but excluding (x) any payment obtained as consideration for the assignment of, or sale of a participation in, any of its Loans to any assignee or participant, or (y) any payment as otherwise expressly provided herein, including in </w:t>
      </w:r>
      <w:r>
        <w:rPr>
          <w:rFonts w:ascii="Arial" w:cs="Arial" w:eastAsia="Arial" w:hAnsi="Arial"/>
          <w:sz w:val="16"/>
          <w:szCs w:val="16"/>
          <w:u w:val="single" w:color="auto"/>
          <w:color w:val="auto"/>
        </w:rPr>
        <w:t>Sections 1.16</w:t>
      </w:r>
      <w:r>
        <w:rPr>
          <w:rFonts w:ascii="Arial" w:cs="Arial" w:eastAsia="Arial" w:hAnsi="Arial"/>
          <w:sz w:val="16"/>
          <w:szCs w:val="16"/>
          <w:color w:val="auto"/>
        </w:rPr>
        <w:t xml:space="preserve">, </w:t>
      </w:r>
      <w:r>
        <w:rPr>
          <w:rFonts w:ascii="Arial" w:cs="Arial" w:eastAsia="Arial" w:hAnsi="Arial"/>
          <w:sz w:val="16"/>
          <w:szCs w:val="16"/>
          <w:u w:val="single" w:color="auto"/>
          <w:color w:val="auto"/>
        </w:rPr>
        <w:t>1.18</w:t>
      </w:r>
      <w:r>
        <w:rPr>
          <w:rFonts w:ascii="Arial" w:cs="Arial" w:eastAsia="Arial" w:hAnsi="Arial"/>
          <w:sz w:val="16"/>
          <w:szCs w:val="16"/>
          <w:color w:val="auto"/>
        </w:rPr>
        <w:t xml:space="preserve">, </w:t>
      </w:r>
      <w:r>
        <w:rPr>
          <w:rFonts w:ascii="Arial" w:cs="Arial" w:eastAsia="Arial" w:hAnsi="Arial"/>
          <w:sz w:val="16"/>
          <w:szCs w:val="16"/>
          <w:u w:val="single" w:color="auto"/>
          <w:color w:val="auto"/>
        </w:rPr>
        <w:t>1.19</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right="60"/>
        <w:spacing w:after="0" w:line="287" w:lineRule="auto"/>
        <w:rPr>
          <w:rFonts w:ascii="Arial" w:cs="Arial" w:eastAsia="Arial" w:hAnsi="Arial"/>
          <w:sz w:val="16"/>
          <w:szCs w:val="16"/>
          <w:color w:val="auto"/>
        </w:rPr>
      </w:pPr>
      <w:r>
        <w:rPr>
          <w:rFonts w:ascii="Arial" w:cs="Arial" w:eastAsia="Arial" w:hAnsi="Arial"/>
          <w:sz w:val="16"/>
          <w:szCs w:val="16"/>
          <w:u w:val="single" w:color="auto"/>
          <w:color w:val="auto"/>
        </w:rPr>
        <w:t>1.20</w:t>
      </w:r>
      <w:r>
        <w:rPr>
          <w:rFonts w:ascii="Arial" w:cs="Arial" w:eastAsia="Arial" w:hAnsi="Arial"/>
          <w:sz w:val="16"/>
          <w:szCs w:val="16"/>
          <w:color w:val="auto"/>
        </w:rPr>
        <w:t xml:space="preserve">, </w:t>
      </w:r>
      <w:r>
        <w:rPr>
          <w:rFonts w:ascii="Arial" w:cs="Arial" w:eastAsia="Arial" w:hAnsi="Arial"/>
          <w:sz w:val="16"/>
          <w:szCs w:val="16"/>
          <w:u w:val="single" w:color="auto"/>
          <w:color w:val="auto"/>
        </w:rPr>
        <w:t>13.10</w:t>
      </w:r>
      <w:r>
        <w:rPr>
          <w:rFonts w:ascii="Arial" w:cs="Arial" w:eastAsia="Arial" w:hAnsi="Arial"/>
          <w:sz w:val="16"/>
          <w:szCs w:val="16"/>
          <w:color w:val="auto"/>
        </w:rPr>
        <w:t xml:space="preserve">, </w:t>
      </w:r>
      <w:r>
        <w:rPr>
          <w:rFonts w:ascii="Arial" w:cs="Arial" w:eastAsia="Arial" w:hAnsi="Arial"/>
          <w:sz w:val="16"/>
          <w:szCs w:val="16"/>
          <w:u w:val="single" w:color="auto"/>
          <w:color w:val="auto"/>
        </w:rPr>
        <w:t>13.11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13.12</w:t>
      </w:r>
      <w:r>
        <w:rPr>
          <w:rFonts w:ascii="Arial" w:cs="Arial" w:eastAsia="Arial" w:hAnsi="Arial"/>
          <w:sz w:val="16"/>
          <w:szCs w:val="16"/>
          <w:color w:val="auto"/>
        </w:rPr>
        <w:t xml:space="preserve">) on any of the Loans or Reimbursement Obligations in excess of its ratable share of payments on all such Obligations then outstanding to the Lenders, then such Lender shall purchase for cash at face value, but without recourse, ratably from each of the other Lenders such amount of the Loans or Reimbursement Obligations, or participations therein, held by each such other Lenders (or interest therein) as shall be necessary to cause such Lender to share such excess payment ratably with all the other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any such purchase is made by any Lender, and if such excess payment or part thereof is thereafter recovered from such purchasing Lender, the related purchases from the other Lenders shall be rescinded ratably and the purchase price restored as to the portion of such excess payment so recovered, but without interest. For purposes of this </w:t>
      </w:r>
      <w:r>
        <w:rPr>
          <w:rFonts w:ascii="Arial" w:cs="Arial" w:eastAsia="Arial" w:hAnsi="Arial"/>
          <w:sz w:val="16"/>
          <w:szCs w:val="16"/>
          <w:u w:val="single" w:color="auto"/>
          <w:color w:val="auto"/>
        </w:rPr>
        <w:t>Section 13.7</w:t>
      </w:r>
      <w:r>
        <w:rPr>
          <w:rFonts w:ascii="Arial" w:cs="Arial" w:eastAsia="Arial" w:hAnsi="Arial"/>
          <w:sz w:val="16"/>
          <w:szCs w:val="16"/>
          <w:color w:val="auto"/>
        </w:rPr>
        <w:t>, amounts owed to or recovered by the L/C Issuer in connection with Reimbursement Obligations in which Lenders have been required to fund their Participating Interests shall be treated as amounts owed to or recovered by the L/C Issuer as a Lender hereunder.</w:t>
      </w:r>
    </w:p>
    <w:p>
      <w:pPr>
        <w:spacing w:after="0" w:line="169" w:lineRule="exact"/>
        <w:rPr>
          <w:rFonts w:ascii="Arial" w:cs="Arial" w:eastAsia="Arial" w:hAnsi="Arial"/>
          <w:sz w:val="16"/>
          <w:szCs w:val="16"/>
          <w:color w:val="auto"/>
        </w:rPr>
      </w:pPr>
    </w:p>
    <w:p>
      <w:pPr>
        <w:ind w:right="20" w:firstLine="987"/>
        <w:spacing w:after="0" w:line="288" w:lineRule="auto"/>
        <w:tabs>
          <w:tab w:leader="none" w:pos="137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To the extent that any payment by or on behalf of the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w:t>
      </w:r>
      <w:r>
        <w:rPr>
          <w:rFonts w:ascii="Arial" w:cs="Arial" w:eastAsia="Arial" w:hAnsi="Arial"/>
          <w:sz w:val="16"/>
          <w:szCs w:val="16"/>
          <w:color w:val="FF0000"/>
          <w:strike w:val="1"/>
        </w:rPr>
        <w:t>a</w:t>
      </w:r>
      <w:r>
        <w:rPr>
          <w:rFonts w:ascii="Arial" w:cs="Arial" w:eastAsia="Arial" w:hAnsi="Arial"/>
          <w:sz w:val="16"/>
          <w:szCs w:val="16"/>
          <w:u w:val="single" w:color="auto"/>
          <w:color w:val="0000E1"/>
        </w:rPr>
        <w:t>x</w:t>
      </w:r>
      <w:r>
        <w:rPr>
          <w:rFonts w:ascii="Arial" w:cs="Arial" w:eastAsia="Arial" w:hAnsi="Arial"/>
          <w:sz w:val="16"/>
          <w:szCs w:val="16"/>
          <w:color w:val="auto"/>
        </w:rPr>
        <w:t>) to the extent of such recovery, the obligation or part thereof originally intended to be satisfied shall be revived and continued in full force and effect as if such payment had not been made or such setoff had not occurred, and (</w:t>
      </w:r>
      <w:r>
        <w:rPr>
          <w:rFonts w:ascii="Arial" w:cs="Arial" w:eastAsia="Arial" w:hAnsi="Arial"/>
          <w:sz w:val="16"/>
          <w:szCs w:val="16"/>
          <w:color w:val="FF0000"/>
          <w:strike w:val="1"/>
        </w:rPr>
        <w:t>b</w:t>
      </w:r>
      <w:r>
        <w:rPr>
          <w:rFonts w:ascii="Arial" w:cs="Arial" w:eastAsia="Arial" w:hAnsi="Arial"/>
          <w:sz w:val="16"/>
          <w:szCs w:val="16"/>
          <w:u w:val="single" w:color="auto"/>
          <w:color w:val="0000E1"/>
        </w:rPr>
        <w:t>y</w:t>
      </w:r>
      <w:r>
        <w:rPr>
          <w:rFonts w:ascii="Arial" w:cs="Arial" w:eastAsia="Arial" w:hAnsi="Arial"/>
          <w:sz w:val="16"/>
          <w:szCs w:val="16"/>
          <w:color w:val="auto"/>
        </w:rPr>
        <w:t xml:space="preserve">)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Effective Rate from time to time in effect. The obligations of the Lenders and the L/C Issuer under </w:t>
      </w:r>
      <w:r>
        <w:rPr>
          <w:rFonts w:ascii="Arial" w:cs="Arial" w:eastAsia="Arial" w:hAnsi="Arial"/>
          <w:sz w:val="16"/>
          <w:szCs w:val="16"/>
          <w:u w:val="single" w:color="auto"/>
          <w:color w:val="auto"/>
        </w:rPr>
        <w:t>clause (</w:t>
      </w:r>
      <w:r>
        <w:rPr>
          <w:rFonts w:ascii="Arial" w:cs="Arial" w:eastAsia="Arial" w:hAnsi="Arial"/>
          <w:sz w:val="16"/>
          <w:szCs w:val="16"/>
          <w:color w:val="FF0000"/>
          <w:strike w:val="1"/>
        </w:rPr>
        <w:t>b</w:t>
      </w:r>
      <w:r>
        <w:rPr>
          <w:rFonts w:ascii="Arial" w:cs="Arial" w:eastAsia="Arial" w:hAnsi="Arial"/>
          <w:sz w:val="16"/>
          <w:szCs w:val="16"/>
          <w:u w:val="single" w:color="auto"/>
          <w:color w:val="0000E1"/>
        </w:rPr>
        <w:t>y</w:t>
      </w:r>
      <w:r>
        <w:rPr>
          <w:rFonts w:ascii="Arial" w:cs="Arial" w:eastAsia="Arial" w:hAnsi="Arial"/>
          <w:sz w:val="16"/>
          <w:szCs w:val="16"/>
          <w:color w:val="auto"/>
        </w:rPr>
        <w:t xml:space="preserve"> </w:t>
      </w:r>
      <w:r>
        <w:rPr>
          <w:rFonts w:ascii="Arial" w:cs="Arial" w:eastAsia="Arial" w:hAnsi="Arial"/>
          <w:sz w:val="16"/>
          <w:szCs w:val="16"/>
          <w:u w:val="single" w:color="auto"/>
          <w:color w:val="auto"/>
        </w:rPr>
        <w:t>)</w:t>
      </w:r>
      <w:r>
        <w:rPr>
          <w:rFonts w:ascii="Arial" w:cs="Arial" w:eastAsia="Arial" w:hAnsi="Arial"/>
          <w:sz w:val="16"/>
          <w:szCs w:val="16"/>
          <w:color w:val="auto"/>
        </w:rPr>
        <w:t xml:space="preserve"> of the preceding sentence shall survive the payment in full of the Obligations and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-697865</wp:posOffset>
            </wp:positionV>
            <wp:extent cx="51435"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-560705</wp:posOffset>
            </wp:positionV>
            <wp:extent cx="59690"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-226060</wp:posOffset>
            </wp:positionV>
            <wp:extent cx="28575"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-149225</wp:posOffset>
            </wp:positionV>
            <wp:extent cx="60325"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00"/>
          </w:cols>
          <w:pgMar w:left="440" w:top="274" w:right="459" w:bottom="1440" w:gutter="0" w:footer="0" w:header="0"/>
        </w:sectPr>
      </w:pPr>
    </w:p>
    <w:bookmarkStart w:id="207" w:name="page208"/>
    <w:bookmarkEnd w:id="207"/>
    <w:p>
      <w:pPr>
        <w:ind w:left="444"/>
        <w:spacing w:after="0"/>
        <w:tabs>
          <w:tab w:leader="none" w:pos="15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13.8</w:t>
      </w:r>
      <w:r>
        <w:rPr>
          <w:sz w:val="20"/>
          <w:szCs w:val="20"/>
          <w:color w:val="auto"/>
        </w:rPr>
        <w:tab/>
      </w:r>
      <w:r>
        <w:rPr>
          <w:rFonts w:ascii="Arial" w:cs="Arial" w:eastAsia="Arial" w:hAnsi="Arial"/>
          <w:sz w:val="16"/>
          <w:szCs w:val="16"/>
          <w:i w:val="1"/>
          <w:iCs w:val="1"/>
          <w:color w:val="auto"/>
        </w:rPr>
        <w:t>Notices</w:t>
      </w:r>
      <w:r>
        <w:rPr>
          <w:rFonts w:ascii="Arial" w:cs="Arial" w:eastAsia="Arial" w:hAnsi="Arial"/>
          <w:sz w:val="16"/>
          <w:szCs w:val="16"/>
          <w:color w:val="auto"/>
        </w:rPr>
        <w:t>.</w:t>
      </w:r>
    </w:p>
    <w:p>
      <w:pPr>
        <w:spacing w:after="0" w:line="117" w:lineRule="exact"/>
        <w:rPr>
          <w:sz w:val="20"/>
          <w:szCs w:val="20"/>
          <w:color w:val="auto"/>
        </w:rPr>
      </w:pPr>
    </w:p>
    <w:p>
      <w:pPr>
        <w:ind w:left="4" w:firstLine="987"/>
        <w:spacing w:after="0" w:line="283" w:lineRule="auto"/>
        <w:tabs>
          <w:tab w:leader="none" w:pos="1375" w:val="left"/>
        </w:tabs>
        <w:numPr>
          <w:ilvl w:val="1"/>
          <w:numId w:val="265"/>
        </w:numPr>
        <w:rPr>
          <w:rFonts w:ascii="Arial" w:cs="Arial" w:eastAsia="Arial" w:hAnsi="Arial"/>
          <w:sz w:val="16"/>
          <w:szCs w:val="16"/>
          <w:color w:val="auto"/>
        </w:rPr>
      </w:pPr>
      <w:r>
        <w:rPr>
          <w:rFonts w:ascii="Arial" w:cs="Arial" w:eastAsia="Arial" w:hAnsi="Arial"/>
          <w:sz w:val="16"/>
          <w:szCs w:val="16"/>
          <w:i w:val="1"/>
          <w:iCs w:val="1"/>
          <w:color w:val="auto"/>
        </w:rPr>
        <w:t>Notices Generally</w:t>
      </w:r>
      <w:r>
        <w:rPr>
          <w:rFonts w:ascii="Arial" w:cs="Arial" w:eastAsia="Arial" w:hAnsi="Arial"/>
          <w:sz w:val="16"/>
          <w:szCs w:val="16"/>
          <w:color w:val="auto"/>
        </w:rPr>
        <w:t>. Except as otherwise specified herein, all notices hereunder and under the other Loan Documents shall be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writing (including, without limitation, notice by telecopy or other electronic transmission) and shall be given to the relevant party at its address, telecopier number or e-mail address set forth below, or such other address or telecopier number as such party may hereafter specify by notice to the Administrative Agent and the Borrower given by courier, by United States certified or registered mail, by telecopy or by other telecommunication device capable of creating a written record of such notice and its receipt. Notices to the Borrower, any </w:t>
      </w:r>
      <w:r>
        <w:rPr>
          <w:rFonts w:ascii="Arial" w:cs="Arial" w:eastAsia="Arial" w:hAnsi="Arial"/>
          <w:sz w:val="16"/>
          <w:szCs w:val="16"/>
          <w:color w:val="FF0000"/>
          <w:strike w:val="1"/>
        </w:rPr>
        <w:t>Loan</w:t>
      </w:r>
      <w:r>
        <w:rPr>
          <w:rFonts w:ascii="Arial" w:cs="Arial" w:eastAsia="Arial" w:hAnsi="Arial"/>
          <w:sz w:val="16"/>
          <w:szCs w:val="16"/>
          <w:color w:val="auto"/>
        </w:rPr>
        <w:t xml:space="preserve"> Guarantor, the Administrative Agent, the L/C Issuer or the Swing Line Lender shall be addressed to the respective address, telecopier number or email address set forth on </w:t>
      </w:r>
      <w:r>
        <w:rPr>
          <w:rFonts w:ascii="Arial" w:cs="Arial" w:eastAsia="Arial" w:hAnsi="Arial"/>
          <w:sz w:val="16"/>
          <w:szCs w:val="16"/>
          <w:u w:val="single" w:color="auto"/>
          <w:color w:val="auto"/>
        </w:rPr>
        <w:t>Schedule 13.8</w:t>
      </w:r>
      <w:r>
        <w:rPr>
          <w:rFonts w:ascii="Arial" w:cs="Arial" w:eastAsia="Arial" w:hAnsi="Arial"/>
          <w:sz w:val="16"/>
          <w:szCs w:val="16"/>
          <w:color w:val="auto"/>
        </w:rPr>
        <w:t xml:space="preserve">. Notices under the Loan Documents to the Lenders shall be addressed to their respective addresses, telecopier numbers or e-mail addresses set forth in its Administrative Questionnaire. 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6"/>
          <w:szCs w:val="16"/>
          <w:u w:val="single" w:color="auto"/>
          <w:color w:val="auto"/>
        </w:rPr>
        <w:t>subsection</w:t>
      </w:r>
    </w:p>
    <w:p>
      <w:pPr>
        <w:spacing w:after="0" w:line="3" w:lineRule="exact"/>
        <w:rPr>
          <w:rFonts w:ascii="Arial" w:cs="Arial" w:eastAsia="Arial" w:hAnsi="Arial"/>
          <w:sz w:val="16"/>
          <w:szCs w:val="16"/>
          <w:color w:val="auto"/>
        </w:rPr>
      </w:pPr>
    </w:p>
    <w:p>
      <w:pPr>
        <w:ind w:left="264" w:hanging="264"/>
        <w:spacing w:after="0"/>
        <w:tabs>
          <w:tab w:leader="none" w:pos="264" w:val="left"/>
        </w:tabs>
        <w:numPr>
          <w:ilvl w:val="0"/>
          <w:numId w:val="266"/>
        </w:numPr>
        <w:rPr>
          <w:rFonts w:ascii="Arial" w:cs="Arial" w:eastAsia="Arial" w:hAnsi="Arial"/>
          <w:sz w:val="18"/>
          <w:szCs w:val="18"/>
          <w:u w:val="single" w:color="auto"/>
          <w:color w:val="auto"/>
        </w:rPr>
      </w:pPr>
      <w:r>
        <w:rPr>
          <w:rFonts w:ascii="Arial" w:cs="Arial" w:eastAsia="Arial" w:hAnsi="Arial"/>
          <w:sz w:val="18"/>
          <w:szCs w:val="18"/>
          <w:color w:val="auto"/>
        </w:rPr>
        <w:t xml:space="preserve">below, shall be effective as provided in such </w:t>
      </w:r>
      <w:r>
        <w:rPr>
          <w:rFonts w:ascii="Arial" w:cs="Arial" w:eastAsia="Arial" w:hAnsi="Arial"/>
          <w:sz w:val="18"/>
          <w:szCs w:val="18"/>
          <w:u w:val="single" w:color="auto"/>
          <w:color w:val="auto"/>
        </w:rPr>
        <w:t>subsection (b)</w:t>
      </w:r>
      <w:r>
        <w:rPr>
          <w:rFonts w:ascii="Arial" w:cs="Arial" w:eastAsia="Arial" w:hAnsi="Arial"/>
          <w:sz w:val="18"/>
          <w:szCs w:val="18"/>
          <w:color w:val="auto"/>
        </w:rPr>
        <w:t>.</w:t>
      </w:r>
    </w:p>
    <w:p>
      <w:pPr>
        <w:spacing w:after="0" w:line="210" w:lineRule="exact"/>
        <w:rPr>
          <w:rFonts w:ascii="Arial" w:cs="Arial" w:eastAsia="Arial" w:hAnsi="Arial"/>
          <w:sz w:val="18"/>
          <w:szCs w:val="18"/>
          <w:u w:val="single" w:color="auto"/>
          <w:color w:val="auto"/>
        </w:rPr>
      </w:pPr>
    </w:p>
    <w:p>
      <w:pPr>
        <w:ind w:left="4" w:right="20" w:firstLine="987"/>
        <w:spacing w:after="0" w:line="286" w:lineRule="auto"/>
        <w:tabs>
          <w:tab w:leader="none" w:pos="1385" w:val="left"/>
        </w:tabs>
        <w:numPr>
          <w:ilvl w:val="1"/>
          <w:numId w:val="266"/>
        </w:numPr>
        <w:rPr>
          <w:rFonts w:ascii="Arial" w:cs="Arial" w:eastAsia="Arial" w:hAnsi="Arial"/>
          <w:sz w:val="16"/>
          <w:szCs w:val="16"/>
          <w:color w:val="auto"/>
        </w:rPr>
      </w:pPr>
      <w:r>
        <w:rPr>
          <w:rFonts w:ascii="Arial" w:cs="Arial" w:eastAsia="Arial" w:hAnsi="Arial"/>
          <w:sz w:val="16"/>
          <w:szCs w:val="16"/>
          <w:i w:val="1"/>
          <w:iCs w:val="1"/>
          <w:color w:val="auto"/>
        </w:rPr>
        <w:t>Electronic Communications</w:t>
      </w:r>
      <w:r>
        <w:rPr>
          <w:rFonts w:ascii="Arial" w:cs="Arial" w:eastAsia="Arial" w:hAnsi="Arial"/>
          <w:sz w:val="16"/>
          <w:szCs w:val="16"/>
          <w:color w:val="auto"/>
        </w:rPr>
        <w:t>. Notices and other communications to the Lenders and the L/C Issuer hereunder may be delivered or</w:t>
      </w:r>
      <w:r>
        <w:rPr>
          <w:rFonts w:ascii="Arial" w:cs="Arial" w:eastAsia="Arial" w:hAnsi="Arial"/>
          <w:sz w:val="16"/>
          <w:szCs w:val="16"/>
          <w:i w:val="1"/>
          <w:iCs w:val="1"/>
          <w:color w:val="auto"/>
        </w:rPr>
        <w:t xml:space="preserve"> </w:t>
      </w:r>
      <w:r>
        <w:rPr>
          <w:rFonts w:ascii="Arial" w:cs="Arial" w:eastAsia="Arial" w:hAnsi="Arial"/>
          <w:sz w:val="16"/>
          <w:szCs w:val="16"/>
          <w:color w:val="auto"/>
        </w:rPr>
        <w:t>furnished by electronic communication (including e mail, FpML messaging, and Internet or intranet websites) pursuant to procedures approved by the Administrative Agent</w:t>
      </w:r>
      <w:r>
        <w:rPr>
          <w:rFonts w:ascii="Arial" w:cs="Arial" w:eastAsia="Arial" w:hAnsi="Arial"/>
          <w:sz w:val="16"/>
          <w:szCs w:val="16"/>
          <w:color w:val="FF0000"/>
          <w:strike w:val="1"/>
        </w:rPr>
        <w:t>,</w:t>
      </w:r>
      <w:r>
        <w:rPr>
          <w:rFonts w:ascii="Arial" w:cs="Arial" w:eastAsia="Arial" w:hAnsi="Arial"/>
          <w:sz w:val="16"/>
          <w:szCs w:val="16"/>
          <w:u w:val="single" w:color="auto"/>
          <w:color w:val="0000E1"/>
        </w:rPr>
        <w:t>;</w:t>
      </w:r>
      <w:r>
        <w:rPr>
          <w:rFonts w:ascii="Arial" w:cs="Arial" w:eastAsia="Arial" w:hAnsi="Arial"/>
          <w:sz w:val="16"/>
          <w:szCs w:val="16"/>
          <w:color w:val="auto"/>
        </w:rPr>
        <w:t xml:space="preserve"> provided that the foregoing shall not apply to notices to any Lender or the L/C Issuer pursuant to </w:t>
      </w:r>
      <w:r>
        <w:rPr>
          <w:rFonts w:ascii="Arial" w:cs="Arial" w:eastAsia="Arial" w:hAnsi="Arial"/>
          <w:sz w:val="16"/>
          <w:szCs w:val="16"/>
          <w:color w:val="FF0000"/>
          <w:strike w:val="1"/>
        </w:rPr>
        <w:t>Article II</w:t>
      </w:r>
      <w:r>
        <w:rPr>
          <w:rFonts w:ascii="Arial" w:cs="Arial" w:eastAsia="Arial" w:hAnsi="Arial"/>
          <w:sz w:val="16"/>
          <w:szCs w:val="16"/>
          <w:u w:val="single" w:color="auto"/>
          <w:color w:val="0000E1"/>
        </w:rPr>
        <w:t>Section 1</w:t>
      </w:r>
      <w:r>
        <w:rPr>
          <w:rFonts w:ascii="Arial" w:cs="Arial" w:eastAsia="Arial" w:hAnsi="Arial"/>
          <w:sz w:val="16"/>
          <w:szCs w:val="16"/>
          <w:color w:val="auto"/>
        </w:rPr>
        <w:t xml:space="preserve"> if such Lender or the L/C Issuer, as applicable, has notified the Administrative Agent that it is incapable of receiving notices under such </w:t>
      </w:r>
      <w:r>
        <w:rPr>
          <w:rFonts w:ascii="Arial" w:cs="Arial" w:eastAsia="Arial" w:hAnsi="Arial"/>
          <w:sz w:val="16"/>
          <w:szCs w:val="16"/>
          <w:color w:val="FF0000"/>
          <w:strike w:val="1"/>
        </w:rPr>
        <w:t>Article</w:t>
      </w:r>
      <w:r>
        <w:rPr>
          <w:rFonts w:ascii="Arial" w:cs="Arial" w:eastAsia="Arial" w:hAnsi="Arial"/>
          <w:sz w:val="16"/>
          <w:szCs w:val="16"/>
          <w:u w:val="single" w:color="auto"/>
          <w:color w:val="0000E1"/>
        </w:rPr>
        <w:t>Section</w:t>
      </w:r>
      <w:r>
        <w:rPr>
          <w:rFonts w:ascii="Arial" w:cs="Arial" w:eastAsia="Arial" w:hAnsi="Arial"/>
          <w:sz w:val="16"/>
          <w:szCs w:val="16"/>
          <w:color w:val="auto"/>
        </w:rPr>
        <w:t xml:space="preserve"> by electronic communication. The Administrative Agent, the Swing Line Lender, the L/C Issuer or the Borrower may each, in its discretion, agree to accept notices and other communications to it hereunder by electronic communications pursuant to procedures approved by it</w:t>
      </w:r>
      <w:r>
        <w:rPr>
          <w:rFonts w:ascii="Arial" w:cs="Arial" w:eastAsia="Arial" w:hAnsi="Arial"/>
          <w:sz w:val="16"/>
          <w:szCs w:val="16"/>
          <w:color w:val="FF0000"/>
          <w:strike w:val="1"/>
        </w:rPr>
        <w:t>,</w:t>
      </w:r>
      <w:r>
        <w:rPr>
          <w:rFonts w:ascii="Arial" w:cs="Arial" w:eastAsia="Arial" w:hAnsi="Arial"/>
          <w:sz w:val="16"/>
          <w:szCs w:val="16"/>
          <w:u w:val="single" w:color="auto"/>
          <w:color w:val="0000E1"/>
        </w:rPr>
        <w:t>;</w:t>
      </w:r>
      <w:r>
        <w:rPr>
          <w:rFonts w:ascii="Arial" w:cs="Arial" w:eastAsia="Arial" w:hAnsi="Arial"/>
          <w:sz w:val="16"/>
          <w:szCs w:val="16"/>
          <w:color w:val="auto"/>
        </w:rPr>
        <w:t xml:space="preserve"> provided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notification that such notice or communication is available and identifying the website address therefor; provided that, for both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73" w:lineRule="exact"/>
        <w:rPr>
          <w:rFonts w:ascii="Arial" w:cs="Arial" w:eastAsia="Arial" w:hAnsi="Arial"/>
          <w:sz w:val="16"/>
          <w:szCs w:val="16"/>
          <w:color w:val="auto"/>
        </w:rPr>
      </w:pPr>
    </w:p>
    <w:p>
      <w:pPr>
        <w:ind w:left="4" w:right="280" w:firstLine="987"/>
        <w:spacing w:after="0" w:line="271" w:lineRule="auto"/>
        <w:tabs>
          <w:tab w:leader="none" w:pos="1372" w:val="left"/>
        </w:tabs>
        <w:numPr>
          <w:ilvl w:val="1"/>
          <w:numId w:val="266"/>
        </w:numPr>
        <w:rPr>
          <w:rFonts w:ascii="Arial" w:cs="Arial" w:eastAsia="Arial" w:hAnsi="Arial"/>
          <w:sz w:val="17"/>
          <w:szCs w:val="17"/>
          <w:color w:val="auto"/>
        </w:rPr>
      </w:pPr>
      <w:r>
        <w:rPr>
          <w:rFonts w:ascii="Arial" w:cs="Arial" w:eastAsia="Arial" w:hAnsi="Arial"/>
          <w:sz w:val="17"/>
          <w:szCs w:val="17"/>
          <w:color w:val="auto"/>
        </w:rPr>
        <w:t>The Platform.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Persons have any liability to the Borrower, any Lender, the L/C Issuer or any other Person for losses, claims, damages, liabilities or expenses of any kind (whether in tort,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1727200</wp:posOffset>
            </wp:positionH>
            <wp:positionV relativeFrom="paragraph">
              <wp:posOffset>-4745990</wp:posOffset>
            </wp:positionV>
            <wp:extent cx="28575"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6399530</wp:posOffset>
            </wp:positionH>
            <wp:positionV relativeFrom="paragraph">
              <wp:posOffset>-4060190</wp:posOffset>
            </wp:positionV>
            <wp:extent cx="28575"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-3785870</wp:posOffset>
            </wp:positionV>
            <wp:extent cx="28575"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-2962910</wp:posOffset>
            </wp:positionV>
            <wp:extent cx="28575"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-2611755</wp:posOffset>
            </wp:positionV>
            <wp:extent cx="34290"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-2611755</wp:posOffset>
            </wp:positionV>
            <wp:extent cx="428625"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6214745</wp:posOffset>
            </wp:positionH>
            <wp:positionV relativeFrom="paragraph">
              <wp:posOffset>-2474595</wp:posOffset>
            </wp:positionV>
            <wp:extent cx="342900"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5452110</wp:posOffset>
            </wp:positionH>
            <wp:positionV relativeFrom="paragraph">
              <wp:posOffset>-2200275</wp:posOffset>
            </wp:positionV>
            <wp:extent cx="3429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3086735</wp:posOffset>
            </wp:positionH>
            <wp:positionV relativeFrom="paragraph">
              <wp:posOffset>-2139950</wp:posOffset>
            </wp:positionV>
            <wp:extent cx="28575"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1503045</wp:posOffset>
            </wp:positionH>
            <wp:positionV relativeFrom="paragraph">
              <wp:posOffset>-1042670</wp:posOffset>
            </wp:positionV>
            <wp:extent cx="28575"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-1042670</wp:posOffset>
            </wp:positionV>
            <wp:extent cx="28575"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-768350</wp:posOffset>
            </wp:positionV>
            <wp:extent cx="28575"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6219190</wp:posOffset>
            </wp:positionH>
            <wp:positionV relativeFrom="paragraph">
              <wp:posOffset>-356870</wp:posOffset>
            </wp:positionV>
            <wp:extent cx="28575"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04"/>
          </w:cols>
          <w:pgMar w:left="436" w:top="274" w:right="459" w:bottom="1440" w:gutter="0" w:footer="0" w:header="0"/>
        </w:sectPr>
      </w:pPr>
    </w:p>
    <w:bookmarkStart w:id="208" w:name="page209"/>
    <w:bookmarkEnd w:id="208"/>
    <w:p>
      <w:pPr>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contract or otherwise) arising out of the Borrower’s, any Loan Party’s or the Administrative Agent’s transmission of Borrower Materials or notices through the Platform, any other electronic platform or electronic messaging service, or through the Internet, other than for direct or actual damages resulting from the gross negligence, bad faith or willful misconduct of Administrative Agent or its Related Persons as determined by a final and nonappealable judgment of a court of competent jurisdiction.</w:t>
      </w:r>
    </w:p>
    <w:p>
      <w:pPr>
        <w:spacing w:after="0" w:line="187" w:lineRule="exact"/>
        <w:rPr>
          <w:sz w:val="20"/>
          <w:szCs w:val="20"/>
          <w:color w:val="auto"/>
        </w:rPr>
      </w:pPr>
    </w:p>
    <w:p>
      <w:pPr>
        <w:ind w:right="40" w:firstLine="987"/>
        <w:spacing w:after="0" w:line="269" w:lineRule="auto"/>
        <w:tabs>
          <w:tab w:leader="none" w:pos="1381" w:val="left"/>
        </w:tabs>
        <w:numPr>
          <w:ilvl w:val="0"/>
          <w:numId w:val="267"/>
        </w:numPr>
        <w:rPr>
          <w:rFonts w:ascii="Arial" w:cs="Arial" w:eastAsia="Arial" w:hAnsi="Arial"/>
          <w:sz w:val="17"/>
          <w:szCs w:val="17"/>
          <w:color w:val="auto"/>
        </w:rPr>
      </w:pPr>
      <w:r>
        <w:rPr>
          <w:rFonts w:ascii="Arial" w:cs="Arial" w:eastAsia="Arial" w:hAnsi="Arial"/>
          <w:sz w:val="17"/>
          <w:szCs w:val="17"/>
          <w:i w:val="1"/>
          <w:iCs w:val="1"/>
          <w:color w:val="auto"/>
        </w:rPr>
        <w:t>Change of Address</w:t>
      </w:r>
      <w:r>
        <w:rPr>
          <w:rFonts w:ascii="Arial" w:cs="Arial" w:eastAsia="Arial" w:hAnsi="Arial"/>
          <w:sz w:val="17"/>
          <w:szCs w:val="17"/>
          <w:color w:val="auto"/>
        </w:rPr>
        <w:t>,</w:t>
      </w:r>
      <w:r>
        <w:rPr>
          <w:rFonts w:ascii="Arial" w:cs="Arial" w:eastAsia="Arial" w:hAnsi="Arial"/>
          <w:sz w:val="17"/>
          <w:szCs w:val="17"/>
          <w:i w:val="1"/>
          <w:iCs w:val="1"/>
          <w:color w:val="auto"/>
        </w:rPr>
        <w:t xml:space="preserve"> Etc</w:t>
      </w:r>
      <w:r>
        <w:rPr>
          <w:rFonts w:ascii="Arial" w:cs="Arial" w:eastAsia="Arial" w:hAnsi="Arial"/>
          <w:sz w:val="17"/>
          <w:szCs w:val="17"/>
          <w:color w:val="auto"/>
        </w:rPr>
        <w:t>. Each of the Borrower, the Administrative Agent, the L/C Issuer and the Swing Line Lender may change its</w:t>
      </w:r>
      <w:r>
        <w:rPr>
          <w:rFonts w:ascii="Arial" w:cs="Arial" w:eastAsia="Arial" w:hAnsi="Arial"/>
          <w:sz w:val="17"/>
          <w:szCs w:val="17"/>
          <w:i w:val="1"/>
          <w:iCs w:val="1"/>
          <w:color w:val="auto"/>
        </w:rPr>
        <w:t xml:space="preserve"> </w:t>
      </w:r>
      <w:r>
        <w:rPr>
          <w:rFonts w:ascii="Arial" w:cs="Arial" w:eastAsia="Arial" w:hAnsi="Arial"/>
          <w:sz w:val="17"/>
          <w:szCs w:val="17"/>
          <w:color w:val="auto"/>
        </w:rPr>
        <w:t>address, facsimile or telephone number for notices and other communications hereunder by notice to the other parties hereto. Each other Lender may change its address, facsimile or telephone number for notices and other communications hereunder by notice to the Borrower,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81" w:lineRule="exact"/>
        <w:rPr>
          <w:rFonts w:ascii="Arial" w:cs="Arial" w:eastAsia="Arial" w:hAnsi="Arial"/>
          <w:sz w:val="17"/>
          <w:szCs w:val="17"/>
          <w:color w:val="auto"/>
        </w:rPr>
      </w:pPr>
    </w:p>
    <w:p>
      <w:pPr>
        <w:ind w:firstLine="987"/>
        <w:spacing w:after="0" w:line="271" w:lineRule="auto"/>
        <w:tabs>
          <w:tab w:leader="none" w:pos="1371" w:val="left"/>
        </w:tabs>
        <w:numPr>
          <w:ilvl w:val="0"/>
          <w:numId w:val="267"/>
        </w:numPr>
        <w:rPr>
          <w:rFonts w:ascii="Arial" w:cs="Arial" w:eastAsia="Arial" w:hAnsi="Arial"/>
          <w:sz w:val="17"/>
          <w:szCs w:val="17"/>
          <w:color w:val="auto"/>
        </w:rPr>
      </w:pPr>
      <w:r>
        <w:rPr>
          <w:rFonts w:ascii="Arial" w:cs="Arial" w:eastAsia="Arial" w:hAnsi="Arial"/>
          <w:sz w:val="17"/>
          <w:szCs w:val="17"/>
          <w:i w:val="1"/>
          <w:iCs w:val="1"/>
          <w:color w:val="auto"/>
        </w:rPr>
        <w:t>Reliance by Administrative Agent, L/C Issuer and Lenders</w:t>
      </w:r>
      <w:r>
        <w:rPr>
          <w:rFonts w:ascii="Arial" w:cs="Arial" w:eastAsia="Arial" w:hAnsi="Arial"/>
          <w:sz w:val="17"/>
          <w:szCs w:val="17"/>
          <w:color w:val="auto"/>
        </w:rPr>
        <w:t>. The Administrative Agent, the L/C Issuer and the Lenders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rely and act upon any notices (including telephonic notices, Committed Loan Notices, Letter of Credit Applications and Swing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Persons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1939290</wp:posOffset>
            </wp:positionH>
            <wp:positionV relativeFrom="paragraph">
              <wp:posOffset>-2277110</wp:posOffset>
            </wp:positionV>
            <wp:extent cx="2857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4474210</wp:posOffset>
            </wp:positionH>
            <wp:positionV relativeFrom="paragraph">
              <wp:posOffset>-2002790</wp:posOffset>
            </wp:positionV>
            <wp:extent cx="28575"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-1042670</wp:posOffset>
            </wp:positionV>
            <wp:extent cx="28575"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-494030</wp:posOffset>
            </wp:positionV>
            <wp:extent cx="28575"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13.9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and by the different parties hereto on separate counterpart signature pages, each of which shall constitute an original, and all such counterparts taken together shall be deemed to constitute one and the same contract. Delivery of an executed counterpart of a signature page to this Agreement by facsimile or other electronic transmission will be effective as delivery of a manually executed counterpart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-488950</wp:posOffset>
            </wp:positionV>
            <wp:extent cx="28575"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7"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Section 13.10 </w:t>
      </w:r>
      <w:r>
        <w:rPr>
          <w:rFonts w:ascii="Arial" w:cs="Arial" w:eastAsia="Arial" w:hAnsi="Arial"/>
          <w:sz w:val="16"/>
          <w:szCs w:val="16"/>
          <w:i w:val="1"/>
          <w:iCs w:val="1"/>
          <w:color w:val="auto"/>
        </w:rPr>
        <w:t>Successors and Assigns</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Section 13.12</w:t>
      </w:r>
      <w:r>
        <w:rPr>
          <w:rFonts w:ascii="Arial" w:cs="Arial" w:eastAsia="Arial" w:hAnsi="Arial"/>
          <w:sz w:val="16"/>
          <w:szCs w:val="16"/>
          <w:color w:val="auto"/>
        </w:rPr>
        <w:t xml:space="preserve">, (ii) by way of participation in accordance with the provisions of </w:t>
      </w:r>
      <w:r>
        <w:rPr>
          <w:rFonts w:ascii="Arial" w:cs="Arial" w:eastAsia="Arial" w:hAnsi="Arial"/>
          <w:sz w:val="16"/>
          <w:szCs w:val="16"/>
          <w:u w:val="single" w:color="auto"/>
          <w:color w:val="auto"/>
        </w:rPr>
        <w:t>Section 13.11</w:t>
      </w:r>
      <w:r>
        <w:rPr>
          <w:rFonts w:ascii="Arial" w:cs="Arial" w:eastAsia="Arial" w:hAnsi="Arial"/>
          <w:sz w:val="16"/>
          <w:szCs w:val="16"/>
          <w:color w:val="auto"/>
        </w:rPr>
        <w:t xml:space="preserve">, or (iii) by way of pledge or assignment of a security interest subject to the restrictions of </w:t>
      </w:r>
      <w:r>
        <w:rPr>
          <w:rFonts w:ascii="Arial" w:cs="Arial" w:eastAsia="Arial" w:hAnsi="Arial"/>
          <w:sz w:val="16"/>
          <w:szCs w:val="16"/>
          <w:u w:val="single" w:color="auto"/>
          <w:color w:val="auto"/>
        </w:rPr>
        <w:t>Section 13.12(</w:t>
      </w:r>
      <w:r>
        <w:rPr>
          <w:rFonts w:ascii="Arial" w:cs="Arial" w:eastAsia="Arial" w:hAnsi="Arial"/>
          <w:sz w:val="16"/>
          <w:szCs w:val="16"/>
          <w:color w:val="FF0000"/>
          <w:strike w:val="1"/>
        </w:rPr>
        <w:t>c</w:t>
      </w:r>
      <w:r>
        <w:rPr>
          <w:rFonts w:ascii="Arial" w:cs="Arial" w:eastAsia="Arial" w:hAnsi="Arial"/>
          <w:sz w:val="16"/>
          <w:szCs w:val="16"/>
          <w:u w:val="single" w:color="auto"/>
          <w:color w:val="0000E1"/>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-913130</wp:posOffset>
            </wp:positionV>
            <wp:extent cx="28575"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-150495</wp:posOffset>
            </wp:positionV>
            <wp:extent cx="85725"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5194300</wp:posOffset>
            </wp:positionH>
            <wp:positionV relativeFrom="paragraph">
              <wp:posOffset>-227330</wp:posOffset>
            </wp:positionV>
            <wp:extent cx="28575"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00"/>
          </w:cols>
          <w:pgMar w:left="440" w:top="274" w:right="459" w:bottom="1440" w:gutter="0" w:footer="0" w:header="0"/>
        </w:sectPr>
      </w:pPr>
    </w:p>
    <w:bookmarkStart w:id="209" w:name="page210"/>
    <w:bookmarkEnd w:id="209"/>
    <w:p>
      <w:pPr>
        <w:ind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permitted hereby, Participants to the extent provided in </w:t>
      </w:r>
      <w:r>
        <w:rPr>
          <w:rFonts w:ascii="Arial" w:cs="Arial" w:eastAsia="Arial" w:hAnsi="Arial"/>
          <w:sz w:val="16"/>
          <w:szCs w:val="16"/>
          <w:u w:val="single" w:color="auto"/>
          <w:color w:val="auto"/>
        </w:rPr>
        <w:t>Section 13.11</w:t>
      </w:r>
      <w:r>
        <w:rPr>
          <w:rFonts w:ascii="Arial" w:cs="Arial" w:eastAsia="Arial" w:hAnsi="Arial"/>
          <w:sz w:val="16"/>
          <w:szCs w:val="16"/>
          <w:color w:val="auto"/>
        </w:rPr>
        <w:t xml:space="preserve"> and, to the extent expressly contemplated hereby, the Related Persons of each of the Administrative Agent, the L/C Issuer and the Lenders) any legal or equitable right, remedy or claim under or by reason of this Agreement.</w:t>
      </w:r>
    </w:p>
    <w:p>
      <w:pPr>
        <w:spacing w:after="0" w:line="124"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13.11 </w:t>
      </w:r>
      <w:r>
        <w:rPr>
          <w:rFonts w:ascii="Arial" w:cs="Arial" w:eastAsia="Arial" w:hAnsi="Arial"/>
          <w:sz w:val="16"/>
          <w:szCs w:val="16"/>
          <w:i w:val="1"/>
          <w:iCs w:val="1"/>
          <w:color w:val="auto"/>
        </w:rPr>
        <w:t>Participants</w:t>
      </w:r>
      <w:r>
        <w:rPr>
          <w:rFonts w:ascii="Arial" w:cs="Arial" w:eastAsia="Arial" w:hAnsi="Arial"/>
          <w:sz w:val="16"/>
          <w:szCs w:val="16"/>
          <w:color w:val="auto"/>
        </w:rPr>
        <w:t>. Each Lender shall have the right at its own cost to grant participations (to be evidenced by one or more agreements or certificates of participation) in the Loans made and participations in L/C Obligations and Swing Loans and/or Commitments held by such Lender at any time and from time to time to one or more other Persons (other than a natural Person, or a holding company, investment vehicle or trust for, or owned and operated for the primary benefit of a natural Person, a Defaulting Lender, the Borrower or any of the Borrower’s Affiliates or Subsidiaries, or a Disqualified Institutions (but only to the extent that the list of Disqualified Institutions has been made available to all Lenders), a “</w:t>
      </w:r>
      <w:r>
        <w:rPr>
          <w:rFonts w:ascii="Arial" w:cs="Arial" w:eastAsia="Arial" w:hAnsi="Arial"/>
          <w:sz w:val="16"/>
          <w:szCs w:val="16"/>
          <w:i w:val="1"/>
          <w:iCs w:val="1"/>
          <w:color w:val="auto"/>
        </w:rPr>
        <w:t>Participant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participation shall relieve any Lender of any of its obligations under this Agreement, and,</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no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participant shall have any rights under this Agreement except as provided in this </w:t>
      </w:r>
      <w:r>
        <w:rPr>
          <w:rFonts w:ascii="Arial" w:cs="Arial" w:eastAsia="Arial" w:hAnsi="Arial"/>
          <w:sz w:val="16"/>
          <w:szCs w:val="16"/>
          <w:u w:val="single" w:color="auto"/>
          <w:color w:val="auto"/>
        </w:rPr>
        <w:t>Section 13.11</w:t>
      </w:r>
      <w:r>
        <w:rPr>
          <w:rFonts w:ascii="Arial" w:cs="Arial" w:eastAsia="Arial" w:hAnsi="Arial"/>
          <w:sz w:val="16"/>
          <w:szCs w:val="16"/>
          <w:color w:val="auto"/>
        </w:rPr>
        <w:t xml:space="preserve">, and the Administrative Agent shall have no obligation or responsibility to such participant. Any agreement pursuant to which such participation is granted shall provide that the granting Lender shall retain the sole right and responsibility to exercise rights under this Agreement and the other Loan Documents and to enforce the obligations of the Borrower under this Agreement and the other Loan Documents including, without limitation, the right to approve any amendment, modification or waiver of any provision of the Loan Documents, except that such agreement may provide that such Lender will not agree to any modification, amendment or waiver of the Loan Documents that would reduce the amount of or postpone any fixed date for payment of any Obligation in which such participant has an interest which requires the consent of each affected Lender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the first proviso of </w:t>
      </w:r>
      <w:r>
        <w:rPr>
          <w:rFonts w:ascii="Arial" w:cs="Arial" w:eastAsia="Arial" w:hAnsi="Arial"/>
          <w:sz w:val="16"/>
          <w:szCs w:val="16"/>
          <w:u w:val="single" w:color="auto"/>
          <w:color w:val="auto"/>
        </w:rPr>
        <w:t>Section 13.13(a)</w:t>
      </w:r>
      <w:r>
        <w:rPr>
          <w:rFonts w:ascii="Arial" w:cs="Arial" w:eastAsia="Arial" w:hAnsi="Arial"/>
          <w:sz w:val="16"/>
          <w:szCs w:val="16"/>
          <w:color w:val="auto"/>
        </w:rPr>
        <w:t xml:space="preserve"> (subject to the other provisions of </w:t>
      </w:r>
      <w:r>
        <w:rPr>
          <w:rFonts w:ascii="Arial" w:cs="Arial" w:eastAsia="Arial" w:hAnsi="Arial"/>
          <w:sz w:val="16"/>
          <w:szCs w:val="16"/>
          <w:u w:val="single" w:color="auto"/>
          <w:color w:val="auto"/>
        </w:rPr>
        <w:t>Section 13.13</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thereof). Subject to </w:t>
      </w:r>
      <w:r>
        <w:rPr>
          <w:rFonts w:ascii="Arial" w:cs="Arial" w:eastAsia="Arial" w:hAnsi="Arial"/>
          <w:sz w:val="16"/>
          <w:szCs w:val="16"/>
          <w:u w:val="single" w:color="auto"/>
          <w:color w:val="auto"/>
        </w:rPr>
        <w:t>Section 13.25</w:t>
      </w:r>
      <w:r>
        <w:rPr>
          <w:rFonts w:ascii="Arial" w:cs="Arial" w:eastAsia="Arial" w:hAnsi="Arial"/>
          <w:sz w:val="16"/>
          <w:szCs w:val="16"/>
          <w:color w:val="auto"/>
        </w:rPr>
        <w:t xml:space="preserve"> hereof, the Borrower authorizes each Lender to disclose to any participant or prospective participant (which, for the avoidance of doubt, shall exclude any Disqualified Institution (but only to the extent that the list of Disqualified Institutions has been made available to all Lenders)) under this </w:t>
      </w:r>
      <w:r>
        <w:rPr>
          <w:rFonts w:ascii="Arial" w:cs="Arial" w:eastAsia="Arial" w:hAnsi="Arial"/>
          <w:sz w:val="16"/>
          <w:szCs w:val="16"/>
          <w:u w:val="single" w:color="auto"/>
          <w:color w:val="auto"/>
        </w:rPr>
        <w:t>Section 13.11</w:t>
      </w:r>
      <w:r>
        <w:rPr>
          <w:rFonts w:ascii="Arial" w:cs="Arial" w:eastAsia="Arial" w:hAnsi="Arial"/>
          <w:sz w:val="16"/>
          <w:szCs w:val="16"/>
          <w:color w:val="auto"/>
        </w:rPr>
        <w:t xml:space="preserve"> any financial or other information pertaining to Holdings, any of its Restricted Subsidiaries or Unrestricted Subsidiaries. Any party which has been granted a participation shall be entitled to the benefits of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13.4</w:t>
      </w:r>
      <w:r>
        <w:rPr>
          <w:rFonts w:ascii="Arial" w:cs="Arial" w:eastAsia="Arial" w:hAnsi="Arial"/>
          <w:sz w:val="16"/>
          <w:szCs w:val="16"/>
          <w:color w:val="auto"/>
        </w:rPr>
        <w:t xml:space="preserve"> hereof only to the extent of the benefits accruing to the Lender granting the participation if such participant is not an Affiliate or Related Fund of a Lender. Each Participant shall be entitled to the benefits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hereof as if it were a Lender;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for the avoidance of doubt, the Borrower shall not, at any time, be obligated to pay additional amounts pursuant to </w:t>
      </w:r>
      <w:r>
        <w:rPr>
          <w:rFonts w:ascii="Arial" w:cs="Arial" w:eastAsia="Arial" w:hAnsi="Arial"/>
          <w:sz w:val="16"/>
          <w:szCs w:val="16"/>
          <w:u w:val="single" w:color="auto"/>
          <w:color w:val="auto"/>
        </w:rPr>
        <w:t>Section 13.1(a)</w:t>
      </w:r>
      <w:r>
        <w:rPr>
          <w:rFonts w:ascii="Arial" w:cs="Arial" w:eastAsia="Arial" w:hAnsi="Arial"/>
          <w:sz w:val="16"/>
          <w:szCs w:val="16"/>
          <w:color w:val="auto"/>
        </w:rPr>
        <w:t xml:space="preserve"> with respect to any withholding tax that is imposed on amounts payable to such Participant at the time it acquires a participation in the Loans or Commitments made under this Agreement, except to the extent that such Participant is the Participant of a Lender who was entitled to receive such additional amounts from the Borrower. Each Lender that sells a participation shall maintain a register on which it records the name and address of each participant and the principal amounts of each participant’s participating interest with respect to the Loans, Commitments or other interests hereunder </w:t>
      </w:r>
      <w:r>
        <w:rPr>
          <w:rFonts w:ascii="Arial" w:cs="Arial" w:eastAsia="Arial" w:hAnsi="Arial"/>
          <w:sz w:val="16"/>
          <w:szCs w:val="16"/>
          <w:u w:val="single" w:color="auto"/>
          <w:color w:val="0000E1"/>
        </w:rPr>
        <w:t>to ensure such Loans,</w:t>
      </w:r>
      <w:r>
        <w:rPr>
          <w:rFonts w:ascii="Arial" w:cs="Arial" w:eastAsia="Arial" w:hAnsi="Arial"/>
          <w:sz w:val="16"/>
          <w:szCs w:val="16"/>
          <w:color w:val="auto"/>
        </w:rPr>
        <w:t xml:space="preserve"> </w:t>
      </w:r>
      <w:r>
        <w:rPr>
          <w:rFonts w:ascii="Arial" w:cs="Arial" w:eastAsia="Arial" w:hAnsi="Arial"/>
          <w:sz w:val="16"/>
          <w:szCs w:val="16"/>
          <w:u w:val="single" w:color="auto"/>
          <w:color w:val="0000E1"/>
        </w:rPr>
        <w:t>Commitments and other interests are in registered form under Section 5f.103-1(c)</w:t>
      </w:r>
      <w:r>
        <w:rPr>
          <w:rFonts w:ascii="Arial" w:cs="Arial" w:eastAsia="Arial" w:hAnsi="Arial"/>
          <w:sz w:val="16"/>
          <w:szCs w:val="16"/>
          <w:color w:val="000000"/>
        </w:rPr>
        <w:t>, which entries shall be conclusive absent manifest error. In the event a</w:t>
      </w:r>
      <w:r>
        <w:rPr>
          <w:rFonts w:ascii="Arial" w:cs="Arial" w:eastAsia="Arial" w:hAnsi="Arial"/>
          <w:sz w:val="16"/>
          <w:szCs w:val="16"/>
          <w:color w:val="0000E1"/>
        </w:rPr>
        <w:t xml:space="preserve"> </w:t>
      </w:r>
      <w:r>
        <w:rPr>
          <w:rFonts w:ascii="Arial" w:cs="Arial" w:eastAsia="Arial" w:hAnsi="Arial"/>
          <w:sz w:val="16"/>
          <w:szCs w:val="16"/>
          <w:color w:val="000000"/>
        </w:rPr>
        <w:t xml:space="preserve">participation is granted to a Person who does not satisfy the eligibility requirements of this </w:t>
      </w:r>
      <w:r>
        <w:rPr>
          <w:rFonts w:ascii="Arial" w:cs="Arial" w:eastAsia="Arial" w:hAnsi="Arial"/>
          <w:sz w:val="16"/>
          <w:szCs w:val="16"/>
          <w:u w:val="single" w:color="auto"/>
          <w:color w:val="000000"/>
        </w:rPr>
        <w:t>Section 13.11</w:t>
      </w:r>
      <w:r>
        <w:rPr>
          <w:rFonts w:ascii="Arial" w:cs="Arial" w:eastAsia="Arial" w:hAnsi="Arial"/>
          <w:sz w:val="16"/>
          <w:szCs w:val="16"/>
          <w:color w:val="000000"/>
        </w:rPr>
        <w:t>, the Borrower shall be entitled to pursue any remedy available to it (whether at law or in equity, including specific performance to unwind such participation) against the Lender selling the participation and such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1637665</wp:posOffset>
            </wp:positionH>
            <wp:positionV relativeFrom="paragraph">
              <wp:posOffset>-3654425</wp:posOffset>
            </wp:positionV>
            <wp:extent cx="28575"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-422275</wp:posOffset>
            </wp:positionV>
            <wp:extent cx="994410"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-285115</wp:posOffset>
            </wp:positionV>
            <wp:extent cx="373761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00"/>
          </w:cols>
          <w:pgMar w:left="440" w:top="274" w:right="459" w:bottom="1440" w:gutter="0" w:footer="0" w:header="0"/>
        </w:sectPr>
      </w:pPr>
    </w:p>
    <w:bookmarkStart w:id="210" w:name="page211"/>
    <w:bookmarkEnd w:id="210"/>
    <w:p>
      <w:pPr>
        <w:ind w:left="444"/>
        <w:spacing w:after="0"/>
        <w:tabs>
          <w:tab w:leader="none" w:pos="15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13.12</w:t>
      </w:r>
      <w:r>
        <w:rPr>
          <w:sz w:val="20"/>
          <w:szCs w:val="20"/>
          <w:color w:val="auto"/>
        </w:rPr>
        <w:tab/>
      </w:r>
      <w:r>
        <w:rPr>
          <w:rFonts w:ascii="Arial" w:cs="Arial" w:eastAsia="Arial" w:hAnsi="Arial"/>
          <w:sz w:val="16"/>
          <w:szCs w:val="16"/>
          <w:i w:val="1"/>
          <w:iCs w:val="1"/>
          <w:color w:val="auto"/>
        </w:rPr>
        <w:t>Assignments by Lenders</w:t>
      </w:r>
      <w:r>
        <w:rPr>
          <w:rFonts w:ascii="Arial" w:cs="Arial" w:eastAsia="Arial" w:hAnsi="Arial"/>
          <w:sz w:val="16"/>
          <w:szCs w:val="16"/>
          <w:color w:val="FF0000"/>
          <w:strike w:val="1"/>
        </w:rPr>
        <w:t>(a) . (a)</w:t>
      </w:r>
    </w:p>
    <w:p>
      <w:pPr>
        <w:spacing w:after="0" w:line="117" w:lineRule="exact"/>
        <w:rPr>
          <w:sz w:val="20"/>
          <w:szCs w:val="20"/>
          <w:color w:val="auto"/>
        </w:rPr>
      </w:pPr>
    </w:p>
    <w:p>
      <w:pPr>
        <w:jc w:val="both"/>
        <w:ind w:left="4" w:right="60" w:firstLine="1428"/>
        <w:spacing w:after="0" w:line="263" w:lineRule="auto"/>
        <w:tabs>
          <w:tab w:leader="none" w:pos="1786" w:val="left"/>
        </w:tabs>
        <w:numPr>
          <w:ilvl w:val="1"/>
          <w:numId w:val="268"/>
        </w:numPr>
        <w:rPr>
          <w:rFonts w:ascii="Arial" w:cs="Arial" w:eastAsia="Arial" w:hAnsi="Arial"/>
          <w:sz w:val="18"/>
          <w:szCs w:val="18"/>
          <w:u w:val="single" w:color="auto"/>
          <w:color w:val="0000E1"/>
        </w:rPr>
      </w:pPr>
      <w:r>
        <w:rPr>
          <w:rFonts w:ascii="Arial" w:cs="Arial" w:eastAsia="Arial" w:hAnsi="Arial"/>
          <w:sz w:val="18"/>
          <w:szCs w:val="18"/>
          <w:i w:val="1"/>
          <w:iCs w:val="1"/>
          <w:u w:val="single" w:color="auto"/>
          <w:color w:val="0000E1"/>
        </w:rPr>
        <w:t>Assignments Generally</w:t>
      </w:r>
      <w:r>
        <w:rPr>
          <w:rFonts w:ascii="Arial" w:cs="Arial" w:eastAsia="Arial" w:hAnsi="Arial"/>
          <w:sz w:val="18"/>
          <w:szCs w:val="18"/>
          <w:u w:val="single" w:color="auto"/>
          <w:color w:val="0000E1"/>
        </w:rPr>
        <w:t>.</w:t>
      </w:r>
      <w:r>
        <w:rPr>
          <w:rFonts w:ascii="Arial" w:cs="Arial" w:eastAsia="Arial" w:hAnsi="Arial"/>
          <w:sz w:val="18"/>
          <w:szCs w:val="18"/>
          <w:i w:val="1"/>
          <w:iCs w:val="1"/>
          <w:color w:val="0000E1"/>
        </w:rPr>
        <w:t xml:space="preserve"> </w:t>
      </w:r>
      <w:r>
        <w:rPr>
          <w:rFonts w:ascii="Arial" w:cs="Arial" w:eastAsia="Arial" w:hAnsi="Arial"/>
          <w:sz w:val="18"/>
          <w:szCs w:val="18"/>
          <w:color w:val="000000"/>
        </w:rPr>
        <w:t>Any Lender may at any time assign to one or more Eligible Assignees all or a portion of such Lender’s</w:t>
      </w:r>
      <w:r>
        <w:rPr>
          <w:rFonts w:ascii="Arial" w:cs="Arial" w:eastAsia="Arial" w:hAnsi="Arial"/>
          <w:sz w:val="18"/>
          <w:szCs w:val="18"/>
          <w:i w:val="1"/>
          <w:iCs w:val="1"/>
          <w:color w:val="0000E1"/>
        </w:rPr>
        <w:t xml:space="preserve"> </w:t>
      </w:r>
      <w:r>
        <w:rPr>
          <w:rFonts w:ascii="Arial" w:cs="Arial" w:eastAsia="Arial" w:hAnsi="Arial"/>
          <w:sz w:val="18"/>
          <w:szCs w:val="18"/>
          <w:color w:val="000000"/>
        </w:rPr>
        <w:t xml:space="preserve">rights and obligations under this Agreement (including all or a portion of its Commitment and the Loans at the time owing to it);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any such assignment shall be subject to the following conditions:</w:t>
      </w:r>
    </w:p>
    <w:p>
      <w:pPr>
        <w:spacing w:after="0" w:line="183" w:lineRule="exact"/>
        <w:rPr>
          <w:rFonts w:ascii="Arial" w:cs="Arial" w:eastAsia="Arial" w:hAnsi="Arial"/>
          <w:sz w:val="18"/>
          <w:szCs w:val="18"/>
          <w:u w:val="single" w:color="auto"/>
          <w:color w:val="0000E1"/>
        </w:rPr>
      </w:pPr>
    </w:p>
    <w:p>
      <w:pPr>
        <w:ind w:left="4" w:firstLine="1428"/>
        <w:spacing w:after="0" w:line="287" w:lineRule="auto"/>
        <w:tabs>
          <w:tab w:leader="none" w:pos="1881" w:val="left"/>
        </w:tabs>
        <w:numPr>
          <w:ilvl w:val="1"/>
          <w:numId w:val="268"/>
        </w:numPr>
        <w:rPr>
          <w:rFonts w:ascii="Arial" w:cs="Arial" w:eastAsia="Arial" w:hAnsi="Arial"/>
          <w:sz w:val="16"/>
          <w:szCs w:val="16"/>
          <w:u w:val="single" w:color="auto"/>
          <w:color w:val="0000E1"/>
        </w:rPr>
      </w:pPr>
      <w:r>
        <w:rPr>
          <w:rFonts w:ascii="Arial" w:cs="Arial" w:eastAsia="Arial" w:hAnsi="Arial"/>
          <w:sz w:val="16"/>
          <w:szCs w:val="16"/>
          <w:color w:val="FF0000"/>
          <w:strike w:val="1"/>
        </w:rPr>
        <w:t>(i)</w:t>
      </w:r>
      <w:r>
        <w:rPr>
          <w:rFonts w:ascii="Arial" w:cs="Arial" w:eastAsia="Arial" w:hAnsi="Arial"/>
          <w:sz w:val="16"/>
          <w:szCs w:val="16"/>
          <w:color w:val="FF0000"/>
        </w:rPr>
        <w:t xml:space="preserve"> </w:t>
      </w:r>
      <w:r>
        <w:rPr>
          <w:rFonts w:ascii="Arial" w:cs="Arial" w:eastAsia="Arial" w:hAnsi="Arial"/>
          <w:sz w:val="16"/>
          <w:szCs w:val="16"/>
          <w:i w:val="1"/>
          <w:iCs w:val="1"/>
          <w:color w:val="000000"/>
        </w:rPr>
        <w:t>Minimum Amounts</w:t>
      </w:r>
      <w:r>
        <w:rPr>
          <w:rFonts w:ascii="Arial" w:cs="Arial" w:eastAsia="Arial" w:hAnsi="Arial"/>
          <w:sz w:val="16"/>
          <w:szCs w:val="16"/>
          <w:color w:val="000000"/>
        </w:rPr>
        <w:t>. (A) In the case of an assignment of the entire remaining amount of the assigning Lender’s Commitment</w:t>
      </w:r>
      <w:r>
        <w:rPr>
          <w:rFonts w:ascii="Arial" w:cs="Arial" w:eastAsia="Arial" w:hAnsi="Arial"/>
          <w:sz w:val="16"/>
          <w:szCs w:val="16"/>
          <w:color w:val="FF0000"/>
        </w:rPr>
        <w:t xml:space="preserve"> </w:t>
      </w:r>
      <w:r>
        <w:rPr>
          <w:rFonts w:ascii="Arial" w:cs="Arial" w:eastAsia="Arial" w:hAnsi="Arial"/>
          <w:sz w:val="16"/>
          <w:szCs w:val="16"/>
          <w:color w:val="000000"/>
        </w:rPr>
        <w:t xml:space="preserve">and the Loans and Participating Interest in L/C Obligations and Swing Loans at the time owing to it or in the case of an assignment to a Lender, an Affiliate of a Lender or an Approved Fund, no minimum amount need be assigned and (B) in any case not described in </w:t>
      </w:r>
      <w:r>
        <w:rPr>
          <w:rFonts w:ascii="Arial" w:cs="Arial" w:eastAsia="Arial" w:hAnsi="Arial"/>
          <w:sz w:val="16"/>
          <w:szCs w:val="16"/>
          <w:color w:val="FF0000"/>
          <w:strike w:val="1"/>
        </w:rPr>
        <w:t>subsection (a)(i)</w:t>
      </w:r>
      <w:r>
        <w:rPr>
          <w:rFonts w:ascii="Arial" w:cs="Arial" w:eastAsia="Arial" w:hAnsi="Arial"/>
          <w:sz w:val="16"/>
          <w:szCs w:val="16"/>
          <w:u w:val="single" w:color="auto"/>
          <w:color w:val="0000E1"/>
        </w:rPr>
        <w:t>this clause</w:t>
      </w:r>
    </w:p>
    <w:p>
      <w:pPr>
        <w:spacing w:after="0" w:line="2" w:lineRule="exact"/>
        <w:rPr>
          <w:rFonts w:ascii="Arial" w:cs="Arial" w:eastAsia="Arial" w:hAnsi="Arial"/>
          <w:sz w:val="16"/>
          <w:szCs w:val="16"/>
          <w:u w:val="single" w:color="auto"/>
          <w:color w:val="0000E1"/>
        </w:rPr>
      </w:pPr>
    </w:p>
    <w:p>
      <w:pPr>
        <w:ind w:left="4" w:hanging="4"/>
        <w:spacing w:after="0" w:line="267" w:lineRule="auto"/>
        <w:tabs>
          <w:tab w:leader="none" w:pos="299" w:val="left"/>
        </w:tabs>
        <w:numPr>
          <w:ilvl w:val="0"/>
          <w:numId w:val="269"/>
        </w:numPr>
        <w:rPr>
          <w:rFonts w:ascii="Arial" w:cs="Arial" w:eastAsia="Arial" w:hAnsi="Arial"/>
          <w:sz w:val="17"/>
          <w:szCs w:val="17"/>
          <w:u w:val="single" w:color="auto"/>
          <w:color w:val="auto"/>
        </w:rPr>
      </w:pPr>
      <w:r>
        <w:rPr>
          <w:rFonts w:ascii="Arial" w:cs="Arial" w:eastAsia="Arial" w:hAnsi="Arial"/>
          <w:sz w:val="17"/>
          <w:szCs w:val="17"/>
          <w:color w:val="FF0000"/>
        </w:rPr>
        <w:t>of this Section 13.12</w:t>
      </w:r>
      <w:r>
        <w:rPr>
          <w:rFonts w:ascii="Arial" w:cs="Arial" w:eastAsia="Arial" w:hAnsi="Arial"/>
          <w:sz w:val="17"/>
          <w:szCs w:val="17"/>
          <w:color w:val="000000"/>
        </w:rPr>
        <w:t>, the aggregate amount of the Commitment (which for this purpose includes Loans and Participating Interest in L/C Obligations</w:t>
      </w:r>
      <w:r>
        <w:rPr>
          <w:rFonts w:ascii="Arial" w:cs="Arial" w:eastAsia="Arial" w:hAnsi="Arial"/>
          <w:sz w:val="17"/>
          <w:szCs w:val="17"/>
          <w:color w:val="FF0000"/>
        </w:rPr>
        <w:t xml:space="preserve"> </w:t>
      </w:r>
      <w:r>
        <w:rPr>
          <w:rFonts w:ascii="Arial" w:cs="Arial" w:eastAsia="Arial" w:hAnsi="Arial"/>
          <w:sz w:val="17"/>
          <w:szCs w:val="17"/>
          <w:color w:val="000000"/>
        </w:rPr>
        <w:t xml:space="preserve">and Swing Loans outstanding thereunder) or, if the applicable Commitment is not then in effect, the principal outstanding balance of the relevant Loans and Participating Interest in L/C Obligations and Swing Loans of the assigning Lender subject to each such assignment (determined as of the date the Assignment and Assumption with respect to such assignment is delivered to the Administrative Agent or, if a “Trade Date” is specified in the Assignment and Assumption, as of the Trade Date) shall not be less than $5,000,000, in the case of any assignment in respect of any Class of Revolving Credit Facility, or $1,000,000, in the case of any assignment in respect of any Class of Term Loan, unless each of the Administrative Agent and, so long as no Event of Default under </w:t>
      </w:r>
      <w:r>
        <w:rPr>
          <w:rFonts w:ascii="Arial" w:cs="Arial" w:eastAsia="Arial" w:hAnsi="Arial"/>
          <w:sz w:val="17"/>
          <w:szCs w:val="17"/>
          <w:u w:val="single" w:color="auto"/>
          <w:color w:val="000000"/>
        </w:rPr>
        <w:t>Section 9.1(a)</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(j)</w:t>
      </w:r>
      <w:r>
        <w:rPr>
          <w:rFonts w:ascii="Arial" w:cs="Arial" w:eastAsia="Arial" w:hAnsi="Arial"/>
          <w:sz w:val="17"/>
          <w:szCs w:val="17"/>
          <w:color w:val="000000"/>
        </w:rPr>
        <w:t xml:space="preserve"> or </w:t>
      </w:r>
      <w:r>
        <w:rPr>
          <w:rFonts w:ascii="Arial" w:cs="Arial" w:eastAsia="Arial" w:hAnsi="Arial"/>
          <w:sz w:val="17"/>
          <w:szCs w:val="17"/>
          <w:u w:val="single" w:color="auto"/>
          <w:color w:val="000000"/>
        </w:rPr>
        <w:t>(k)</w:t>
      </w:r>
      <w:r>
        <w:rPr>
          <w:rFonts w:ascii="Arial" w:cs="Arial" w:eastAsia="Arial" w:hAnsi="Arial"/>
          <w:sz w:val="17"/>
          <w:szCs w:val="17"/>
          <w:color w:val="000000"/>
        </w:rPr>
        <w:t xml:space="preserve"> has occurred and is continuing, the Borrower otherwise consents (each such consent not to be unreasonably withheld or delayed); </w:t>
      </w:r>
      <w:r>
        <w:rPr>
          <w:rFonts w:ascii="Arial" w:cs="Arial" w:eastAsia="Arial" w:hAnsi="Arial"/>
          <w:sz w:val="17"/>
          <w:szCs w:val="17"/>
          <w:i w:val="1"/>
          <w:iCs w:val="1"/>
          <w:color w:val="000000"/>
        </w:rPr>
        <w:t>provided</w:t>
      </w:r>
      <w:r>
        <w:rPr>
          <w:rFonts w:ascii="Arial" w:cs="Arial" w:eastAsia="Arial" w:hAnsi="Arial"/>
          <w:sz w:val="17"/>
          <w:szCs w:val="17"/>
          <w:color w:val="FF0000"/>
          <w:strike w:val="1"/>
        </w:rPr>
        <w:t>,</w:t>
      </w:r>
      <w:r>
        <w:rPr>
          <w:rFonts w:ascii="Arial" w:cs="Arial" w:eastAsia="Arial" w:hAnsi="Arial"/>
          <w:sz w:val="17"/>
          <w:szCs w:val="17"/>
          <w:color w:val="000000"/>
        </w:rPr>
        <w:t xml:space="preserve"> that </w:t>
      </w:r>
      <w:r>
        <w:rPr>
          <w:rFonts w:ascii="Arial" w:cs="Arial" w:eastAsia="Arial" w:hAnsi="Arial"/>
          <w:sz w:val="17"/>
          <w:szCs w:val="17"/>
          <w:color w:val="FF0000"/>
          <w:strike w:val="1"/>
        </w:rPr>
        <w:t>Merrill Lynch, Pierce, Fenner &amp; Smith Incorporated</w:t>
      </w:r>
      <w:r>
        <w:rPr>
          <w:rFonts w:ascii="Arial" w:cs="Arial" w:eastAsia="Arial" w:hAnsi="Arial"/>
          <w:sz w:val="17"/>
          <w:szCs w:val="17"/>
          <w:u w:val="single" w:color="auto"/>
          <w:color w:val="0000E1"/>
        </w:rPr>
        <w:t>BoA Securities, Inc.</w:t>
      </w:r>
      <w:r>
        <w:rPr>
          <w:rFonts w:ascii="Arial" w:cs="Arial" w:eastAsia="Arial" w:hAnsi="Arial"/>
          <w:sz w:val="17"/>
          <w:szCs w:val="17"/>
          <w:color w:val="000000"/>
        </w:rPr>
        <w:t xml:space="preserve"> may, without notice to the Borrower, assign its rights and obligations under this Agreement to any other registered broker-dealer wholly-owned by Bank of America Corporation to which all or substantially all of Bank of America Corporation’s or any of its subsidiaries’ investment banking, commercial lending services or related businesses may be transferred following the Closing Date.</w:t>
      </w:r>
    </w:p>
    <w:p>
      <w:pPr>
        <w:spacing w:after="0" w:line="185" w:lineRule="exact"/>
        <w:rPr>
          <w:rFonts w:ascii="Arial" w:cs="Arial" w:eastAsia="Arial" w:hAnsi="Arial"/>
          <w:sz w:val="17"/>
          <w:szCs w:val="17"/>
          <w:u w:val="single" w:color="auto"/>
          <w:color w:val="auto"/>
        </w:rPr>
      </w:pPr>
    </w:p>
    <w:p>
      <w:pPr>
        <w:ind w:left="4" w:right="120" w:firstLine="1428"/>
        <w:spacing w:after="0" w:line="257" w:lineRule="auto"/>
        <w:tabs>
          <w:tab w:leader="none" w:pos="1931" w:val="left"/>
        </w:tabs>
        <w:numPr>
          <w:ilvl w:val="1"/>
          <w:numId w:val="269"/>
        </w:numPr>
        <w:rPr>
          <w:rFonts w:ascii="Arial" w:cs="Arial" w:eastAsia="Arial" w:hAnsi="Arial"/>
          <w:sz w:val="18"/>
          <w:szCs w:val="18"/>
          <w:u w:val="single" w:color="auto"/>
          <w:color w:val="0000E1"/>
        </w:rPr>
      </w:pPr>
      <w:r>
        <w:rPr>
          <w:rFonts w:ascii="Arial" w:cs="Arial" w:eastAsia="Arial" w:hAnsi="Arial"/>
          <w:sz w:val="18"/>
          <w:szCs w:val="18"/>
          <w:color w:val="FF0000"/>
          <w:strike w:val="1"/>
        </w:rPr>
        <w:t>(ii)</w:t>
      </w:r>
      <w:r>
        <w:rPr>
          <w:rFonts w:ascii="Arial" w:cs="Arial" w:eastAsia="Arial" w:hAnsi="Arial"/>
          <w:sz w:val="18"/>
          <w:szCs w:val="18"/>
          <w:color w:val="FF0000"/>
        </w:rPr>
        <w:t xml:space="preserve"> </w:t>
      </w:r>
      <w:r>
        <w:rPr>
          <w:rFonts w:ascii="Arial" w:cs="Arial" w:eastAsia="Arial" w:hAnsi="Arial"/>
          <w:sz w:val="18"/>
          <w:szCs w:val="18"/>
          <w:i w:val="1"/>
          <w:iCs w:val="1"/>
          <w:color w:val="000000"/>
        </w:rPr>
        <w:t>Proportionate Amounts</w:t>
      </w:r>
      <w:r>
        <w:rPr>
          <w:rFonts w:ascii="Arial" w:cs="Arial" w:eastAsia="Arial" w:hAnsi="Arial"/>
          <w:sz w:val="18"/>
          <w:szCs w:val="18"/>
          <w:color w:val="000000"/>
        </w:rPr>
        <w:t>. Each partial assignment shall be made as an assignment of a proportionate part of all the</w:t>
      </w:r>
      <w:r>
        <w:rPr>
          <w:rFonts w:ascii="Arial" w:cs="Arial" w:eastAsia="Arial" w:hAnsi="Arial"/>
          <w:sz w:val="18"/>
          <w:szCs w:val="18"/>
          <w:color w:val="FF0000"/>
        </w:rPr>
        <w:t xml:space="preserve"> </w:t>
      </w:r>
      <w:r>
        <w:rPr>
          <w:rFonts w:ascii="Arial" w:cs="Arial" w:eastAsia="Arial" w:hAnsi="Arial"/>
          <w:sz w:val="18"/>
          <w:szCs w:val="18"/>
          <w:color w:val="000000"/>
        </w:rPr>
        <w:t xml:space="preserve">assigning Lender’s rights and obligations under this Agreement with respect to the Loans or the Commitment assigned, except that this </w:t>
      </w:r>
      <w:r>
        <w:rPr>
          <w:rFonts w:ascii="Arial" w:cs="Arial" w:eastAsia="Arial" w:hAnsi="Arial"/>
          <w:sz w:val="18"/>
          <w:szCs w:val="18"/>
          <w:u w:val="single" w:color="auto"/>
          <w:color w:val="000000"/>
        </w:rPr>
        <w:t>clause (ii)</w:t>
      </w:r>
      <w:r>
        <w:rPr>
          <w:rFonts w:ascii="Arial" w:cs="Arial" w:eastAsia="Arial" w:hAnsi="Arial"/>
          <w:sz w:val="18"/>
          <w:szCs w:val="18"/>
          <w:color w:val="000000"/>
        </w:rPr>
        <w:t xml:space="preserve"> shall not (A) apply to the Swing Line Lender’s rights and obligations in respect of Swing Loans or (B) prohibit any Lender from assigning all or a portion of its rights and obligations among the revolving credit facility provided hereunder and any separate revolving credit or term loan facilities provided pursuant to </w:t>
      </w:r>
      <w:r>
        <w:rPr>
          <w:rFonts w:ascii="Arial" w:cs="Arial" w:eastAsia="Arial" w:hAnsi="Arial"/>
          <w:sz w:val="18"/>
          <w:szCs w:val="18"/>
          <w:u w:val="single" w:color="auto"/>
          <w:color w:val="000000"/>
        </w:rPr>
        <w:t>Section 13.13(b)(3)</w:t>
      </w:r>
      <w:r>
        <w:rPr>
          <w:rFonts w:ascii="Arial" w:cs="Arial" w:eastAsia="Arial" w:hAnsi="Arial"/>
          <w:sz w:val="18"/>
          <w:szCs w:val="18"/>
          <w:color w:val="000000"/>
        </w:rPr>
        <w:t xml:space="preserve"> on a non-pro-rata basis;</w:t>
      </w:r>
    </w:p>
    <w:p>
      <w:pPr>
        <w:spacing w:after="0" w:line="187" w:lineRule="exact"/>
        <w:rPr>
          <w:rFonts w:ascii="Arial" w:cs="Arial" w:eastAsia="Arial" w:hAnsi="Arial"/>
          <w:sz w:val="18"/>
          <w:szCs w:val="18"/>
          <w:u w:val="single" w:color="auto"/>
          <w:color w:val="0000E1"/>
        </w:rPr>
      </w:pPr>
    </w:p>
    <w:p>
      <w:pPr>
        <w:ind w:left="1924" w:hanging="492"/>
        <w:spacing w:after="0"/>
        <w:tabs>
          <w:tab w:leader="none" w:pos="1924" w:val="left"/>
        </w:tabs>
        <w:numPr>
          <w:ilvl w:val="1"/>
          <w:numId w:val="269"/>
        </w:numPr>
        <w:rPr>
          <w:rFonts w:ascii="Arial" w:cs="Arial" w:eastAsia="Arial" w:hAnsi="Arial"/>
          <w:sz w:val="16"/>
          <w:szCs w:val="16"/>
          <w:u w:val="single" w:color="auto"/>
          <w:color w:val="0000E1"/>
        </w:rPr>
      </w:pPr>
      <w:r>
        <w:rPr>
          <w:rFonts w:ascii="Arial" w:cs="Arial" w:eastAsia="Arial" w:hAnsi="Arial"/>
          <w:sz w:val="16"/>
          <w:szCs w:val="16"/>
          <w:color w:val="FF0000"/>
          <w:strike w:val="1"/>
        </w:rPr>
        <w:t>(iii)</w:t>
      </w:r>
      <w:r>
        <w:rPr>
          <w:rFonts w:ascii="Arial" w:cs="Arial" w:eastAsia="Arial" w:hAnsi="Arial"/>
          <w:sz w:val="16"/>
          <w:szCs w:val="16"/>
          <w:color w:val="FF0000"/>
        </w:rPr>
        <w:t xml:space="preserve"> </w:t>
      </w:r>
      <w:r>
        <w:rPr>
          <w:rFonts w:ascii="Arial" w:cs="Arial" w:eastAsia="Arial" w:hAnsi="Arial"/>
          <w:sz w:val="16"/>
          <w:szCs w:val="16"/>
          <w:i w:val="1"/>
          <w:iCs w:val="1"/>
          <w:color w:val="000000"/>
        </w:rPr>
        <w:t>Required Consents</w:t>
      </w:r>
      <w:r>
        <w:rPr>
          <w:rFonts w:ascii="Arial" w:cs="Arial" w:eastAsia="Arial" w:hAnsi="Arial"/>
          <w:sz w:val="16"/>
          <w:szCs w:val="16"/>
          <w:color w:val="000000"/>
        </w:rPr>
        <w:t>. No consent shall be required for any assignment except to the extent required by</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Section 13.12(</w:t>
      </w:r>
      <w:r>
        <w:rPr>
          <w:rFonts w:ascii="Arial" w:cs="Arial" w:eastAsia="Arial" w:hAnsi="Arial"/>
          <w:sz w:val="16"/>
          <w:szCs w:val="16"/>
          <w:color w:val="FF0000"/>
          <w:strike w:val="1"/>
        </w:rPr>
        <w:t>a</w:t>
      </w:r>
      <w:r>
        <w:rPr>
          <w:rFonts w:ascii="Arial" w:cs="Arial" w:eastAsia="Arial" w:hAnsi="Arial"/>
          <w:sz w:val="16"/>
          <w:szCs w:val="16"/>
          <w:u w:val="single" w:color="auto"/>
          <w:color w:val="0000E1"/>
        </w:rPr>
        <w:t>b</w:t>
      </w:r>
      <w:r>
        <w:rPr>
          <w:rFonts w:ascii="Arial" w:cs="Arial" w:eastAsia="Arial" w:hAnsi="Arial"/>
          <w:sz w:val="16"/>
          <w:szCs w:val="16"/>
          <w:u w:val="single" w:color="auto"/>
          <w:color w:val="000000"/>
        </w:rPr>
        <w:t>)(i)</w:t>
      </w:r>
    </w:p>
    <w:p>
      <w:pPr>
        <w:spacing w:after="0" w:line="46" w:lineRule="exact"/>
        <w:rPr>
          <w:rFonts w:ascii="Arial" w:cs="Arial" w:eastAsia="Arial" w:hAnsi="Arial"/>
          <w:sz w:val="16"/>
          <w:szCs w:val="16"/>
          <w:u w:val="single" w:color="auto"/>
          <w:color w:val="0000E1"/>
        </w:rPr>
      </w:pPr>
    </w:p>
    <w:p>
      <w:pPr>
        <w:ind w:left="284" w:hanging="284"/>
        <w:spacing w:after="0"/>
        <w:tabs>
          <w:tab w:leader="none" w:pos="284" w:val="left"/>
        </w:tabs>
        <w:numPr>
          <w:ilvl w:val="0"/>
          <w:numId w:val="269"/>
        </w:numPr>
        <w:rPr>
          <w:rFonts w:ascii="Arial" w:cs="Arial" w:eastAsia="Arial" w:hAnsi="Arial"/>
          <w:sz w:val="18"/>
          <w:szCs w:val="18"/>
          <w:color w:val="FF0000"/>
          <w:strike w:val="1"/>
        </w:rPr>
      </w:pPr>
      <w:r>
        <w:rPr>
          <w:rFonts w:ascii="Arial" w:cs="Arial" w:eastAsia="Arial" w:hAnsi="Arial"/>
          <w:sz w:val="18"/>
          <w:szCs w:val="18"/>
          <w:color w:val="auto"/>
        </w:rPr>
        <w:t>and, in addition:</w:t>
      </w:r>
    </w:p>
    <w:p>
      <w:pPr>
        <w:spacing w:after="0" w:line="102" w:lineRule="exact"/>
        <w:rPr>
          <w:rFonts w:ascii="Arial" w:cs="Arial" w:eastAsia="Arial" w:hAnsi="Arial"/>
          <w:sz w:val="18"/>
          <w:szCs w:val="18"/>
          <w:color w:val="FF0000"/>
          <w:strike w:val="1"/>
        </w:rPr>
      </w:pPr>
    </w:p>
    <w:p>
      <w:pPr>
        <w:ind w:left="984" w:right="40" w:firstLine="910"/>
        <w:spacing w:after="0" w:line="290" w:lineRule="auto"/>
        <w:tabs>
          <w:tab w:leader="none" w:pos="2316" w:val="left"/>
        </w:tabs>
        <w:numPr>
          <w:ilvl w:val="2"/>
          <w:numId w:val="269"/>
        </w:numPr>
        <w:rPr>
          <w:rFonts w:ascii="Arial" w:cs="Arial" w:eastAsia="Arial" w:hAnsi="Arial"/>
          <w:sz w:val="16"/>
          <w:szCs w:val="16"/>
          <w:color w:val="auto"/>
        </w:rPr>
      </w:pPr>
      <w:r>
        <w:rPr>
          <w:rFonts w:ascii="Arial" w:cs="Arial" w:eastAsia="Arial" w:hAnsi="Arial"/>
          <w:sz w:val="16"/>
          <w:szCs w:val="16"/>
          <w:color w:val="auto"/>
        </w:rPr>
        <w:t xml:space="preserve">the consent of the Borrower (such consent not to be unreasonably withheld or delayed) shall be required unless (x) an Event of Default under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w:t>
      </w:r>
      <w:r>
        <w:rPr>
          <w:rFonts w:ascii="Arial" w:cs="Arial" w:eastAsia="Arial" w:hAnsi="Arial"/>
          <w:sz w:val="16"/>
          <w:szCs w:val="16"/>
          <w:u w:val="single" w:color="auto"/>
          <w:color w:val="auto"/>
        </w:rPr>
        <w:t>(j)</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(k)</w:t>
      </w:r>
      <w:r>
        <w:rPr>
          <w:rFonts w:ascii="Arial" w:cs="Arial" w:eastAsia="Arial" w:hAnsi="Arial"/>
          <w:sz w:val="16"/>
          <w:szCs w:val="16"/>
          <w:color w:val="auto"/>
        </w:rPr>
        <w:t xml:space="preserve"> has occurred and is continuing at the time of such assignment or (y) such assignment is to a Lender, an Affiliate of a Lender or an Approved 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be deemed to have so consented if it shall not have responded (whether affirmatively, negatively or to respond that the relevant officers of the Borrower are not then available to make a determination) to a request for such consent within </w:t>
      </w:r>
      <w:r>
        <w:rPr>
          <w:rFonts w:ascii="Arial" w:cs="Arial" w:eastAsia="Arial" w:hAnsi="Arial"/>
          <w:sz w:val="16"/>
          <w:szCs w:val="16"/>
          <w:color w:val="FF0000"/>
          <w:strike w:val="1"/>
        </w:rPr>
        <w:t>ten</w:t>
      </w:r>
      <w:r>
        <w:rPr>
          <w:rFonts w:ascii="Arial" w:cs="Arial" w:eastAsia="Arial" w:hAnsi="Arial"/>
          <w:sz w:val="16"/>
          <w:szCs w:val="16"/>
          <w:u w:val="single" w:color="auto"/>
          <w:color w:val="0000E1"/>
        </w:rPr>
        <w:t>five</w:t>
      </w:r>
      <w:r>
        <w:rPr>
          <w:rFonts w:ascii="Arial" w:cs="Arial" w:eastAsia="Arial" w:hAnsi="Arial"/>
          <w:sz w:val="16"/>
          <w:szCs w:val="16"/>
          <w:color w:val="auto"/>
        </w:rPr>
        <w:t xml:space="preserve"> (</w:t>
      </w:r>
      <w:r>
        <w:rPr>
          <w:rFonts w:ascii="Arial" w:cs="Arial" w:eastAsia="Arial" w:hAnsi="Arial"/>
          <w:sz w:val="16"/>
          <w:szCs w:val="16"/>
          <w:color w:val="FF0000"/>
          <w:strike w:val="1"/>
        </w:rPr>
        <w:t>10</w:t>
      </w:r>
      <w:r>
        <w:rPr>
          <w:rFonts w:ascii="Arial" w:cs="Arial" w:eastAsia="Arial" w:hAnsi="Arial"/>
          <w:sz w:val="16"/>
          <w:szCs w:val="16"/>
          <w:u w:val="single" w:color="auto"/>
          <w:color w:val="0000E1"/>
        </w:rPr>
        <w:t>5</w:t>
      </w:r>
      <w:r>
        <w:rPr>
          <w:rFonts w:ascii="Arial" w:cs="Arial" w:eastAsia="Arial" w:hAnsi="Arial"/>
          <w:sz w:val="16"/>
          <w:szCs w:val="16"/>
          <w:color w:val="auto"/>
        </w:rPr>
        <w:t xml:space="preserve"> ) Business Days after such request is made; provided that notwithstanding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no consent shall be deemed given with respect to any assignment to a Disqualified Institution and (ii) notwithstanding the preceding </w:t>
      </w:r>
      <w:r>
        <w:rPr>
          <w:rFonts w:ascii="Arial" w:cs="Arial" w:eastAsia="Arial" w:hAnsi="Arial"/>
          <w:sz w:val="16"/>
          <w:szCs w:val="16"/>
          <w:u w:val="single" w:color="auto"/>
          <w:color w:val="auto"/>
        </w:rPr>
        <w:t>clause (i)</w:t>
      </w:r>
      <w:r>
        <w:rPr>
          <w:rFonts w:ascii="Arial" w:cs="Arial" w:eastAsia="Arial" w:hAnsi="Arial"/>
          <w:sz w:val="16"/>
          <w:szCs w:val="16"/>
          <w:color w:val="auto"/>
        </w:rPr>
        <w:t>, the Borrower’s rejection of any assignment to an Disqualified Institution shall be deemed to be reasonable and the Borrower’s consent shall be required at all times for an assignment to a Disqualified Institution;</w:t>
      </w:r>
    </w:p>
    <w:p>
      <w:pPr>
        <w:spacing w:after="0" w:line="57" w:lineRule="exact"/>
        <w:rPr>
          <w:rFonts w:ascii="Arial" w:cs="Arial" w:eastAsia="Arial" w:hAnsi="Arial"/>
          <w:sz w:val="16"/>
          <w:szCs w:val="16"/>
          <w:color w:val="auto"/>
        </w:rPr>
      </w:pPr>
    </w:p>
    <w:p>
      <w:pPr>
        <w:jc w:val="both"/>
        <w:ind w:left="984" w:right="60" w:firstLine="910"/>
        <w:spacing w:after="0" w:line="259" w:lineRule="auto"/>
        <w:tabs>
          <w:tab w:leader="none" w:pos="2306" w:val="left"/>
        </w:tabs>
        <w:numPr>
          <w:ilvl w:val="2"/>
          <w:numId w:val="269"/>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(i) any unfunded Term Loan Commitment or any Class of the Revolving Credit Facility if such assignment is to a Person that is not a Lender with a Commitment in respect of the Term Credit Facility or Revolving Credit Facility, as applicable, or an Approved Fund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-5349875</wp:posOffset>
            </wp:positionV>
            <wp:extent cx="131127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311275" cy="825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-4801235</wp:posOffset>
            </wp:positionV>
            <wp:extent cx="137160"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-4526915</wp:posOffset>
            </wp:positionV>
            <wp:extent cx="48006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-4466590</wp:posOffset>
            </wp:positionV>
            <wp:extent cx="974090"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97409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-3429635</wp:posOffset>
            </wp:positionV>
            <wp:extent cx="925830"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-2743835</wp:posOffset>
            </wp:positionV>
            <wp:extent cx="171450"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-1920875</wp:posOffset>
            </wp:positionV>
            <wp:extent cx="162560"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6755130</wp:posOffset>
            </wp:positionH>
            <wp:positionV relativeFrom="paragraph">
              <wp:posOffset>-1920875</wp:posOffset>
            </wp:positionV>
            <wp:extent cx="59690"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-1029335</wp:posOffset>
            </wp:positionV>
            <wp:extent cx="179705"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-1029335</wp:posOffset>
            </wp:positionV>
            <wp:extent cx="60325"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04"/>
          </w:cols>
          <w:pgMar w:left="436" w:top="274" w:right="459" w:bottom="1440" w:gutter="0" w:footer="0" w:header="0"/>
        </w:sectPr>
      </w:pPr>
    </w:p>
    <w:bookmarkStart w:id="211" w:name="page212"/>
    <w:bookmarkEnd w:id="211"/>
    <w:p>
      <w:pPr>
        <w:ind w:left="98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respect to such Lender or (ii) the Term Loans to a Person who is not a Lender, an Affiliate of a Lender or an Approved Fund (it being understood and agreed that, notwithstanding the foregoing, prompt notification to the Administrative Agent shall be required in the case of any such assignment and the acceptance and recording by the Administrative Agent for any assignment shall be required for the effectiveness of such assignment);</w:t>
      </w:r>
    </w:p>
    <w:p>
      <w:pPr>
        <w:spacing w:after="0" w:line="79" w:lineRule="exact"/>
        <w:rPr>
          <w:sz w:val="20"/>
          <w:szCs w:val="20"/>
          <w:color w:val="auto"/>
        </w:rPr>
      </w:pPr>
    </w:p>
    <w:p>
      <w:pPr>
        <w:ind w:left="980" w:right="200" w:firstLine="910"/>
        <w:spacing w:after="0" w:line="308" w:lineRule="auto"/>
        <w:tabs>
          <w:tab w:leader="none" w:pos="2302" w:val="left"/>
        </w:tabs>
        <w:numPr>
          <w:ilvl w:val="1"/>
          <w:numId w:val="270"/>
        </w:numPr>
        <w:rPr>
          <w:rFonts w:ascii="Arial" w:cs="Arial" w:eastAsia="Arial" w:hAnsi="Arial"/>
          <w:sz w:val="17"/>
          <w:szCs w:val="17"/>
          <w:color w:val="auto"/>
        </w:rPr>
      </w:pPr>
      <w:r>
        <w:rPr>
          <w:rFonts w:ascii="Arial" w:cs="Arial" w:eastAsia="Arial" w:hAnsi="Arial"/>
          <w:sz w:val="17"/>
          <w:szCs w:val="17"/>
          <w:color w:val="auto"/>
        </w:rPr>
        <w:t>the consent of the L/C Issuer (such consent not to be unreasonably withheld or delayed) shall be required in respect of any Class of Revolving Credit Facility for which such L/C Issuer has outstanding any Reimbursement Obligations; and</w:t>
      </w:r>
    </w:p>
    <w:p>
      <w:pPr>
        <w:spacing w:after="0" w:line="38" w:lineRule="exact"/>
        <w:rPr>
          <w:rFonts w:ascii="Arial" w:cs="Arial" w:eastAsia="Arial" w:hAnsi="Arial"/>
          <w:sz w:val="17"/>
          <w:szCs w:val="17"/>
          <w:color w:val="auto"/>
        </w:rPr>
      </w:pPr>
    </w:p>
    <w:p>
      <w:pPr>
        <w:ind w:left="980" w:right="420" w:firstLine="910"/>
        <w:spacing w:after="0" w:line="311" w:lineRule="auto"/>
        <w:tabs>
          <w:tab w:leader="none" w:pos="2312" w:val="left"/>
        </w:tabs>
        <w:numPr>
          <w:ilvl w:val="1"/>
          <w:numId w:val="270"/>
        </w:numPr>
        <w:rPr>
          <w:rFonts w:ascii="Arial" w:cs="Arial" w:eastAsia="Arial" w:hAnsi="Arial"/>
          <w:sz w:val="16"/>
          <w:szCs w:val="16"/>
          <w:color w:val="auto"/>
        </w:rPr>
      </w:pPr>
      <w:r>
        <w:rPr>
          <w:rFonts w:ascii="Arial" w:cs="Arial" w:eastAsia="Arial" w:hAnsi="Arial"/>
          <w:sz w:val="16"/>
          <w:szCs w:val="16"/>
          <w:color w:val="auto"/>
        </w:rPr>
        <w:t>the consent of the relevant Swing Line Lender (such consent not to be unreasonably withheld or delayed) shall be required for any assignment that increases the obligation of the assignee to participate in exposure under one or more Swing Loans in respect of any Class of Revolving Credit Facility for which such Swing Line Lender has outstanding any Swing Loans.</w:t>
      </w:r>
    </w:p>
    <w:p>
      <w:pPr>
        <w:spacing w:after="0" w:line="148" w:lineRule="exact"/>
        <w:rPr>
          <w:rFonts w:ascii="Arial" w:cs="Arial" w:eastAsia="Arial" w:hAnsi="Arial"/>
          <w:sz w:val="16"/>
          <w:szCs w:val="16"/>
          <w:color w:val="auto"/>
        </w:rPr>
      </w:pPr>
    </w:p>
    <w:p>
      <w:pPr>
        <w:ind w:right="200" w:firstLine="1428"/>
        <w:spacing w:after="0" w:line="286" w:lineRule="auto"/>
        <w:tabs>
          <w:tab w:leader="none" w:pos="1867" w:val="left"/>
        </w:tabs>
        <w:numPr>
          <w:ilvl w:val="0"/>
          <w:numId w:val="271"/>
        </w:numPr>
        <w:rPr>
          <w:rFonts w:ascii="Arial" w:cs="Arial" w:eastAsia="Arial" w:hAnsi="Arial"/>
          <w:sz w:val="17"/>
          <w:szCs w:val="17"/>
          <w:u w:val="single" w:color="auto"/>
          <w:color w:val="0000E1"/>
        </w:rPr>
      </w:pPr>
      <w:r>
        <w:rPr>
          <w:rFonts w:ascii="Arial" w:cs="Arial" w:eastAsia="Arial" w:hAnsi="Arial"/>
          <w:sz w:val="17"/>
          <w:szCs w:val="17"/>
          <w:color w:val="FF0000"/>
          <w:strike w:val="1"/>
        </w:rPr>
        <w:t>(iv)</w:t>
      </w:r>
      <w:r>
        <w:rPr>
          <w:rFonts w:ascii="Arial" w:cs="Arial" w:eastAsia="Arial" w:hAnsi="Arial"/>
          <w:sz w:val="17"/>
          <w:szCs w:val="17"/>
          <w:color w:val="FF0000"/>
        </w:rPr>
        <w:t xml:space="preserve"> </w:t>
      </w:r>
      <w:r>
        <w:rPr>
          <w:rFonts w:ascii="Arial" w:cs="Arial" w:eastAsia="Arial" w:hAnsi="Arial"/>
          <w:sz w:val="17"/>
          <w:szCs w:val="17"/>
          <w:i w:val="1"/>
          <w:iCs w:val="1"/>
          <w:color w:val="000000"/>
        </w:rPr>
        <w:t>Assignment and Assumption</w:t>
      </w:r>
      <w:r>
        <w:rPr>
          <w:rFonts w:ascii="Arial" w:cs="Arial" w:eastAsia="Arial" w:hAnsi="Arial"/>
          <w:sz w:val="17"/>
          <w:szCs w:val="17"/>
          <w:color w:val="000000"/>
        </w:rPr>
        <w:t>. The parties to each assignment shall execute and deliver to the Administrative Agent an</w:t>
      </w:r>
      <w:r>
        <w:rPr>
          <w:rFonts w:ascii="Arial" w:cs="Arial" w:eastAsia="Arial" w:hAnsi="Arial"/>
          <w:sz w:val="17"/>
          <w:szCs w:val="17"/>
          <w:color w:val="FF0000"/>
        </w:rPr>
        <w:t xml:space="preserve"> </w:t>
      </w:r>
      <w:r>
        <w:rPr>
          <w:rFonts w:ascii="Arial" w:cs="Arial" w:eastAsia="Arial" w:hAnsi="Arial"/>
          <w:sz w:val="17"/>
          <w:szCs w:val="17"/>
          <w:color w:val="000000"/>
        </w:rPr>
        <w:t>Assignment and Assumption, together with (unless waived or reduced by the Administrative Agent in its sole discretion) a processing and recordation fee of $3,500, and the assignee, if it is not a Lender, shall deliver to the Administrative Agent an Administrative Questionnaire.</w:t>
      </w:r>
    </w:p>
    <w:p>
      <w:pPr>
        <w:spacing w:after="0" w:line="165" w:lineRule="exact"/>
        <w:rPr>
          <w:rFonts w:ascii="Arial" w:cs="Arial" w:eastAsia="Arial" w:hAnsi="Arial"/>
          <w:sz w:val="17"/>
          <w:szCs w:val="17"/>
          <w:u w:val="single" w:color="auto"/>
          <w:color w:val="0000E1"/>
        </w:rPr>
      </w:pPr>
    </w:p>
    <w:p>
      <w:pPr>
        <w:ind w:right="320" w:firstLine="1428"/>
        <w:spacing w:after="0" w:line="279" w:lineRule="auto"/>
        <w:tabs>
          <w:tab w:leader="none" w:pos="1872" w:val="left"/>
        </w:tabs>
        <w:numPr>
          <w:ilvl w:val="0"/>
          <w:numId w:val="271"/>
        </w:numPr>
        <w:rPr>
          <w:rFonts w:ascii="Arial" w:cs="Arial" w:eastAsia="Arial" w:hAnsi="Arial"/>
          <w:sz w:val="17"/>
          <w:szCs w:val="17"/>
          <w:u w:val="single" w:color="auto"/>
          <w:color w:val="0000E1"/>
        </w:rPr>
      </w:pPr>
      <w:r>
        <w:rPr>
          <w:rFonts w:ascii="Arial" w:cs="Arial" w:eastAsia="Arial" w:hAnsi="Arial"/>
          <w:sz w:val="17"/>
          <w:szCs w:val="17"/>
          <w:color w:val="FF0000"/>
          <w:strike w:val="1"/>
        </w:rPr>
        <w:t>(v)</w:t>
      </w:r>
      <w:r>
        <w:rPr>
          <w:rFonts w:ascii="Arial" w:cs="Arial" w:eastAsia="Arial" w:hAnsi="Arial"/>
          <w:sz w:val="17"/>
          <w:szCs w:val="17"/>
          <w:color w:val="FF0000"/>
        </w:rPr>
        <w:t xml:space="preserve"> </w:t>
      </w:r>
      <w:r>
        <w:rPr>
          <w:rFonts w:ascii="Arial" w:cs="Arial" w:eastAsia="Arial" w:hAnsi="Arial"/>
          <w:sz w:val="17"/>
          <w:szCs w:val="17"/>
          <w:i w:val="1"/>
          <w:iCs w:val="1"/>
          <w:color w:val="000000"/>
        </w:rPr>
        <w:t>No Assignment to Certain Persons</w:t>
      </w:r>
      <w:r>
        <w:rPr>
          <w:rFonts w:ascii="Arial" w:cs="Arial" w:eastAsia="Arial" w:hAnsi="Arial"/>
          <w:sz w:val="17"/>
          <w:szCs w:val="17"/>
          <w:color w:val="000000"/>
        </w:rPr>
        <w:t>. No such assignment shall be made (A) to the Borrower or any of the Borrower’s</w:t>
      </w:r>
      <w:r>
        <w:rPr>
          <w:rFonts w:ascii="Arial" w:cs="Arial" w:eastAsia="Arial" w:hAnsi="Arial"/>
          <w:sz w:val="17"/>
          <w:szCs w:val="17"/>
          <w:color w:val="FF0000"/>
        </w:rPr>
        <w:t xml:space="preserve"> </w:t>
      </w:r>
      <w:r>
        <w:rPr>
          <w:rFonts w:ascii="Arial" w:cs="Arial" w:eastAsia="Arial" w:hAnsi="Arial"/>
          <w:sz w:val="17"/>
          <w:szCs w:val="17"/>
          <w:color w:val="000000"/>
        </w:rPr>
        <w:t xml:space="preserve">Affiliates or Subsidiaries (except in accordance with </w:t>
      </w:r>
      <w:r>
        <w:rPr>
          <w:rFonts w:ascii="Arial" w:cs="Arial" w:eastAsia="Arial" w:hAnsi="Arial"/>
          <w:sz w:val="17"/>
          <w:szCs w:val="17"/>
          <w:u w:val="single" w:color="auto"/>
          <w:color w:val="000000"/>
        </w:rPr>
        <w:t>Section 1.21</w:t>
      </w:r>
      <w:r>
        <w:rPr>
          <w:rFonts w:ascii="Arial" w:cs="Arial" w:eastAsia="Arial" w:hAnsi="Arial"/>
          <w:sz w:val="17"/>
          <w:szCs w:val="17"/>
          <w:color w:val="000000"/>
        </w:rPr>
        <w:t xml:space="preserve">), (B) to any Defaulting Lender or any of its Subsidiaries, or any Person who, upon becoming a Lender hereunder, would constitute any of the foregoing Persons described in this </w:t>
      </w:r>
      <w:r>
        <w:rPr>
          <w:rFonts w:ascii="Arial" w:cs="Arial" w:eastAsia="Arial" w:hAnsi="Arial"/>
          <w:sz w:val="17"/>
          <w:szCs w:val="17"/>
          <w:u w:val="single" w:color="auto"/>
          <w:color w:val="000000"/>
        </w:rPr>
        <w:t>clause (B)</w:t>
      </w:r>
      <w:r>
        <w:rPr>
          <w:rFonts w:ascii="Arial" w:cs="Arial" w:eastAsia="Arial" w:hAnsi="Arial"/>
          <w:sz w:val="17"/>
          <w:szCs w:val="17"/>
          <w:color w:val="000000"/>
        </w:rPr>
        <w:t>, or (C) to a natural Person (or a holding company, investment vehicle or trust for, or owned and operated for the primary benefit of a natural Person).</w:t>
      </w:r>
    </w:p>
    <w:p>
      <w:pPr>
        <w:spacing w:after="0" w:line="171" w:lineRule="exact"/>
        <w:rPr>
          <w:rFonts w:ascii="Arial" w:cs="Arial" w:eastAsia="Arial" w:hAnsi="Arial"/>
          <w:sz w:val="17"/>
          <w:szCs w:val="17"/>
          <w:u w:val="single" w:color="auto"/>
          <w:color w:val="0000E1"/>
        </w:rPr>
      </w:pPr>
    </w:p>
    <w:p>
      <w:pPr>
        <w:ind w:firstLine="1428"/>
        <w:spacing w:after="0" w:line="284" w:lineRule="auto"/>
        <w:tabs>
          <w:tab w:leader="none" w:pos="1967" w:val="left"/>
        </w:tabs>
        <w:numPr>
          <w:ilvl w:val="0"/>
          <w:numId w:val="271"/>
        </w:numPr>
        <w:rPr>
          <w:rFonts w:ascii="Arial" w:cs="Arial" w:eastAsia="Arial" w:hAnsi="Arial"/>
          <w:sz w:val="16"/>
          <w:szCs w:val="16"/>
          <w:u w:val="single" w:color="auto"/>
          <w:color w:val="0000E1"/>
        </w:rPr>
      </w:pPr>
      <w:r>
        <w:rPr>
          <w:rFonts w:ascii="Arial" w:cs="Arial" w:eastAsia="Arial" w:hAnsi="Arial"/>
          <w:sz w:val="16"/>
          <w:szCs w:val="16"/>
          <w:color w:val="FF0000"/>
          <w:strike w:val="1"/>
        </w:rPr>
        <w:t>(vi)</w:t>
      </w:r>
      <w:r>
        <w:rPr>
          <w:rFonts w:ascii="Arial" w:cs="Arial" w:eastAsia="Arial" w:hAnsi="Arial"/>
          <w:sz w:val="16"/>
          <w:szCs w:val="16"/>
          <w:color w:val="FF0000"/>
        </w:rPr>
        <w:t xml:space="preserve"> </w:t>
      </w:r>
      <w:r>
        <w:rPr>
          <w:rFonts w:ascii="Arial" w:cs="Arial" w:eastAsia="Arial" w:hAnsi="Arial"/>
          <w:sz w:val="16"/>
          <w:szCs w:val="16"/>
          <w:i w:val="1"/>
          <w:iCs w:val="1"/>
          <w:color w:val="000000"/>
        </w:rPr>
        <w:t>Certain Additional Payments</w:t>
      </w:r>
      <w:r>
        <w:rPr>
          <w:rFonts w:ascii="Arial" w:cs="Arial" w:eastAsia="Arial" w:hAnsi="Arial"/>
          <w:sz w:val="16"/>
          <w:szCs w:val="16"/>
          <w:color w:val="000000"/>
        </w:rPr>
        <w:t>. In connection with any assignment of rights and obligations of any Defaulting Lender</w:t>
      </w:r>
      <w:r>
        <w:rPr>
          <w:rFonts w:ascii="Arial" w:cs="Arial" w:eastAsia="Arial" w:hAnsi="Arial"/>
          <w:sz w:val="16"/>
          <w:szCs w:val="16"/>
          <w:color w:val="FF0000"/>
        </w:rPr>
        <w:t xml:space="preserve"> </w:t>
      </w:r>
      <w:r>
        <w:rPr>
          <w:rFonts w:ascii="Arial" w:cs="Arial" w:eastAsia="Arial" w:hAnsi="Arial"/>
          <w:sz w:val="16"/>
          <w:szCs w:val="16"/>
          <w:color w:val="000000"/>
        </w:rPr>
        <w:t>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Loans in accordance with its Revolver</w:t>
      </w:r>
    </w:p>
    <w:p>
      <w:pPr>
        <w:ind w:right="100"/>
        <w:spacing w:after="0" w:line="255" w:lineRule="auto"/>
        <w:rPr>
          <w:rFonts w:ascii="Arial" w:cs="Arial" w:eastAsia="Arial" w:hAnsi="Arial"/>
          <w:sz w:val="16"/>
          <w:szCs w:val="16"/>
          <w:u w:val="single" w:color="auto"/>
          <w:color w:val="0000E1"/>
        </w:rPr>
      </w:pPr>
      <w:r>
        <w:rPr>
          <w:rFonts w:ascii="Arial" w:cs="Arial" w:eastAsia="Arial" w:hAnsi="Arial"/>
          <w:sz w:val="18"/>
          <w:szCs w:val="18"/>
          <w:color w:val="auto"/>
        </w:rPr>
        <w:t xml:space="preserve">Percentage. Notwithstanding the foregoing, in the event that any assignment of rights and obligations of any Defaulting Lender hereunder shall become effective under applicable </w:t>
      </w:r>
      <w:r>
        <w:rPr>
          <w:rFonts w:ascii="Arial" w:cs="Arial" w:eastAsia="Arial" w:hAnsi="Arial"/>
          <w:sz w:val="18"/>
          <w:szCs w:val="18"/>
          <w:color w:val="FF0000"/>
          <w:strike w:val="1"/>
        </w:rPr>
        <w:t>L</w:t>
      </w:r>
      <w:r>
        <w:rPr>
          <w:rFonts w:ascii="Arial" w:cs="Arial" w:eastAsia="Arial" w:hAnsi="Arial"/>
          <w:sz w:val="18"/>
          <w:szCs w:val="18"/>
          <w:u w:val="single" w:color="auto"/>
          <w:color w:val="0000E1"/>
        </w:rPr>
        <w:t>l</w:t>
      </w:r>
      <w:r>
        <w:rPr>
          <w:rFonts w:ascii="Arial" w:cs="Arial" w:eastAsia="Arial" w:hAnsi="Arial"/>
          <w:sz w:val="18"/>
          <w:szCs w:val="18"/>
          <w:color w:val="auto"/>
        </w:rPr>
        <w:t>aw without compliance with the provisions of this paragraph, then the assignee of such interest shall be deemed to be a Defaulting Lender for all purposes of this Agreement until such compliance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-2604135</wp:posOffset>
            </wp:positionV>
            <wp:extent cx="13716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-2055495</wp:posOffset>
            </wp:positionV>
            <wp:extent cx="162560"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-1369695</wp:posOffset>
            </wp:positionV>
            <wp:extent cx="196850"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wp:posOffset>
            </wp:positionH>
            <wp:positionV relativeFrom="paragraph">
              <wp:posOffset>-349885</wp:posOffset>
            </wp:positionV>
            <wp:extent cx="2857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-135255</wp:posOffset>
            </wp:positionV>
            <wp:extent cx="26035"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70"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w:t>
      </w:r>
      <w:r>
        <w:rPr>
          <w:rFonts w:ascii="Arial" w:cs="Arial" w:eastAsia="Arial" w:hAnsi="Arial"/>
          <w:sz w:val="18"/>
          <w:szCs w:val="18"/>
          <w:u w:val="single" w:color="auto"/>
          <w:color w:val="auto"/>
        </w:rPr>
        <w:t>Section 13.12(b)</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00"/>
          </w:cols>
          <w:pgMar w:left="440" w:top="274" w:right="459" w:bottom="1440" w:gutter="0" w:footer="0" w:header="0"/>
        </w:sectPr>
      </w:pPr>
    </w:p>
    <w:bookmarkStart w:id="212" w:name="page213"/>
    <w:bookmarkEnd w:id="212"/>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10.3</w:t>
      </w:r>
      <w:r>
        <w:rPr>
          <w:rFonts w:ascii="Arial" w:cs="Arial" w:eastAsia="Arial" w:hAnsi="Arial"/>
          <w:sz w:val="16"/>
          <w:szCs w:val="16"/>
          <w:color w:val="auto"/>
        </w:rPr>
        <w:t xml:space="preserve">, </w:t>
      </w:r>
      <w:r>
        <w:rPr>
          <w:rFonts w:ascii="Arial" w:cs="Arial" w:eastAsia="Arial" w:hAnsi="Arial"/>
          <w:sz w:val="16"/>
          <w:szCs w:val="16"/>
          <w:u w:val="single" w:color="auto"/>
          <w:color w:val="auto"/>
        </w:rPr>
        <w:t>13.6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13.15</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with respect to facts and circumstances occurring prior to the effective date of such assignment;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Section 13.11</w:t>
      </w:r>
      <w:r>
        <w:rPr>
          <w:rFonts w:ascii="Arial" w:cs="Arial" w:eastAsia="Arial" w:hAnsi="Arial"/>
          <w:sz w:val="16"/>
          <w:szCs w:val="16"/>
          <w:color w:val="auto"/>
        </w:rPr>
        <w:t xml:space="preserve">. Each assignee shall be entitled to the benefits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as a Lender, but, with respect to </w:t>
      </w:r>
      <w:r>
        <w:rPr>
          <w:rFonts w:ascii="Arial" w:cs="Arial" w:eastAsia="Arial" w:hAnsi="Arial"/>
          <w:sz w:val="16"/>
          <w:szCs w:val="16"/>
          <w:u w:val="single" w:color="auto"/>
          <w:color w:val="auto"/>
        </w:rPr>
        <w:t>Section 13.1(a)</w:t>
      </w:r>
      <w:r>
        <w:rPr>
          <w:rFonts w:ascii="Arial" w:cs="Arial" w:eastAsia="Arial" w:hAnsi="Arial"/>
          <w:sz w:val="16"/>
          <w:szCs w:val="16"/>
          <w:color w:val="auto"/>
        </w:rPr>
        <w:t xml:space="preserve">, only to the extent such assignee delivers the tax forms as is required pursuant to </w:t>
      </w:r>
      <w:r>
        <w:rPr>
          <w:rFonts w:ascii="Arial" w:cs="Arial" w:eastAsia="Arial" w:hAnsi="Arial"/>
          <w:sz w:val="16"/>
          <w:szCs w:val="16"/>
          <w:u w:val="single" w:color="auto"/>
          <w:color w:val="auto"/>
        </w:rPr>
        <w:t>Section 13.1(b)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0000E1"/>
        </w:rPr>
        <w:t>that</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avoidance of doubt, the Borrower shall not, at any time, be obligated to pay additional amounts pursuant to</w:t>
      </w:r>
    </w:p>
    <w:p>
      <w:pPr>
        <w:spacing w:after="0" w:line="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u w:val="single" w:color="auto"/>
          <w:color w:val="auto"/>
        </w:rPr>
        <w:t>Section 13.1(a)</w:t>
      </w:r>
      <w:r>
        <w:rPr>
          <w:rFonts w:ascii="Arial" w:cs="Arial" w:eastAsia="Arial" w:hAnsi="Arial"/>
          <w:sz w:val="18"/>
          <w:szCs w:val="18"/>
          <w:color w:val="auto"/>
        </w:rPr>
        <w:t xml:space="preserve"> with respect to any withholding tax that is imposed on amounts payable to such assignee at the time it becomes a party to this Agreement or designates a new lending office, except to the extent that such assignee was entitled, at the time of designation of a new lending office, to receive additional amounts from the Borrower with respect to such withholding tax pursuant to </w:t>
      </w:r>
      <w:r>
        <w:rPr>
          <w:rFonts w:ascii="Arial" w:cs="Arial" w:eastAsia="Arial" w:hAnsi="Arial"/>
          <w:sz w:val="18"/>
          <w:szCs w:val="18"/>
          <w:u w:val="single" w:color="auto"/>
          <w:color w:val="auto"/>
        </w:rPr>
        <w:t>Section 13.1(a)</w:t>
      </w:r>
      <w:r>
        <w:rPr>
          <w:rFonts w:ascii="Arial" w:cs="Arial" w:eastAsia="Arial" w:hAnsi="Arial"/>
          <w:sz w:val="18"/>
          <w:szCs w:val="18"/>
          <w:color w:val="auto"/>
        </w:rPr>
        <w:t xml:space="preserve"> or is the assignee of a Person who was entitled to receive such additional amounts from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-544830</wp:posOffset>
            </wp:positionV>
            <wp:extent cx="171450"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73"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The Borrower agrees that the list of Disqualified Institutions may be posted by the Administrative Agent to all Lenders, and the Administrative Agent hereby agrees to post such list to all Lenders.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178" w:lineRule="exact"/>
        <w:rPr>
          <w:sz w:val="20"/>
          <w:szCs w:val="20"/>
          <w:color w:val="auto"/>
        </w:rPr>
      </w:pPr>
    </w:p>
    <w:p>
      <w:pPr>
        <w:ind w:firstLine="987"/>
        <w:spacing w:after="0" w:line="291" w:lineRule="auto"/>
        <w:tabs>
          <w:tab w:leader="none" w:pos="1381" w:val="left"/>
        </w:tabs>
        <w:numPr>
          <w:ilvl w:val="0"/>
          <w:numId w:val="272"/>
        </w:numPr>
        <w:rPr>
          <w:rFonts w:ascii="Arial" w:cs="Arial" w:eastAsia="Arial" w:hAnsi="Arial"/>
          <w:sz w:val="16"/>
          <w:szCs w:val="16"/>
          <w:color w:val="auto"/>
        </w:rPr>
      </w:pPr>
      <w:r>
        <w:rPr>
          <w:rFonts w:ascii="Arial" w:cs="Arial" w:eastAsia="Arial" w:hAnsi="Arial"/>
          <w:sz w:val="16"/>
          <w:szCs w:val="16"/>
          <w:i w:val="1"/>
          <w:iCs w:val="1"/>
          <w:color w:val="auto"/>
        </w:rPr>
        <w:t>Register</w:t>
      </w:r>
      <w:r>
        <w:rPr>
          <w:rFonts w:ascii="Arial" w:cs="Arial" w:eastAsia="Arial" w:hAnsi="Arial"/>
          <w:sz w:val="16"/>
          <w:szCs w:val="16"/>
          <w:color w:val="auto"/>
        </w:rPr>
        <w:t>. The Administrative Agent, acting solely for this purpose as an agent of the Borrower, shall maintain at one of its offices in</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New York, a copy of each Assignment and Assumption delivered to it (or the equivalent thereof in electronic form) and a register for the recordation of the names and addresses of the Lenders, and the Commitments of, and principal amounts of the Loans owing to, each Lender pursuant to the terms hereof from time to time (the “</w:t>
      </w:r>
      <w:r>
        <w:rPr>
          <w:rFonts w:ascii="Arial" w:cs="Arial" w:eastAsia="Arial" w:hAnsi="Arial"/>
          <w:sz w:val="16"/>
          <w:szCs w:val="16"/>
          <w:i w:val="1"/>
          <w:iCs w:val="1"/>
          <w:color w:val="auto"/>
        </w:rPr>
        <w:t>Register</w:t>
      </w:r>
      <w:r>
        <w:rPr>
          <w:rFonts w:ascii="Arial" w:cs="Arial" w:eastAsia="Arial" w:hAnsi="Arial"/>
          <w:sz w:val="16"/>
          <w:szCs w:val="16"/>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(with respect to any entry relating to such Lender’s Loans only), at any reasonable time and from time to time upon reasonable prior notice.</w:t>
      </w:r>
    </w:p>
    <w:p>
      <w:pPr>
        <w:spacing w:after="0" w:line="166" w:lineRule="exact"/>
        <w:rPr>
          <w:rFonts w:ascii="Arial" w:cs="Arial" w:eastAsia="Arial" w:hAnsi="Arial"/>
          <w:sz w:val="16"/>
          <w:szCs w:val="16"/>
          <w:color w:val="auto"/>
        </w:rPr>
      </w:pPr>
    </w:p>
    <w:p>
      <w:pPr>
        <w:ind w:right="40" w:firstLine="987"/>
        <w:spacing w:after="0" w:line="291" w:lineRule="auto"/>
        <w:tabs>
          <w:tab w:leader="none" w:pos="1371" w:val="left"/>
        </w:tabs>
        <w:numPr>
          <w:ilvl w:val="0"/>
          <w:numId w:val="272"/>
        </w:numPr>
        <w:rPr>
          <w:rFonts w:ascii="Arial" w:cs="Arial" w:eastAsia="Arial" w:hAnsi="Arial"/>
          <w:sz w:val="16"/>
          <w:szCs w:val="16"/>
          <w:color w:val="auto"/>
        </w:rPr>
      </w:pPr>
      <w:r>
        <w:rPr>
          <w:rFonts w:ascii="Arial" w:cs="Arial" w:eastAsia="Arial" w:hAnsi="Arial"/>
          <w:sz w:val="16"/>
          <w:szCs w:val="16"/>
          <w:i w:val="1"/>
          <w:iCs w:val="1"/>
          <w:color w:val="auto"/>
        </w:rPr>
        <w:t xml:space="preserve">Pledge or Grant of Security Interests. </w:t>
      </w:r>
      <w:r>
        <w:rPr>
          <w:rFonts w:ascii="Arial" w:cs="Arial" w:eastAsia="Arial" w:hAnsi="Arial"/>
          <w:sz w:val="16"/>
          <w:szCs w:val="16"/>
          <w:color w:val="auto"/>
        </w:rPr>
        <w:t>Any Lender may at any time pledge or grant a security interest in all or any portion of its rights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this Agreement to secure obligations of such Lender, including any such pledge or grant to a Federal Reserve Bank (or any central bank having jurisdiction over such Lender), but excluding any such pledge or grant to any Disqualified Institution, and this </w:t>
      </w:r>
      <w:r>
        <w:rPr>
          <w:rFonts w:ascii="Arial" w:cs="Arial" w:eastAsia="Arial" w:hAnsi="Arial"/>
          <w:sz w:val="16"/>
          <w:szCs w:val="16"/>
          <w:u w:val="single" w:color="auto"/>
          <w:color w:val="auto"/>
        </w:rPr>
        <w:t>Section 13.12</w:t>
      </w:r>
      <w:r>
        <w:rPr>
          <w:rFonts w:ascii="Arial" w:cs="Arial" w:eastAsia="Arial" w:hAnsi="Arial"/>
          <w:sz w:val="16"/>
          <w:szCs w:val="16"/>
          <w:color w:val="auto"/>
        </w:rPr>
        <w:t xml:space="preserve"> shall not apply to any such pledge or grant of a security interest;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pledge or grant of a security interest shall release a Lender from any of its obligations hereunder or substitute any such pledgee or secured party for such Lender as a party hereto;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the right of any such pledgee or grantee (other than any Federal Reserve Bank (or any central bank having jurisdiction over such Lender)) to further transfer all or any portion of the rights pledged or granted to it, whether by means of foreclosure or otherwise, shall be at all times subject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-2010410</wp:posOffset>
            </wp:positionV>
            <wp:extent cx="28575"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00"/>
          </w:cols>
          <w:pgMar w:left="440" w:top="274" w:right="459" w:bottom="1440" w:gutter="0" w:footer="0" w:header="0"/>
        </w:sectPr>
      </w:pPr>
    </w:p>
    <w:bookmarkStart w:id="213" w:name="page214"/>
    <w:bookmarkEnd w:id="213"/>
    <w:p>
      <w:pPr>
        <w:ind w:left="4" w:right="20" w:firstLine="987"/>
        <w:spacing w:after="0" w:line="286" w:lineRule="auto"/>
        <w:tabs>
          <w:tab w:leader="none" w:pos="1385" w:val="left"/>
        </w:tabs>
        <w:numPr>
          <w:ilvl w:val="0"/>
          <w:numId w:val="27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Swing Line Lender</w:t>
      </w:r>
      <w:r>
        <w:rPr>
          <w:rFonts w:ascii="Arial" w:cs="Arial" w:eastAsia="Arial" w:hAnsi="Arial"/>
          <w:sz w:val="16"/>
          <w:szCs w:val="16"/>
          <w:color w:val="auto"/>
        </w:rPr>
        <w:t>. Notwithstanding anything to the contrary herein, if at any time the Swing Line Lender assigns all of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Revolving Credit Commitments and Revolving Loans pursuant to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above and resigns as Administrative Agent pursuant to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the Swing Line Lender may terminate the Swing Line </w:t>
      </w:r>
      <w:r>
        <w:rPr>
          <w:rFonts w:ascii="Arial" w:cs="Arial" w:eastAsia="Arial" w:hAnsi="Arial"/>
          <w:sz w:val="16"/>
          <w:szCs w:val="16"/>
          <w:u w:val="single" w:color="auto"/>
          <w:color w:val="0000E1"/>
        </w:rPr>
        <w:t>Facility</w:t>
      </w:r>
      <w:r>
        <w:rPr>
          <w:rFonts w:ascii="Arial" w:cs="Arial" w:eastAsia="Arial" w:hAnsi="Arial"/>
          <w:sz w:val="16"/>
          <w:szCs w:val="16"/>
          <w:color w:val="auto"/>
        </w:rPr>
        <w:t xml:space="preserve">. In the event of any such resignation as L/C Issuer or Swing Line Lender, the Borrower shall be entitled to appoint from among the Lenders a successor L/C Issuer or Swing Line Lender hereunder; provided, however, that no failure by the Borrower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1.15</w:t>
      </w:r>
      <w:r>
        <w:rPr>
          <w:rFonts w:ascii="Arial" w:cs="Arial" w:eastAsia="Arial" w:hAnsi="Arial"/>
          <w:sz w:val="16"/>
          <w:szCs w:val="16"/>
          <w:u w:val="single" w:color="auto"/>
          <w:color w:val="0000E1"/>
        </w:rPr>
        <w:t>)</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Loans made by it and outstanding as of the effective date of such resignation, including the right to require the Lenders to make Base Rate Loans or fund risk participations in outstanding Swing Loans pursuant to </w:t>
      </w:r>
      <w:r>
        <w:rPr>
          <w:rFonts w:ascii="Arial" w:cs="Arial" w:eastAsia="Arial" w:hAnsi="Arial"/>
          <w:sz w:val="16"/>
          <w:szCs w:val="16"/>
          <w:u w:val="single" w:color="auto"/>
          <w:color w:val="auto"/>
        </w:rPr>
        <w:t>Section 1.15</w:t>
      </w:r>
      <w:r>
        <w:rPr>
          <w:rFonts w:ascii="Arial" w:cs="Arial" w:eastAsia="Arial" w:hAnsi="Arial"/>
          <w:sz w:val="16"/>
          <w:szCs w:val="16"/>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70" w:lineRule="exact"/>
        <w:rPr>
          <w:rFonts w:ascii="Arial" w:cs="Arial" w:eastAsia="Arial" w:hAnsi="Arial"/>
          <w:sz w:val="16"/>
          <w:szCs w:val="16"/>
          <w:color w:val="auto"/>
        </w:rPr>
      </w:pPr>
    </w:p>
    <w:p>
      <w:pPr>
        <w:ind w:left="1364" w:hanging="373"/>
        <w:spacing w:after="0"/>
        <w:tabs>
          <w:tab w:leader="none" w:pos="1364" w:val="left"/>
        </w:tabs>
        <w:numPr>
          <w:ilvl w:val="0"/>
          <w:numId w:val="273"/>
        </w:numPr>
        <w:rPr>
          <w:rFonts w:ascii="Arial" w:cs="Arial" w:eastAsia="Arial" w:hAnsi="Arial"/>
          <w:sz w:val="17"/>
          <w:szCs w:val="17"/>
          <w:color w:val="auto"/>
        </w:rPr>
      </w:pPr>
      <w:r>
        <w:rPr>
          <w:rFonts w:ascii="Arial" w:cs="Arial" w:eastAsia="Arial" w:hAnsi="Arial"/>
          <w:sz w:val="17"/>
          <w:szCs w:val="17"/>
          <w:i w:val="1"/>
          <w:iCs w:val="1"/>
          <w:color w:val="auto"/>
        </w:rPr>
        <w:t>Assignments Made in Violation</w:t>
      </w:r>
      <w:r>
        <w:rPr>
          <w:rFonts w:ascii="Arial" w:cs="Arial" w:eastAsia="Arial" w:hAnsi="Arial"/>
          <w:sz w:val="17"/>
          <w:szCs w:val="17"/>
          <w:color w:val="auto"/>
        </w:rPr>
        <w:t>. Any assignment made to any Person in violation of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13.12</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2459990</wp:posOffset>
            </wp:positionH>
            <wp:positionV relativeFrom="paragraph">
              <wp:posOffset>-1751965</wp:posOffset>
            </wp:positionV>
            <wp:extent cx="377190"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-1828800</wp:posOffset>
            </wp:positionV>
            <wp:extent cx="28575"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5100320</wp:posOffset>
            </wp:positionH>
            <wp:positionV relativeFrom="paragraph">
              <wp:posOffset>-1066165</wp:posOffset>
            </wp:positionV>
            <wp:extent cx="34290"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17"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(a) Any provision of this Agreement or the other Loan Documents may be amended or waived if, but only if, such amendment or waiver is in writing and is signed by (1) the Borrower, (2) the Required Lenders, and (3) if the rights or duties of the Administrative Agent, any L/C Issuer or any Swing Line Lender are affected thereby, the Administrative Agent, such L/C Issuer or the Swing Line Lender,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sz w:val="20"/>
          <w:szCs w:val="20"/>
          <w:color w:val="auto"/>
        </w:rPr>
      </w:pPr>
    </w:p>
    <w:p>
      <w:pPr>
        <w:ind w:left="4" w:firstLine="1428"/>
        <w:spacing w:after="0" w:line="285" w:lineRule="auto"/>
        <w:tabs>
          <w:tab w:leader="none" w:pos="1786" w:val="left"/>
        </w:tabs>
        <w:numPr>
          <w:ilvl w:val="1"/>
          <w:numId w:val="274"/>
        </w:numPr>
        <w:rPr>
          <w:rFonts w:ascii="Arial" w:cs="Arial" w:eastAsia="Arial" w:hAnsi="Arial"/>
          <w:sz w:val="16"/>
          <w:szCs w:val="16"/>
          <w:color w:val="auto"/>
        </w:rPr>
      </w:pPr>
      <w:r>
        <w:rPr>
          <w:rFonts w:ascii="Arial" w:cs="Arial" w:eastAsia="Arial" w:hAnsi="Arial"/>
          <w:sz w:val="16"/>
          <w:szCs w:val="16"/>
          <w:color w:val="auto"/>
        </w:rPr>
        <w:t xml:space="preserve">any amendment or waiver to any provision of this Agreement and the other Loan Documents which (A) increases the amount of any Commitment of any Lender, extends the termination date of any Commitment of any Lender (it being understood that waivers or modifications of conditions precedent, representations and warranties, covenants, Defaults, Events of Default or mandatory prepayments shall not constitute an increase of the Commitment of a Lender) or reinstates any Commitment terminated pursuant to </w:t>
      </w:r>
      <w:r>
        <w:rPr>
          <w:rFonts w:ascii="Arial" w:cs="Arial" w:eastAsia="Arial" w:hAnsi="Arial"/>
          <w:sz w:val="16"/>
          <w:szCs w:val="16"/>
          <w:u w:val="single" w:color="auto"/>
          <w:color w:val="auto"/>
        </w:rPr>
        <w:t>Section 9.2</w:t>
      </w:r>
      <w:r>
        <w:rPr>
          <w:rFonts w:ascii="Arial" w:cs="Arial" w:eastAsia="Arial" w:hAnsi="Arial"/>
          <w:sz w:val="16"/>
          <w:szCs w:val="16"/>
          <w:color w:val="auto"/>
        </w:rPr>
        <w:t>, (B) postpones or extends the final maturity of any Loan or of any Reimbursement Obligation or postpones or extends the due date of any interest, mandatory prepayment or of any fee payable hereunder,</w:t>
      </w:r>
    </w:p>
    <w:p>
      <w:pPr>
        <w:spacing w:after="0" w:line="1" w:lineRule="exact"/>
        <w:rPr>
          <w:rFonts w:ascii="Arial" w:cs="Arial" w:eastAsia="Arial" w:hAnsi="Arial"/>
          <w:sz w:val="16"/>
          <w:szCs w:val="16"/>
          <w:color w:val="auto"/>
        </w:rPr>
      </w:pPr>
    </w:p>
    <w:p>
      <w:pPr>
        <w:ind w:left="4" w:right="120" w:hanging="4"/>
        <w:spacing w:after="0" w:line="290" w:lineRule="auto"/>
        <w:tabs>
          <w:tab w:leader="none" w:pos="289"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reduces the amount of or postpones the date of any scheduled payment of any principal (pursuant to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of or reduces the rate of interest on any Loan or of any Reimbursement Obligation or of any fee payable hereunder (it being understood that any amendment or modification to the financial covenant and financial definitions or waiver of any Default or Event of Default in or under this Agreement shall not constitute a reduction in the rate of interest or fees for the purposes of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and that the waiver of interest at the Default Rate pursuant to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or amendment to the definition of “Default Rate” shall only require the consent of the Required Lenders), or (D) waives any condition set forth in </w:t>
      </w:r>
      <w:r>
        <w:rPr>
          <w:rFonts w:ascii="Arial" w:cs="Arial" w:eastAsia="Arial" w:hAnsi="Arial"/>
          <w:sz w:val="16"/>
          <w:szCs w:val="16"/>
          <w:u w:val="single" w:color="auto"/>
          <w:color w:val="auto"/>
        </w:rPr>
        <w:t>Section 7.2</w:t>
      </w:r>
      <w:r>
        <w:rPr>
          <w:rFonts w:ascii="Arial" w:cs="Arial" w:eastAsia="Arial" w:hAnsi="Arial"/>
          <w:sz w:val="16"/>
          <w:szCs w:val="16"/>
          <w:color w:val="auto"/>
        </w:rPr>
        <w:t>, shall require the consent of each Lender directly and adversely affected thereby (but not the Required Lenders);</w:t>
      </w:r>
    </w:p>
    <w:p>
      <w:pPr>
        <w:spacing w:after="0" w:line="163" w:lineRule="exact"/>
        <w:rPr>
          <w:rFonts w:ascii="Arial" w:cs="Arial" w:eastAsia="Arial" w:hAnsi="Arial"/>
          <w:sz w:val="16"/>
          <w:szCs w:val="16"/>
          <w:color w:val="auto"/>
        </w:rPr>
      </w:pPr>
    </w:p>
    <w:p>
      <w:pPr>
        <w:ind w:left="4" w:right="140" w:firstLine="1428"/>
        <w:spacing w:after="0" w:line="263" w:lineRule="auto"/>
        <w:tabs>
          <w:tab w:leader="none" w:pos="1836"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any amendment or waiver to any provision of this Agreement or the other Loan Documents which (A) (x) reduces any voting percentage set forth in the definition of Required Lenders, Required Revolving Lenders</w:t>
      </w:r>
      <w:r>
        <w:rPr>
          <w:rFonts w:ascii="Arial" w:cs="Arial" w:eastAsia="Arial" w:hAnsi="Arial"/>
          <w:sz w:val="18"/>
          <w:szCs w:val="18"/>
          <w:u w:val="single" w:color="auto"/>
          <w:color w:val="0000E1"/>
        </w:rPr>
        <w:t>, Required Term Lenders</w:t>
      </w:r>
      <w:r>
        <w:rPr>
          <w:rFonts w:ascii="Arial" w:cs="Arial" w:eastAsia="Arial" w:hAnsi="Arial"/>
          <w:sz w:val="18"/>
          <w:szCs w:val="18"/>
          <w:color w:val="auto"/>
        </w:rPr>
        <w:t xml:space="preserve"> or Required Initial Class Lenders or changes the provisions of this </w:t>
      </w:r>
      <w:r>
        <w:rPr>
          <w:rFonts w:ascii="Arial" w:cs="Arial" w:eastAsia="Arial" w:hAnsi="Arial"/>
          <w:sz w:val="18"/>
          <w:szCs w:val="18"/>
          <w:u w:val="single" w:color="auto"/>
          <w:color w:val="auto"/>
        </w:rPr>
        <w:t>Section 13.13</w:t>
      </w:r>
      <w:r>
        <w:rPr>
          <w:rFonts w:ascii="Arial" w:cs="Arial" w:eastAsia="Arial" w:hAnsi="Arial"/>
          <w:sz w:val="18"/>
          <w:szCs w:val="18"/>
          <w:color w:val="auto"/>
        </w:rPr>
        <w:t xml:space="preserve"> or (y) releases all or substantially all of the value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4003040</wp:posOffset>
            </wp:positionH>
            <wp:positionV relativeFrom="paragraph">
              <wp:posOffset>-139700</wp:posOffset>
            </wp:positionV>
            <wp:extent cx="1139825"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04"/>
          </w:cols>
          <w:pgMar w:left="436" w:top="274" w:right="459" w:bottom="1440" w:gutter="0" w:footer="0" w:header="0"/>
        </w:sectPr>
      </w:pPr>
    </w:p>
    <w:bookmarkStart w:id="214" w:name="page215"/>
    <w:bookmarkEnd w:id="21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Guarantees or all or substantially all of the Collateral (except as otherwise provided for in the Loan Documents), shall require the consent of each Lender (or, in the case of the definition of Required Revolving Lenders, each Revolv</w:t>
      </w:r>
      <w:r>
        <w:rPr>
          <w:rFonts w:ascii="Arial" w:cs="Arial" w:eastAsia="Arial" w:hAnsi="Arial"/>
          <w:sz w:val="18"/>
          <w:szCs w:val="18"/>
          <w:color w:val="FF0000"/>
          <w:strike w:val="1"/>
        </w:rPr>
        <w:t>er</w:t>
      </w:r>
      <w:r>
        <w:rPr>
          <w:rFonts w:ascii="Arial" w:cs="Arial" w:eastAsia="Arial" w:hAnsi="Arial"/>
          <w:sz w:val="18"/>
          <w:szCs w:val="18"/>
          <w:u w:val="single" w:color="auto"/>
          <w:color w:val="0000E1"/>
        </w:rPr>
        <w:t>ing</w:t>
      </w:r>
      <w:r>
        <w:rPr>
          <w:rFonts w:ascii="Arial" w:cs="Arial" w:eastAsia="Arial" w:hAnsi="Arial"/>
          <w:sz w:val="18"/>
          <w:szCs w:val="18"/>
          <w:color w:val="auto"/>
        </w:rPr>
        <w:t xml:space="preserve"> Lender) and (B) amends or waives the provisions set forth in </w:t>
      </w:r>
      <w:r>
        <w:rPr>
          <w:rFonts w:ascii="Arial" w:cs="Arial" w:eastAsia="Arial" w:hAnsi="Arial"/>
          <w:sz w:val="18"/>
          <w:szCs w:val="18"/>
          <w:u w:val="single" w:color="auto"/>
          <w:color w:val="auto"/>
        </w:rPr>
        <w:t>Section 8.22</w:t>
      </w:r>
      <w:r>
        <w:rPr>
          <w:rFonts w:ascii="Arial" w:cs="Arial" w:eastAsia="Arial" w:hAnsi="Arial"/>
          <w:sz w:val="18"/>
          <w:szCs w:val="18"/>
          <w:color w:val="auto"/>
        </w:rPr>
        <w:t xml:space="preserve"> (or the component definitions thereof) in a manner that adversely affects (or is less advantageous to) the Lenders having Commitments or Loans under either or both of the Initial Classes shall require, in addition to any other vote required under this </w:t>
      </w:r>
      <w:r>
        <w:rPr>
          <w:rFonts w:ascii="Arial" w:cs="Arial" w:eastAsia="Arial" w:hAnsi="Arial"/>
          <w:sz w:val="18"/>
          <w:szCs w:val="18"/>
          <w:u w:val="single" w:color="auto"/>
          <w:color w:val="auto"/>
        </w:rPr>
        <w:t>Section 13.13</w:t>
      </w:r>
      <w:r>
        <w:rPr>
          <w:rFonts w:ascii="Arial" w:cs="Arial" w:eastAsia="Arial" w:hAnsi="Arial"/>
          <w:sz w:val="18"/>
          <w:szCs w:val="18"/>
          <w:color w:val="auto"/>
        </w:rPr>
        <w:t>, the consent of the Required Initial Class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3966210</wp:posOffset>
            </wp:positionH>
            <wp:positionV relativeFrom="paragraph">
              <wp:posOffset>-410845</wp:posOffset>
            </wp:positionV>
            <wp:extent cx="146050"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68" w:lineRule="exact"/>
        <w:rPr>
          <w:sz w:val="20"/>
          <w:szCs w:val="20"/>
          <w:color w:val="auto"/>
        </w:rPr>
      </w:pPr>
    </w:p>
    <w:p>
      <w:pPr>
        <w:jc w:val="both"/>
        <w:ind w:right="40" w:firstLine="1428"/>
        <w:spacing w:after="0" w:line="263" w:lineRule="auto"/>
        <w:tabs>
          <w:tab w:leader="none" w:pos="188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solely with the consent of the Required Revolving Lenders (but without the necessity of obtaining the consent of the Required Lenders or any other Lender), any such agreement may waive, amend or modify any condition precedent to a Credit Event (other than the </w:t>
      </w:r>
      <w:r>
        <w:rPr>
          <w:rFonts w:ascii="Arial" w:cs="Arial" w:eastAsia="Arial" w:hAnsi="Arial"/>
          <w:sz w:val="18"/>
          <w:szCs w:val="18"/>
          <w:color w:val="FF0000"/>
          <w:strike w:val="1"/>
        </w:rPr>
        <w:t>I</w:t>
      </w:r>
      <w:r>
        <w:rPr>
          <w:rFonts w:ascii="Arial" w:cs="Arial" w:eastAsia="Arial" w:hAnsi="Arial"/>
          <w:sz w:val="18"/>
          <w:szCs w:val="18"/>
          <w:u w:val="single" w:color="auto"/>
          <w:color w:val="0000E1"/>
        </w:rPr>
        <w:t>i</w:t>
      </w:r>
      <w:r>
        <w:rPr>
          <w:rFonts w:ascii="Arial" w:cs="Arial" w:eastAsia="Arial" w:hAnsi="Arial"/>
          <w:sz w:val="18"/>
          <w:szCs w:val="18"/>
          <w:color w:val="auto"/>
        </w:rPr>
        <w:t>nitial Credit Event) under the Revolving Credit Facility;</w:t>
      </w:r>
    </w:p>
    <w:p>
      <w:pPr>
        <w:spacing w:after="0" w:line="183" w:lineRule="exact"/>
        <w:rPr>
          <w:rFonts w:ascii="Arial" w:cs="Arial" w:eastAsia="Arial" w:hAnsi="Arial"/>
          <w:sz w:val="18"/>
          <w:szCs w:val="18"/>
          <w:color w:val="auto"/>
        </w:rPr>
      </w:pPr>
    </w:p>
    <w:p>
      <w:pPr>
        <w:ind w:left="1860" w:hanging="432"/>
        <w:spacing w:after="0"/>
        <w:tabs>
          <w:tab w:leader="none" w:pos="18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no amendment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t>
      </w:r>
      <w:r>
        <w:rPr>
          <w:rFonts w:ascii="Arial" w:cs="Arial" w:eastAsia="Arial" w:hAnsi="Arial"/>
          <w:sz w:val="18"/>
          <w:szCs w:val="18"/>
          <w:color w:val="FF0000"/>
          <w:strike w:val="1"/>
        </w:rPr>
        <w:t>hereof</w:t>
      </w:r>
      <w:r>
        <w:rPr>
          <w:rFonts w:ascii="Arial" w:cs="Arial" w:eastAsia="Arial" w:hAnsi="Arial"/>
          <w:sz w:val="18"/>
          <w:szCs w:val="18"/>
          <w:color w:val="auto"/>
        </w:rPr>
        <w:t xml:space="preserve"> shall be made without the consent of the Guarantor(s) affected thereby; and</w:t>
      </w:r>
    </w:p>
    <w:p>
      <w:pPr>
        <w:spacing w:after="0" w:line="225" w:lineRule="exact"/>
        <w:rPr>
          <w:rFonts w:ascii="Arial" w:cs="Arial" w:eastAsia="Arial" w:hAnsi="Arial"/>
          <w:sz w:val="18"/>
          <w:szCs w:val="18"/>
          <w:color w:val="auto"/>
        </w:rPr>
      </w:pPr>
    </w:p>
    <w:p>
      <w:pPr>
        <w:ind w:left="1820" w:hanging="392"/>
        <w:spacing w:after="0"/>
        <w:tabs>
          <w:tab w:leader="none" w:pos="182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any amendment or waiver to any provision of this Agreement which changes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in a manner that would alter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-654685</wp:posOffset>
            </wp:positionV>
            <wp:extent cx="25400"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 xml:space="preserve">pro-rata sharing of payments required to such Lender as such within an applicable </w:t>
      </w:r>
      <w:r>
        <w:rPr>
          <w:rFonts w:ascii="Arial" w:cs="Arial" w:eastAsia="Arial" w:hAnsi="Arial"/>
          <w:sz w:val="18"/>
          <w:szCs w:val="18"/>
          <w:u w:val="single" w:color="auto"/>
          <w:color w:val="auto"/>
        </w:rPr>
        <w:t>clauses first</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require the consent of each Lender</w:t>
      </w:r>
      <w:r>
        <w:rPr>
          <w:rFonts w:ascii="Arial" w:cs="Arial" w:eastAsia="Arial" w:hAnsi="Arial"/>
          <w:sz w:val="18"/>
          <w:szCs w:val="18"/>
          <w:color w:val="FF0000"/>
          <w:strike w:val="1"/>
        </w:rPr>
        <w:t>.</w:t>
      </w:r>
      <w:r>
        <w:rPr>
          <w:rFonts w:ascii="Arial" w:cs="Arial" w:eastAsia="Arial" w:hAnsi="Arial"/>
          <w:sz w:val="18"/>
          <w:szCs w:val="18"/>
          <w:u w:val="single" w:color="auto"/>
          <w:color w:val="0000E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-1270</wp:posOffset>
            </wp:positionV>
            <wp:extent cx="2603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82" w:lineRule="exact"/>
        <w:rPr>
          <w:sz w:val="20"/>
          <w:szCs w:val="20"/>
          <w:color w:val="auto"/>
        </w:rPr>
      </w:pPr>
    </w:p>
    <w:p>
      <w:pPr>
        <w:ind w:left="1380" w:hanging="393"/>
        <w:spacing w:after="0"/>
        <w:tabs>
          <w:tab w:leader="none" w:pos="13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Notwithstanding anything in </w:t>
      </w:r>
      <w:r>
        <w:rPr>
          <w:rFonts w:ascii="Arial" w:cs="Arial" w:eastAsia="Arial" w:hAnsi="Arial"/>
          <w:sz w:val="18"/>
          <w:szCs w:val="18"/>
          <w:u w:val="single" w:color="auto"/>
          <w:color w:val="auto"/>
        </w:rPr>
        <w:t>Section 13.13(a)</w:t>
      </w:r>
      <w:r>
        <w:rPr>
          <w:rFonts w:ascii="Arial" w:cs="Arial" w:eastAsia="Arial" w:hAnsi="Arial"/>
          <w:sz w:val="18"/>
          <w:szCs w:val="18"/>
          <w:color w:val="auto"/>
        </w:rPr>
        <w:t xml:space="preserve"> to the contrary,</w:t>
      </w:r>
    </w:p>
    <w:p>
      <w:pPr>
        <w:spacing w:after="0" w:line="225" w:lineRule="exact"/>
        <w:rPr>
          <w:rFonts w:ascii="Arial" w:cs="Arial" w:eastAsia="Arial" w:hAnsi="Arial"/>
          <w:sz w:val="18"/>
          <w:szCs w:val="18"/>
          <w:color w:val="auto"/>
        </w:rPr>
      </w:pPr>
    </w:p>
    <w:p>
      <w:pPr>
        <w:ind w:right="120" w:firstLine="1428"/>
        <w:spacing w:after="0" w:line="270" w:lineRule="auto"/>
        <w:tabs>
          <w:tab w:leader="none" w:pos="1822" w:val="left"/>
        </w:tabs>
        <w:numPr>
          <w:ilvl w:val="1"/>
          <w:numId w:val="277"/>
        </w:numPr>
        <w:rPr>
          <w:rFonts w:ascii="Arial" w:cs="Arial" w:eastAsia="Arial" w:hAnsi="Arial"/>
          <w:sz w:val="17"/>
          <w:szCs w:val="17"/>
          <w:color w:val="auto"/>
        </w:rPr>
      </w:pPr>
      <w:r>
        <w:rPr>
          <w:rFonts w:ascii="Arial" w:cs="Arial" w:eastAsia="Arial" w:hAnsi="Arial"/>
          <w:sz w:val="17"/>
          <w:szCs w:val="17"/>
          <w:color w:val="auto"/>
        </w:rPr>
        <w:t xml:space="preserve">this Agreement and the other Loan Documents may be amended (or amended and restated) with the consent of (i) the Borrower, the Administrative Agent and the New Term Lenders and/or New Revolving Lenders (and no other Lenders) to implement the New Term Loans and/or New Revolving Credit Commitments in accordance with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(ii) the Borrower and each Extending Term Loan Lender (and no other Lenders) in connection with any extension permitted pursuant to </w:t>
      </w:r>
      <w:r>
        <w:rPr>
          <w:rFonts w:ascii="Arial" w:cs="Arial" w:eastAsia="Arial" w:hAnsi="Arial"/>
          <w:sz w:val="17"/>
          <w:szCs w:val="17"/>
          <w:u w:val="single" w:color="auto"/>
          <w:color w:val="auto"/>
        </w:rPr>
        <w:t>Section 1.18</w:t>
      </w:r>
      <w:r>
        <w:rPr>
          <w:rFonts w:ascii="Arial" w:cs="Arial" w:eastAsia="Arial" w:hAnsi="Arial"/>
          <w:sz w:val="17"/>
          <w:szCs w:val="17"/>
          <w:color w:val="auto"/>
        </w:rPr>
        <w:t xml:space="preserve">, (iii) the Borrower and each Extending Revolving Lender (and no other Lenders) and, if required under </w:t>
      </w:r>
      <w:r>
        <w:rPr>
          <w:rFonts w:ascii="Arial" w:cs="Arial" w:eastAsia="Arial" w:hAnsi="Arial"/>
          <w:sz w:val="17"/>
          <w:szCs w:val="17"/>
          <w:u w:val="single" w:color="auto"/>
          <w:color w:val="auto"/>
        </w:rPr>
        <w:t>Section 1.19</w:t>
      </w:r>
      <w:r>
        <w:rPr>
          <w:rFonts w:ascii="Arial" w:cs="Arial" w:eastAsia="Arial" w:hAnsi="Arial"/>
          <w:sz w:val="17"/>
          <w:szCs w:val="17"/>
          <w:color w:val="auto"/>
        </w:rPr>
        <w:t xml:space="preserve">, the L/C Issuers, in connection with any extension permitted pursuant to </w:t>
      </w:r>
      <w:r>
        <w:rPr>
          <w:rFonts w:ascii="Arial" w:cs="Arial" w:eastAsia="Arial" w:hAnsi="Arial"/>
          <w:sz w:val="17"/>
          <w:szCs w:val="17"/>
          <w:u w:val="single" w:color="auto"/>
          <w:color w:val="auto"/>
        </w:rPr>
        <w:t>Section 1.19</w:t>
      </w:r>
      <w:r>
        <w:rPr>
          <w:rFonts w:ascii="Arial" w:cs="Arial" w:eastAsia="Arial" w:hAnsi="Arial"/>
          <w:sz w:val="17"/>
          <w:szCs w:val="17"/>
          <w:color w:val="auto"/>
        </w:rPr>
        <w:t xml:space="preserve">, (iv) the Borrower and the Refinancing Term Lenders (and no other Lenders) of the applicable Refinancing Term Loan Series providing such Refinancing Term Loans in connection with any refinancing facilities permitted pursuant to </w:t>
      </w:r>
      <w:r>
        <w:rPr>
          <w:rFonts w:ascii="Arial" w:cs="Arial" w:eastAsia="Arial" w:hAnsi="Arial"/>
          <w:sz w:val="17"/>
          <w:szCs w:val="17"/>
          <w:u w:val="single" w:color="auto"/>
          <w:color w:val="auto"/>
        </w:rPr>
        <w:t>Section 1.20(a)</w:t>
      </w:r>
      <w:r>
        <w:rPr>
          <w:rFonts w:ascii="Arial" w:cs="Arial" w:eastAsia="Arial" w:hAnsi="Arial"/>
          <w:sz w:val="17"/>
          <w:szCs w:val="17"/>
          <w:color w:val="auto"/>
        </w:rPr>
        <w:t xml:space="preserve"> and (v) the Borrower and Replacement Revolving Lenders (and no other Lenders) providing the applicable Replacement Revolving Commitment Series in connection with any refinancing facilities permitted pursuant to </w:t>
      </w:r>
      <w:r>
        <w:rPr>
          <w:rFonts w:ascii="Arial" w:cs="Arial" w:eastAsia="Arial" w:hAnsi="Arial"/>
          <w:sz w:val="17"/>
          <w:szCs w:val="17"/>
          <w:u w:val="single" w:color="auto"/>
          <w:color w:val="auto"/>
        </w:rPr>
        <w:t>Section 1.20(b)</w:t>
      </w:r>
      <w:r>
        <w:rPr>
          <w:rFonts w:ascii="Arial" w:cs="Arial" w:eastAsia="Arial" w:hAnsi="Arial"/>
          <w:sz w:val="17"/>
          <w:szCs w:val="17"/>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00"/>
          </w:cols>
          <w:pgMar w:left="440" w:top="274" w:right="459" w:bottom="1440" w:gutter="0" w:footer="0" w:header="0"/>
        </w:sectPr>
      </w:pPr>
    </w:p>
    <w:bookmarkStart w:id="215" w:name="page216"/>
    <w:bookmarkEnd w:id="215"/>
    <w:p>
      <w:pPr>
        <w:ind w:right="240" w:firstLine="1428"/>
        <w:spacing w:after="0" w:line="271" w:lineRule="auto"/>
        <w:tabs>
          <w:tab w:leader="none" w:pos="1822" w:val="left"/>
        </w:tabs>
        <w:numPr>
          <w:ilvl w:val="0"/>
          <w:numId w:val="2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 any provision of this Agreement, the other Loan Documents may be amended or waived pursuant to an agreement or agreements in writing entered into by the Borrower and the Administrative Agent without the consent of any other Lender to cure or correct any ambiguity, error, omission, defect or inconsistency or to effect administrative changes so long as such amendment or waiver does not adversely affect the rights of any Lender or Secured Creditor in any respect and (ii) guarantees, collateral documents, security documents and related documents executed in connection with this Agreement may be in a customary form reasonably determined by the Administrative Agent or Collateral Agent, as applicable, and may be amended or waived without the consent of any Lender if such amendment or waiver is made in order to (x) comply with local law or (y) cause such guarantee, collateral document, security document or related document to be consistent with this Agreement and the other Loan Documents (including to give effect to </w:t>
      </w:r>
      <w:r>
        <w:rPr>
          <w:rFonts w:ascii="Arial" w:cs="Arial" w:eastAsia="Arial" w:hAnsi="Arial"/>
          <w:sz w:val="17"/>
          <w:szCs w:val="17"/>
          <w:u w:val="single" w:color="auto"/>
          <w:color w:val="auto"/>
        </w:rPr>
        <w:t>Sections 1.16</w:t>
      </w:r>
      <w:r>
        <w:rPr>
          <w:rFonts w:ascii="Arial" w:cs="Arial" w:eastAsia="Arial" w:hAnsi="Arial"/>
          <w:sz w:val="17"/>
          <w:szCs w:val="17"/>
          <w:color w:val="auto"/>
        </w:rPr>
        <w:t xml:space="preserve">, </w:t>
      </w:r>
      <w:r>
        <w:rPr>
          <w:rFonts w:ascii="Arial" w:cs="Arial" w:eastAsia="Arial" w:hAnsi="Arial"/>
          <w:sz w:val="17"/>
          <w:szCs w:val="17"/>
          <w:u w:val="single" w:color="auto"/>
          <w:color w:val="auto"/>
        </w:rPr>
        <w:t>1.18</w:t>
      </w:r>
      <w:r>
        <w:rPr>
          <w:rFonts w:ascii="Arial" w:cs="Arial" w:eastAsia="Arial" w:hAnsi="Arial"/>
          <w:sz w:val="17"/>
          <w:szCs w:val="17"/>
          <w:color w:val="auto"/>
        </w:rPr>
        <w:t xml:space="preserve">, </w:t>
      </w:r>
      <w:r>
        <w:rPr>
          <w:rFonts w:ascii="Arial" w:cs="Arial" w:eastAsia="Arial" w:hAnsi="Arial"/>
          <w:sz w:val="17"/>
          <w:szCs w:val="17"/>
          <w:u w:val="single" w:color="auto"/>
          <w:color w:val="auto"/>
        </w:rPr>
        <w:t>1.19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1.20</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20" w:firstLine="1428"/>
        <w:spacing w:after="0" w:line="270" w:lineRule="auto"/>
        <w:tabs>
          <w:tab w:leader="none" w:pos="1822" w:val="left"/>
        </w:tabs>
        <w:numPr>
          <w:ilvl w:val="0"/>
          <w:numId w:val="278"/>
        </w:numPr>
        <w:rPr>
          <w:rFonts w:ascii="Arial" w:cs="Arial" w:eastAsia="Arial" w:hAnsi="Arial"/>
          <w:sz w:val="17"/>
          <w:szCs w:val="17"/>
          <w:color w:val="auto"/>
        </w:rPr>
      </w:pPr>
      <w:r>
        <w:rPr>
          <w:rFonts w:ascii="Arial" w:cs="Arial" w:eastAsia="Arial" w:hAnsi="Arial"/>
          <w:sz w:val="17"/>
          <w:szCs w:val="17"/>
          <w:color w:val="auto"/>
        </w:rPr>
        <w:t xml:space="preserve">(i) this Agreement may be amended (or amended and restated) with the written consent of the Required Lenders, the Administrative Agent and the Borrower (x) to add one or more additional revolving credit or term loan facilities to this Agreement (and to permit the extensions of credit from time to time outstanding thereunder and the accrued interest and fees in respect thereof and all related obligations and liabilities arising in connection therewith) to share ratably (or on a subordinated basis) in the benefits of this Agreement and the other Loan Documents with the Term Loans and the Revolving Loans and the accrued interest and fees in respect thereof and (y) in connection with the foregoing, to permit the Lenders providing such additional credit facilities to participate in any required vote or action required to be approved by the Required Lenders or by any other number, percentage or class of Lenders hereunder and (ii) the Administrative Agent and the Borrower may enter into amendments (or amendments and restatements) of any intercreditor, collateral trust, subordination or other similar agreement without the consent of any Lender to effectuate the foregoing provision of this </w:t>
      </w:r>
      <w:r>
        <w:rPr>
          <w:rFonts w:ascii="Arial" w:cs="Arial" w:eastAsia="Arial" w:hAnsi="Arial"/>
          <w:sz w:val="17"/>
          <w:szCs w:val="17"/>
          <w:u w:val="single" w:color="auto"/>
          <w:color w:val="auto"/>
        </w:rPr>
        <w:t>clause (3)(i)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8.7(o)</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8.7(s)</w:t>
      </w:r>
      <w:r>
        <w:rPr>
          <w:rFonts w:ascii="Arial" w:cs="Arial" w:eastAsia="Arial" w:hAnsi="Arial"/>
          <w:sz w:val="17"/>
          <w:szCs w:val="17"/>
          <w:color w:val="auto"/>
        </w:rPr>
        <w:t>.</w:t>
      </w:r>
    </w:p>
    <w:p>
      <w:pPr>
        <w:spacing w:after="0" w:line="181"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13.14</w:t>
      </w:r>
      <w:r>
        <w:rPr>
          <w:sz w:val="20"/>
          <w:szCs w:val="20"/>
          <w:color w:val="auto"/>
        </w:rPr>
        <w:tab/>
      </w:r>
      <w:r>
        <w:rPr>
          <w:rFonts w:ascii="Arial" w:cs="Arial" w:eastAsia="Arial" w:hAnsi="Arial"/>
          <w:sz w:val="16"/>
          <w:szCs w:val="16"/>
          <w:i w:val="1"/>
          <w:iCs w:val="1"/>
          <w:color w:val="auto"/>
        </w:rPr>
        <w:t xml:space="preserve">Headings. </w:t>
      </w:r>
      <w:r>
        <w:rPr>
          <w:rFonts w:ascii="Arial" w:cs="Arial" w:eastAsia="Arial" w:hAnsi="Arial"/>
          <w:sz w:val="16"/>
          <w:szCs w:val="16"/>
          <w:color w:val="auto"/>
        </w:rPr>
        <w:t>Section headings used in this Agreement are for reference only and shall not affect the construction of this Agreement.</w:t>
      </w:r>
    </w:p>
    <w:p>
      <w:pPr>
        <w:spacing w:after="0" w:line="333"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13.15</w:t>
      </w:r>
      <w:r>
        <w:rPr>
          <w:sz w:val="20"/>
          <w:szCs w:val="20"/>
          <w:color w:val="auto"/>
        </w:rPr>
        <w:tab/>
      </w:r>
      <w:r>
        <w:rPr>
          <w:rFonts w:ascii="Arial" w:cs="Arial" w:eastAsia="Arial" w:hAnsi="Arial"/>
          <w:sz w:val="16"/>
          <w:szCs w:val="16"/>
          <w:i w:val="1"/>
          <w:iCs w:val="1"/>
          <w:color w:val="auto"/>
        </w:rPr>
        <w:t>Costs and Expenses; Indemnification</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86" w:lineRule="auto"/>
        <w:tabs>
          <w:tab w:leader="none" w:pos="1368"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Borrower agrees to pay (i) all reasonable and documented out-of-pocket costs and expenses of the Administrative Agent and the Arrangers incurred on or after the Closing Date within thirty (30) days of a written demand therefor, together with backup documentation supporting such reimbursement request, associated with the syndication of the Credit Facilities and the preparation, negotiation, execution, delivery and administration of the Loan Documents and any amendment, modification, waiver or consent with respect thereto (but limited, in the case of legal fees and expenses, to the reasonable and documented fees, disbursements and other charges of one counsel to the Administrative Agent and the Arrangers, taken as a whole, and, (x) if necessary, of one local counsel in any relevant material jurisdiction to such Persons, taken as a whole and (y) if reasonably determined by any of the Administrative Agent’s or the Arrangers’ counsel that representation of all such Persons would create a conflict of interest, of one additional counsel to all affected Persons taken as a whole), together with any fees and charges suffered or incurred by the Administrative Agent and the Arrangers in connection with title insurance policies, if any, collateral filing fees and lien searches and, after the occurrence of an Event of Default, audits of the Collateral performed by the Administrative Agent or its agents or representatives; and (ii) all reasonable and documented out-of-pocket costs and expenses of the Administrative Agent, any Lender or the L/C Issuer within thirty (30) days of a written demand therefor, together with backup documentation supporting such reimbursement request (but limited, in the case of legal fees and expenses, to the reasonable and documented fees, disbursements and other charges of one counsel to the Administrative Agent and the Lenders, taken as a whole, and, (x) if necessary, of one local counsel in any relevant material jurisdiction to such Persons, taken as a whole and (y) if reasonably determined by any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00"/>
          </w:cols>
          <w:pgMar w:left="440" w:top="274" w:right="459" w:bottom="1440" w:gutter="0" w:footer="0" w:header="0"/>
        </w:sectPr>
      </w:pPr>
    </w:p>
    <w:bookmarkStart w:id="216" w:name="page217"/>
    <w:bookmarkEnd w:id="216"/>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Administrative Agent’s or Arrangers’ counsel that representation of all such Persons would create a conflict of interest, of one additional counsel to all affected Persons taken as a whole) in connection with the enforcement of the Loan Documents. In addition to the reimbursement provisions set forth above, the Borrower further agrees to indemnify the Arrangers, the Administrative Agent, the L/C Issuer, each Lender, and each Related Person of any of the foregoing Persons (each, an “</w:t>
      </w:r>
      <w:r>
        <w:rPr>
          <w:rFonts w:ascii="Arial" w:cs="Arial" w:eastAsia="Arial" w:hAnsi="Arial"/>
          <w:sz w:val="16"/>
          <w:szCs w:val="16"/>
          <w:i w:val="1"/>
          <w:iCs w:val="1"/>
          <w:color w:val="auto"/>
        </w:rPr>
        <w:t>Indemnified Person</w:t>
      </w:r>
      <w:r>
        <w:rPr>
          <w:rFonts w:ascii="Arial" w:cs="Arial" w:eastAsia="Arial" w:hAnsi="Arial"/>
          <w:sz w:val="16"/>
          <w:szCs w:val="16"/>
          <w:color w:val="auto"/>
        </w:rPr>
        <w:t xml:space="preserve">”) against, and hold each Indemnified Person harmless from, all losses, claims, damages, liabilities and expenses (limited, in the case of legal fees and expenses, to the reasonable and documented out-of-pocket fees, disbursements and other charges of one counsel to all Indemnified Persons taken as a whole and, solely in the case of an actual conflict of interest, one additional counsel to all affected Indemnified Persons taken as a whole, and, if reasonably necessary, one local counsel in any relevant material jurisdiction to such Indemnified Persons, taken as a whole) incurred in respect of the Credit Facilities or the use or proposed use of the proceeds of any Loan or Letter of Credit, except to the extent they arise from the gross negligence, bad faith or willful misconduct of, or a material breach of the Loan Documents by, such Indemnified Person (as determined by a final, non-appealable judgment of a court of competent jurisdiction) or any dispute solely among Indemnified Persons (other than any claims against an Indemnified Person in its capacity as Administrative Agent or Arrangers) and not arising out of any act or omission of Holdings or any of its Subsidiaries (including the Borrower). Notwithstanding the foregoing, (a) each Indemnified Person shall be obligated to refund and return any and all amounts paid by the Borrower to such indemnified Person for fees, expenses or damages to the extent such Indemnified Person is not entitled to payment of such amounts in accordance with the terms hereof and (b) the Borrower will only be liable out-of-pocket costs and expenses (including legal fees, expenses and disbursements) under this Agreement to the extent such out-of-pocket costs and expenses are invoiced within a </w:t>
      </w:r>
      <w:r>
        <w:rPr>
          <w:rFonts w:ascii="Arial" w:cs="Arial" w:eastAsia="Arial" w:hAnsi="Arial"/>
          <w:sz w:val="16"/>
          <w:szCs w:val="16"/>
          <w:u w:val="single" w:color="auto"/>
          <w:color w:val="0000E1"/>
        </w:rPr>
        <w:t>ninety</w:t>
      </w:r>
      <w:r>
        <w:rPr>
          <w:rFonts w:ascii="Arial" w:cs="Arial" w:eastAsia="Arial" w:hAnsi="Arial"/>
          <w:sz w:val="16"/>
          <w:szCs w:val="16"/>
          <w:color w:val="0000E1"/>
        </w:rPr>
        <w:t xml:space="preserve"> </w:t>
      </w:r>
      <w:r>
        <w:rPr>
          <w:rFonts w:ascii="Arial" w:cs="Arial" w:eastAsia="Arial" w:hAnsi="Arial"/>
          <w:sz w:val="16"/>
          <w:szCs w:val="16"/>
          <w:color w:val="000000"/>
        </w:rPr>
        <w:t>(90</w:t>
      </w:r>
      <w:r>
        <w:rPr>
          <w:rFonts w:ascii="Arial" w:cs="Arial" w:eastAsia="Arial" w:hAnsi="Arial"/>
          <w:sz w:val="16"/>
          <w:szCs w:val="16"/>
          <w:color w:val="0000E1"/>
        </w:rPr>
        <w:t xml:space="preserve"> </w:t>
      </w:r>
      <w:r>
        <w:rPr>
          <w:rFonts w:ascii="Arial" w:cs="Arial" w:eastAsia="Arial" w:hAnsi="Arial"/>
          <w:sz w:val="16"/>
          <w:szCs w:val="16"/>
          <w:u w:val="single" w:color="auto"/>
          <w:color w:val="0000E1"/>
        </w:rPr>
        <w:t>)</w:t>
      </w:r>
      <w:r>
        <w:rPr>
          <w:rFonts w:ascii="Arial" w:cs="Arial" w:eastAsia="Arial" w:hAnsi="Arial"/>
          <w:sz w:val="16"/>
          <w:szCs w:val="16"/>
          <w:color w:val="0000E1"/>
        </w:rPr>
        <w:t xml:space="preserve"> </w:t>
      </w:r>
      <w:r>
        <w:rPr>
          <w:rFonts w:ascii="Arial" w:cs="Arial" w:eastAsia="Arial" w:hAnsi="Arial"/>
          <w:sz w:val="16"/>
          <w:szCs w:val="16"/>
          <w:color w:val="000000"/>
        </w:rPr>
        <w:t>day period for which the underlying service giving rise to such obligation occurred (other than in the case of certain vendor or foreign local</w:t>
      </w:r>
      <w:r>
        <w:rPr>
          <w:rFonts w:ascii="Arial" w:cs="Arial" w:eastAsia="Arial" w:hAnsi="Arial"/>
          <w:sz w:val="16"/>
          <w:szCs w:val="16"/>
          <w:color w:val="0000E1"/>
        </w:rPr>
        <w:t xml:space="preserve"> </w:t>
      </w:r>
      <w:r>
        <w:rPr>
          <w:rFonts w:ascii="Arial" w:cs="Arial" w:eastAsia="Arial" w:hAnsi="Arial"/>
          <w:sz w:val="16"/>
          <w:szCs w:val="16"/>
          <w:color w:val="000000"/>
        </w:rPr>
        <w:t xml:space="preserve">counsel fees and disbursement, in which case, the </w:t>
      </w:r>
      <w:r>
        <w:rPr>
          <w:rFonts w:ascii="Arial" w:cs="Arial" w:eastAsia="Arial" w:hAnsi="Arial"/>
          <w:sz w:val="16"/>
          <w:szCs w:val="16"/>
          <w:u w:val="single" w:color="auto"/>
          <w:color w:val="0000E1"/>
        </w:rPr>
        <w:t>ninety</w:t>
      </w:r>
      <w:r>
        <w:rPr>
          <w:rFonts w:ascii="Arial" w:cs="Arial" w:eastAsia="Arial" w:hAnsi="Arial"/>
          <w:sz w:val="16"/>
          <w:szCs w:val="16"/>
          <w:color w:val="000000"/>
        </w:rPr>
        <w:t xml:space="preserve"> (90 </w:t>
      </w:r>
      <w:r>
        <w:rPr>
          <w:rFonts w:ascii="Arial" w:cs="Arial" w:eastAsia="Arial" w:hAnsi="Arial"/>
          <w:sz w:val="16"/>
          <w:szCs w:val="16"/>
          <w:u w:val="single" w:color="auto"/>
          <w:color w:val="0000E1"/>
        </w:rPr>
        <w:t>)</w:t>
      </w:r>
      <w:r>
        <w:rPr>
          <w:rFonts w:ascii="Arial" w:cs="Arial" w:eastAsia="Arial" w:hAnsi="Arial"/>
          <w:sz w:val="16"/>
          <w:szCs w:val="16"/>
          <w:color w:val="000000"/>
        </w:rPr>
        <w:t xml:space="preserve"> day period may be extended as reasonably agreed to by the Borrower). </w:t>
      </w:r>
      <w:r>
        <w:rPr>
          <w:rFonts w:ascii="Arial" w:cs="Arial" w:eastAsia="Arial" w:hAnsi="Arial"/>
          <w:sz w:val="16"/>
          <w:szCs w:val="16"/>
          <w:u w:val="single" w:color="auto"/>
          <w:color w:val="0000E1"/>
        </w:rPr>
        <w:t>This</w:t>
      </w:r>
      <w:r>
        <w:rPr>
          <w:rFonts w:ascii="Arial" w:cs="Arial" w:eastAsia="Arial" w:hAnsi="Arial"/>
          <w:sz w:val="16"/>
          <w:szCs w:val="16"/>
          <w:color w:val="000000"/>
        </w:rPr>
        <w:t xml:space="preserve"> </w:t>
      </w:r>
      <w:r>
        <w:rPr>
          <w:rFonts w:ascii="Arial" w:cs="Arial" w:eastAsia="Arial" w:hAnsi="Arial"/>
          <w:sz w:val="16"/>
          <w:szCs w:val="16"/>
          <w:u w:val="single" w:color="auto"/>
          <w:color w:val="0000E1"/>
        </w:rPr>
        <w:t>Section 13.15(a) shall not apply with respect to taxes other than any taxes that represent losses, claims or damages arising from any non-tax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-284480</wp:posOffset>
            </wp:positionV>
            <wp:extent cx="282575"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-361315</wp:posOffset>
            </wp:positionV>
            <wp:extent cx="28575"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-284480</wp:posOffset>
            </wp:positionV>
            <wp:extent cx="3429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-147320</wp:posOffset>
            </wp:positionV>
            <wp:extent cx="316865"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316865" cy="8255"/>
                    </a:xfrm>
                    <a:prstGeom prst="rect">
                      <a:avLst/>
                    </a:prstGeom>
                    <a:noFill/>
                  </pic:spPr>
                </pic:pic>
              </a:graphicData>
            </a:graphic>
          </wp:anchor>
        </w:drawing>
        <w:drawing>
          <wp:anchor simplePos="0" relativeHeight="251657728" behindDoc="1" locked="0" layoutInCell="0" allowOverlap="1">
            <wp:simplePos x="0" y="0"/>
            <wp:positionH relativeFrom="column">
              <wp:posOffset>2760980</wp:posOffset>
            </wp:positionH>
            <wp:positionV relativeFrom="paragraph">
              <wp:posOffset>-224155</wp:posOffset>
            </wp:positionV>
            <wp:extent cx="28575" cy="825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-147320</wp:posOffset>
            </wp:positionV>
            <wp:extent cx="34290"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6118225</wp:posOffset>
            </wp:positionH>
            <wp:positionV relativeFrom="paragraph">
              <wp:posOffset>-147320</wp:posOffset>
            </wp:positionV>
            <wp:extent cx="197485"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6694805"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151" w:lineRule="exact"/>
        <w:rPr>
          <w:sz w:val="20"/>
          <w:szCs w:val="20"/>
          <w:color w:val="auto"/>
        </w:rPr>
      </w:pPr>
    </w:p>
    <w:p>
      <w:pPr>
        <w:ind w:firstLine="987"/>
        <w:spacing w:after="0" w:line="269" w:lineRule="auto"/>
        <w:tabs>
          <w:tab w:leader="none" w:pos="1378"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To the extent that the Borrower for any reason fails to indefeasibly pay any amount required under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w:t>
      </w:r>
      <w:r>
        <w:rPr>
          <w:rFonts w:ascii="Arial" w:cs="Arial" w:eastAsia="Arial" w:hAnsi="Arial"/>
          <w:sz w:val="17"/>
          <w:szCs w:val="17"/>
          <w:color w:val="FF0000"/>
        </w:rPr>
        <w:t>or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color w:val="0000E1"/>
        </w:rPr>
        <w:t>13.15</w:t>
      </w:r>
      <w:r>
        <w:rPr>
          <w:rFonts w:ascii="Arial" w:cs="Arial" w:eastAsia="Arial" w:hAnsi="Arial"/>
          <w:sz w:val="17"/>
          <w:szCs w:val="17"/>
          <w:color w:val="auto"/>
        </w:rPr>
        <w:t xml:space="preserve"> to be paid by it to the Administrative Agent (or any sub-agent thereof), the L/C Issuer, the Swing Line Lender or any Related Person of any of the foregoing, each Lender severally agrees to pay to the Administrative Agent (or any such sub-agent), the L/C Issuer, the Swing Line Lender or such Related Person, as the case may be, such Lender’s pro rata share (determined as of the time that the applicable unreimbursed expense or indemnity payment is sought based on each Lender’s share of the total unused Commitments and Revolving Credit </w:t>
      </w:r>
      <w:r>
        <w:rPr>
          <w:rFonts w:ascii="Arial" w:cs="Arial" w:eastAsia="Arial" w:hAnsi="Arial"/>
          <w:sz w:val="17"/>
          <w:szCs w:val="17"/>
          <w:u w:val="single" w:color="auto"/>
          <w:color w:val="0000E1"/>
        </w:rPr>
        <w:t>Commitment</w:t>
      </w:r>
      <w:r>
        <w:rPr>
          <w:rFonts w:ascii="Arial" w:cs="Arial" w:eastAsia="Arial" w:hAnsi="Arial"/>
          <w:sz w:val="17"/>
          <w:szCs w:val="17"/>
          <w:color w:val="auto"/>
        </w:rPr>
        <w:t xml:space="preserve"> exposure at such time) of such unpaid amount (including any such unpaid amount in respect of a claim asserted by such Lender), such payment to be made severally among them based on such Lenders’ percentage of aggregate unused Commitments and outstanding Loans, in each case, under the applicable Class (determined as of the time that the applicable unreimbursed expense or indemnity payment is sought), provided, further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Person of any of the foregoing acting for the Administrative Agent (or any such sub-agent), the L/C Issuer or the Swing Line Lender in connection with such capacity. The obligations of the Lenders under this </w:t>
      </w:r>
      <w:r>
        <w:rPr>
          <w:rFonts w:ascii="Arial" w:cs="Arial" w:eastAsia="Arial" w:hAnsi="Arial"/>
          <w:sz w:val="17"/>
          <w:szCs w:val="17"/>
          <w:u w:val="single" w:color="auto"/>
          <w:color w:val="auto"/>
        </w:rPr>
        <w:t>subsection (</w:t>
      </w:r>
      <w:r>
        <w:rPr>
          <w:rFonts w:ascii="Arial" w:cs="Arial" w:eastAsia="Arial" w:hAnsi="Arial"/>
          <w:sz w:val="17"/>
          <w:szCs w:val="17"/>
          <w:color w:val="FF0000"/>
          <w:strike w:val="1"/>
        </w:rPr>
        <w:t>c</w:t>
      </w:r>
      <w:r>
        <w:rPr>
          <w:rFonts w:ascii="Arial" w:cs="Arial" w:eastAsia="Arial" w:hAnsi="Arial"/>
          <w:sz w:val="17"/>
          <w:szCs w:val="17"/>
          <w:u w:val="single" w:color="auto"/>
          <w:color w:val="0000E1"/>
        </w:rPr>
        <w:t>b</w:t>
      </w:r>
      <w:r>
        <w:rPr>
          <w:rFonts w:ascii="Arial" w:cs="Arial" w:eastAsia="Arial" w:hAnsi="Arial"/>
          <w:sz w:val="17"/>
          <w:szCs w:val="17"/>
          <w:u w:val="single" w:color="auto"/>
          <w:color w:val="auto"/>
        </w:rPr>
        <w:t>)</w:t>
      </w:r>
      <w:r>
        <w:rPr>
          <w:rFonts w:ascii="Arial" w:cs="Arial" w:eastAsia="Arial" w:hAnsi="Arial"/>
          <w:sz w:val="17"/>
          <w:szCs w:val="17"/>
          <w:color w:val="auto"/>
        </w:rPr>
        <w:t xml:space="preserve"> are subject to the provisions of </w:t>
      </w:r>
      <w:r>
        <w:rPr>
          <w:rFonts w:ascii="Arial" w:cs="Arial" w:eastAsia="Arial" w:hAnsi="Arial"/>
          <w:sz w:val="17"/>
          <w:szCs w:val="17"/>
          <w:u w:val="single" w:color="auto"/>
          <w:color w:val="auto"/>
        </w:rPr>
        <w:t>Section 13.22</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40" w:firstLine="987"/>
        <w:spacing w:after="0" w:line="257" w:lineRule="auto"/>
        <w:tabs>
          <w:tab w:leader="none" w:pos="136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each of the parties hereto (and their respective Related Persons) shall not assert, and hereby waives, and acknowledges that no other Person shall have, any claim against any other party (or their respective Related Persons),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6035675</wp:posOffset>
            </wp:positionH>
            <wp:positionV relativeFrom="paragraph">
              <wp:posOffset>-2408555</wp:posOffset>
            </wp:positionV>
            <wp:extent cx="31369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313690" cy="8890"/>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-2193925</wp:posOffset>
            </wp:positionV>
            <wp:extent cx="282575"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-2228215</wp:posOffset>
            </wp:positionV>
            <wp:extent cx="28575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285750" cy="8890"/>
                    </a:xfrm>
                    <a:prstGeom prst="rect">
                      <a:avLst/>
                    </a:prstGeom>
                    <a:noFill/>
                  </pic:spPr>
                </pic:pic>
              </a:graphicData>
            </a:graphic>
          </wp:anchor>
        </w:drawing>
        <w:drawing>
          <wp:anchor simplePos="0" relativeHeight="251657728" behindDoc="1" locked="0" layoutInCell="0" allowOverlap="1">
            <wp:simplePos x="0" y="0"/>
            <wp:positionH relativeFrom="column">
              <wp:posOffset>4789170</wp:posOffset>
            </wp:positionH>
            <wp:positionV relativeFrom="paragraph">
              <wp:posOffset>-1782445</wp:posOffset>
            </wp:positionV>
            <wp:extent cx="608330"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-822325</wp:posOffset>
            </wp:positionV>
            <wp:extent cx="5969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00"/>
          </w:cols>
          <w:pgMar w:left="440" w:top="274" w:right="459" w:bottom="1440" w:gutter="0" w:footer="0" w:header="0"/>
        </w:sectPr>
      </w:pPr>
    </w:p>
    <w:bookmarkStart w:id="217" w:name="page218"/>
    <w:bookmarkEnd w:id="217"/>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Credit or the use of the proceeds thereof; provided, that nothing contained in this sentence shall limit the Borrower’s indemnification obligations hereinabove to the extent such special, indirect, consequential or punitive damages are included in any third party claim in connection with which an Indemnified Person is otherwise entitled to indemnification hereunder. No Indemnified Person referred to in </w:t>
      </w:r>
      <w:r>
        <w:rPr>
          <w:rFonts w:ascii="Arial" w:cs="Arial" w:eastAsia="Arial" w:hAnsi="Arial"/>
          <w:sz w:val="16"/>
          <w:szCs w:val="16"/>
          <w:u w:val="single" w:color="auto"/>
          <w:color w:val="auto"/>
        </w:rPr>
        <w:t>subsection (</w:t>
      </w:r>
      <w:r>
        <w:rPr>
          <w:rFonts w:ascii="Arial" w:cs="Arial" w:eastAsia="Arial" w:hAnsi="Arial"/>
          <w:sz w:val="16"/>
          <w:szCs w:val="16"/>
          <w:color w:val="FF0000"/>
          <w:strike w:val="1"/>
        </w:rPr>
        <w:t>b</w:t>
      </w:r>
      <w:r>
        <w:rPr>
          <w:rFonts w:ascii="Arial" w:cs="Arial" w:eastAsia="Arial" w:hAnsi="Arial"/>
          <w:sz w:val="16"/>
          <w:szCs w:val="16"/>
          <w:u w:val="single" w:color="auto"/>
          <w:color w:val="0000E1"/>
        </w:rPr>
        <w:t>a</w:t>
      </w:r>
      <w:r>
        <w:rPr>
          <w:rFonts w:ascii="Arial" w:cs="Arial" w:eastAsia="Arial" w:hAnsi="Arial"/>
          <w:sz w:val="16"/>
          <w:szCs w:val="16"/>
          <w:u w:val="single" w:color="auto"/>
          <w:color w:val="auto"/>
        </w:rPr>
        <w:t>)</w:t>
      </w:r>
      <w:r>
        <w:rPr>
          <w:rFonts w:ascii="Arial" w:cs="Arial" w:eastAsia="Arial" w:hAnsi="Arial"/>
          <w:sz w:val="16"/>
          <w:szCs w:val="16"/>
          <w:color w:val="auto"/>
        </w:rPr>
        <w:t xml:space="preserve"> above shall be liable for any damages arising from the use by unintended recipients of any information or other materials distributed to such unintended recipients by such Indemnified Person through telecommunications, electronic or other information transmission systems in connection with this Agreement or the other Loan Documents or the transactions contemplated hereby or thereby, other than for direct or actual damages resulting from the gross negligence, bad faith or willful misconduct of such Indemnified Person as determined by a final and nonappealable judgment of a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5580380</wp:posOffset>
            </wp:positionH>
            <wp:positionV relativeFrom="paragraph">
              <wp:posOffset>-561975</wp:posOffset>
            </wp:positionV>
            <wp:extent cx="51435"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6" w:lineRule="exact"/>
        <w:rPr>
          <w:sz w:val="20"/>
          <w:szCs w:val="20"/>
          <w:color w:val="auto"/>
        </w:rPr>
      </w:pPr>
    </w:p>
    <w:p>
      <w:pPr>
        <w:ind w:left="4" w:right="540" w:firstLine="987"/>
        <w:spacing w:after="0" w:line="277" w:lineRule="auto"/>
        <w:tabs>
          <w:tab w:leader="none" w:pos="138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The obligations of the Borrower under this </w:t>
      </w:r>
      <w:r>
        <w:rPr>
          <w:rFonts w:ascii="Arial" w:cs="Arial" w:eastAsia="Arial" w:hAnsi="Arial"/>
          <w:sz w:val="18"/>
          <w:szCs w:val="18"/>
          <w:u w:val="single" w:color="auto"/>
          <w:color w:val="auto"/>
        </w:rPr>
        <w:t>Section 13.15</w:t>
      </w:r>
      <w:r>
        <w:rPr>
          <w:rFonts w:ascii="Arial" w:cs="Arial" w:eastAsia="Arial" w:hAnsi="Arial"/>
          <w:sz w:val="18"/>
          <w:szCs w:val="18"/>
          <w:color w:val="auto"/>
        </w:rPr>
        <w:t xml:space="preserve"> shall survive the payment and satisfaction of the Obligations and the termination of this Agreement.</w:t>
      </w:r>
    </w:p>
    <w:p>
      <w:pPr>
        <w:spacing w:after="0" w:line="170"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Section 13.16 </w:t>
      </w:r>
      <w:r>
        <w:rPr>
          <w:rFonts w:ascii="Arial" w:cs="Arial" w:eastAsia="Arial" w:hAnsi="Arial"/>
          <w:sz w:val="16"/>
          <w:szCs w:val="16"/>
          <w:i w:val="1"/>
          <w:iCs w:val="1"/>
          <w:color w:val="auto"/>
        </w:rPr>
        <w:t>Set-off</w:t>
      </w:r>
      <w:r>
        <w:rPr>
          <w:rFonts w:ascii="Arial" w:cs="Arial" w:eastAsia="Arial" w:hAnsi="Arial"/>
          <w:sz w:val="16"/>
          <w:szCs w:val="16"/>
          <w:color w:val="auto"/>
        </w:rPr>
        <w:t>. In addition to any rights now or hereafter granted under applicable law and not by way of limitation of any such rights, upon the occurrence and during the continuance of any Event of Default after obtaining the prior written consent of the Administrative Agent, each Lender, the L/C Issuer and each subsequent holder of any Obligation is hereby authorized by the Borrower and such Guarantor at any time or from time to time, without notice to the Borrower or such Guarantor or to any other Person, any such notice being hereby expressly waived to the extent permitted by applicable law, to set off and to appropriate and to apply any and all deposits (general or special, including, but not limited to, indebtedness evidenced by certificates of deposit, whether matured or unmatured, but not including trust accounts, tax accounts and payroll accounts or any other account containing solely tax or trust funds, and in whatever currency denominated) and any other indebtedness at any time held or owing by that Lender, the L/C Issuer or that subsequent holder to or for the credit or the account of the Borrower or such Guarantor, whether or not matured, against and on account of the Obligations of the Borrower or such Guarantor to that Lender, the L/C Issuer or that subsequent holder under the Loan Documents, including, but not limited to, all claims of any nature or description arising out of or connected with the Loan Documents, irrespective of whether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-1299210</wp:posOffset>
            </wp:positionV>
            <wp:extent cx="2857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4" w:right="40" w:hanging="4"/>
        <w:spacing w:after="0" w:line="269" w:lineRule="auto"/>
        <w:tabs>
          <w:tab w:leader="none" w:pos="249" w:val="left"/>
        </w:tabs>
        <w:numPr>
          <w:ilvl w:val="0"/>
          <w:numId w:val="282"/>
        </w:numPr>
        <w:rPr>
          <w:rFonts w:ascii="Arial" w:cs="Arial" w:eastAsia="Arial" w:hAnsi="Arial"/>
          <w:sz w:val="17"/>
          <w:szCs w:val="17"/>
          <w:color w:val="auto"/>
        </w:rPr>
      </w:pPr>
      <w:r>
        <w:rPr>
          <w:rFonts w:ascii="Arial" w:cs="Arial" w:eastAsia="Arial" w:hAnsi="Arial"/>
          <w:sz w:val="17"/>
          <w:szCs w:val="17"/>
          <w:color w:val="auto"/>
        </w:rPr>
        <w:t xml:space="preserve">that Lender, the L/C Issuer or that subsequent holder shall have made any demand hereunder or (b) the principal of or the interest on the Loans and other amounts due hereunder shall have become due and payable pursuant to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and although said obligations and liabilities, or any of them, may be contingent or unmatured;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1.17</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w:t>
      </w:r>
    </w:p>
    <w:p>
      <w:pPr>
        <w:spacing w:after="0" w:line="180" w:lineRule="exact"/>
        <w:rPr>
          <w:sz w:val="20"/>
          <w:szCs w:val="20"/>
          <w:color w:val="auto"/>
        </w:rPr>
      </w:pPr>
    </w:p>
    <w:p>
      <w:pPr>
        <w:jc w:val="both"/>
        <w:ind w:left="4" w:right="60" w:firstLine="440"/>
        <w:spacing w:after="0" w:line="286" w:lineRule="auto"/>
        <w:rPr>
          <w:sz w:val="20"/>
          <w:szCs w:val="20"/>
          <w:color w:val="auto"/>
        </w:rPr>
      </w:pPr>
      <w:r>
        <w:rPr>
          <w:rFonts w:ascii="Arial" w:cs="Arial" w:eastAsia="Arial" w:hAnsi="Arial"/>
          <w:sz w:val="17"/>
          <w:szCs w:val="17"/>
          <w:color w:val="auto"/>
        </w:rPr>
        <w:t xml:space="preserve">Section 13.17 </w:t>
      </w:r>
      <w:r>
        <w:rPr>
          <w:rFonts w:ascii="Arial" w:cs="Arial" w:eastAsia="Arial" w:hAnsi="Arial"/>
          <w:sz w:val="17"/>
          <w:szCs w:val="17"/>
          <w:i w:val="1"/>
          <w:iCs w:val="1"/>
          <w:color w:val="auto"/>
        </w:rPr>
        <w:t>Entire Agreement</w:t>
      </w:r>
      <w:r>
        <w:rPr>
          <w:rFonts w:ascii="Arial" w:cs="Arial" w:eastAsia="Arial" w:hAnsi="Arial"/>
          <w:sz w:val="17"/>
          <w:szCs w:val="17"/>
          <w:color w:val="auto"/>
        </w:rPr>
        <w: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-365125</wp:posOffset>
            </wp:positionV>
            <wp:extent cx="28575"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5" w:lineRule="exact"/>
        <w:rPr>
          <w:sz w:val="20"/>
          <w:szCs w:val="20"/>
          <w:color w:val="auto"/>
        </w:rPr>
      </w:pPr>
    </w:p>
    <w:p>
      <w:pPr>
        <w:ind w:left="4" w:right="380" w:firstLine="440"/>
        <w:spacing w:after="0" w:line="263" w:lineRule="auto"/>
        <w:rPr>
          <w:sz w:val="20"/>
          <w:szCs w:val="20"/>
          <w:color w:val="auto"/>
        </w:rPr>
      </w:pPr>
      <w:r>
        <w:rPr>
          <w:rFonts w:ascii="Arial" w:cs="Arial" w:eastAsia="Arial" w:hAnsi="Arial"/>
          <w:sz w:val="18"/>
          <w:szCs w:val="18"/>
          <w:color w:val="auto"/>
        </w:rPr>
        <w:t xml:space="preserve">Section 13.18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OTHER LOAN DOCUMENTS (EXCEPT AS OTHERWISE SPECIFIED THEREIN) AND THE TRANSACTIONS CONTEMPLATED HEREBY AND THEREBY, AND THE RIGHTS AND OBLIGATIONS OF THE PARTIES HEREUNDER AND THEREUNDER AND ALL CLAIMS AND CONTROVERSIES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-353695</wp:posOffset>
            </wp:positionV>
            <wp:extent cx="28575"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04"/>
          </w:cols>
          <w:pgMar w:left="436" w:top="274" w:right="459" w:bottom="1440" w:gutter="0" w:footer="0" w:header="0"/>
        </w:sectPr>
      </w:pPr>
    </w:p>
    <w:bookmarkStart w:id="218" w:name="page219"/>
    <w:bookmarkEnd w:id="218"/>
    <w:p>
      <w:pPr>
        <w:ind w:left="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ARISING OUT OF THE SUBJECT MATTER HEREOF AND THEREOF WHETHER SOUNDING IN CONTRACT LAW, TORT LAW OR OTHERWISE SHALL BE GOVERNED BY, AND SHALL BE CONSTRUED AND ENFORCED IN ACCORDANCE WITH, THE LAWS OF THE STATE OF NEW YORK.</w:t>
      </w:r>
    </w:p>
    <w:p>
      <w:pPr>
        <w:spacing w:after="0" w:line="184"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 xml:space="preserve">Section 13.19 </w:t>
      </w:r>
      <w:r>
        <w:rPr>
          <w:rFonts w:ascii="Arial" w:cs="Arial" w:eastAsia="Arial" w:hAnsi="Arial"/>
          <w:sz w:val="16"/>
          <w:szCs w:val="16"/>
          <w:i w:val="1"/>
          <w:iCs w:val="1"/>
          <w:color w:val="auto"/>
        </w:rPr>
        <w:t>Severability of Provisions</w:t>
      </w:r>
      <w:r>
        <w:rPr>
          <w:rFonts w:ascii="Arial" w:cs="Arial" w:eastAsia="Arial" w:hAnsi="Arial"/>
          <w:sz w:val="16"/>
          <w:szCs w:val="16"/>
          <w:color w:val="auto"/>
        </w:rPr>
        <w:t xml:space="preserve">. Any provision of any Loan Document which is held to be illegal, invalid or unenforceable in any jurisdiction shall, as to such jurisdiction, be ineffective to the extent of such unenforceability without invalidating the remaining provisions hereof or affecting the validity or enforceability of such provision in any other jurisdiction. If any such provision is held to be illegal, invalid or unenforceable, the parties shall endeavor in good faith negotiations to replace the illegal, invalid or unenforceable provisions with valid provisions the economic effect of which comes as close as possible to that of the illegal, invalid or unenforceable provision.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 Without limiting the foregoing provisions of this </w:t>
      </w:r>
      <w:r>
        <w:rPr>
          <w:rFonts w:ascii="Arial" w:cs="Arial" w:eastAsia="Arial" w:hAnsi="Arial"/>
          <w:sz w:val="16"/>
          <w:szCs w:val="16"/>
          <w:u w:val="single" w:color="auto"/>
          <w:color w:val="auto"/>
        </w:rPr>
        <w:t>Section 13</w:t>
      </w:r>
      <w:r>
        <w:rPr>
          <w:rFonts w:ascii="Arial" w:cs="Arial" w:eastAsia="Arial" w:hAnsi="Arial"/>
          <w:sz w:val="16"/>
          <w:szCs w:val="16"/>
          <w:color w:val="FF0000"/>
          <w:strike w:val="1"/>
        </w:rPr>
        <w:t>,</w:t>
      </w:r>
      <w:r>
        <w:rPr>
          <w:rFonts w:ascii="Arial" w:cs="Arial" w:eastAsia="Arial" w:hAnsi="Arial"/>
          <w:sz w:val="16"/>
          <w:szCs w:val="16"/>
          <w:u w:val="single" w:color="auto"/>
          <w:color w:val="0000E1"/>
        </w:rPr>
        <w:t>.</w:t>
      </w:r>
      <w:r>
        <w:rPr>
          <w:rFonts w:ascii="Arial" w:cs="Arial" w:eastAsia="Arial" w:hAnsi="Arial"/>
          <w:sz w:val="16"/>
          <w:szCs w:val="16"/>
          <w:u w:val="single" w:color="auto"/>
          <w:color w:val="auto"/>
        </w:rPr>
        <w:t>19</w:t>
      </w:r>
      <w:r>
        <w:rPr>
          <w:rFonts w:ascii="Arial" w:cs="Arial" w:eastAsia="Arial" w:hAnsi="Arial"/>
          <w:sz w:val="16"/>
          <w:szCs w:val="16"/>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2226945</wp:posOffset>
            </wp:positionH>
            <wp:positionV relativeFrom="paragraph">
              <wp:posOffset>-1458595</wp:posOffset>
            </wp:positionV>
            <wp:extent cx="28575"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-1184275</wp:posOffset>
            </wp:positionV>
            <wp:extent cx="28575"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675640</wp:posOffset>
            </wp:positionH>
            <wp:positionV relativeFrom="paragraph">
              <wp:posOffset>-361315</wp:posOffset>
            </wp:positionV>
            <wp:extent cx="28575"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-283845</wp:posOffset>
            </wp:positionV>
            <wp:extent cx="26035"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52"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6"/>
          <w:szCs w:val="16"/>
          <w:color w:val="auto"/>
        </w:rPr>
        <w:t xml:space="preserve">Section 13.20 </w:t>
      </w:r>
      <w:r>
        <w:rPr>
          <w:rFonts w:ascii="Arial" w:cs="Arial" w:eastAsia="Arial" w:hAnsi="Arial"/>
          <w:sz w:val="16"/>
          <w:szCs w:val="16"/>
          <w:i w:val="1"/>
          <w:iCs w:val="1"/>
          <w:color w:val="auto"/>
        </w:rPr>
        <w:t>Excess Interest</w:t>
      </w:r>
      <w:r>
        <w:rPr>
          <w:rFonts w:ascii="Arial" w:cs="Arial" w:eastAsia="Arial" w:hAnsi="Arial"/>
          <w:sz w:val="16"/>
          <w:szCs w:val="16"/>
          <w:color w:val="auto"/>
        </w:rPr>
        <w:t>. Notwithstanding any provision to the contrary contained herein or in any other Loan Document, no such provision shall require the payment or permit the collection of any amount of interest in excess of the maximum amount of interest permitted by applicable law to be charged for the use or detention, or the forbearance in the collection, of all or any portion of the Loans or other obligations outstanding under this Agreement or any other Loan Document (“</w:t>
      </w:r>
      <w:r>
        <w:rPr>
          <w:rFonts w:ascii="Arial" w:cs="Arial" w:eastAsia="Arial" w:hAnsi="Arial"/>
          <w:sz w:val="16"/>
          <w:szCs w:val="16"/>
          <w:i w:val="1"/>
          <w:iCs w:val="1"/>
          <w:color w:val="auto"/>
        </w:rPr>
        <w:t>Excess Interest</w:t>
      </w:r>
      <w:r>
        <w:rPr>
          <w:rFonts w:ascii="Arial" w:cs="Arial" w:eastAsia="Arial" w:hAnsi="Arial"/>
          <w:sz w:val="16"/>
          <w:szCs w:val="16"/>
          <w:color w:val="auto"/>
        </w:rPr>
        <w:t xml:space="preserve">”). If any Excess Interest is provided for, or is adjudicated to be provided for, herein or in any other Loan Document, then in such event (a) the provisions of this </w:t>
      </w:r>
      <w:r>
        <w:rPr>
          <w:rFonts w:ascii="Arial" w:cs="Arial" w:eastAsia="Arial" w:hAnsi="Arial"/>
          <w:sz w:val="16"/>
          <w:szCs w:val="16"/>
          <w:u w:val="single" w:color="auto"/>
          <w:color w:val="auto"/>
        </w:rPr>
        <w:t>Section 13.20</w:t>
      </w:r>
      <w:r>
        <w:rPr>
          <w:rFonts w:ascii="Arial" w:cs="Arial" w:eastAsia="Arial" w:hAnsi="Arial"/>
          <w:sz w:val="16"/>
          <w:szCs w:val="16"/>
          <w:color w:val="auto"/>
        </w:rPr>
        <w:t xml:space="preserve"> shall govern and control, (b) no Borrower, Guarantor or endorser shall be obligated to pay any Excess Interest, (c) any Excess Interest that the Administrative Agent or any Lender may have received hereunder shall, at the option of the Administrative Agent, be (i) applied as a credit against the then outstanding principal amount of Obligations hereunder and (ii) if it exceeds such unpaid principal, refunded to the Borrower, (d) the interest rate payable hereunder or under any other Loan Document shall be automatically subject to reduction to the maximum lawful contract rate allowed under applicable usury laws (the “</w:t>
      </w:r>
      <w:r>
        <w:rPr>
          <w:rFonts w:ascii="Arial" w:cs="Arial" w:eastAsia="Arial" w:hAnsi="Arial"/>
          <w:sz w:val="16"/>
          <w:szCs w:val="16"/>
          <w:i w:val="1"/>
          <w:iCs w:val="1"/>
          <w:color w:val="auto"/>
        </w:rPr>
        <w:t>Maximum</w:t>
      </w:r>
      <w:r>
        <w:rPr>
          <w:rFonts w:ascii="Arial" w:cs="Arial" w:eastAsia="Arial" w:hAnsi="Arial"/>
          <w:sz w:val="16"/>
          <w:szCs w:val="16"/>
          <w:color w:val="auto"/>
        </w:rPr>
        <w:t xml:space="preserve"> </w:t>
      </w:r>
      <w:r>
        <w:rPr>
          <w:rFonts w:ascii="Arial" w:cs="Arial" w:eastAsia="Arial" w:hAnsi="Arial"/>
          <w:sz w:val="16"/>
          <w:szCs w:val="16"/>
          <w:i w:val="1"/>
          <w:iCs w:val="1"/>
          <w:color w:val="auto"/>
        </w:rPr>
        <w:t>Rate</w:t>
      </w:r>
      <w:r>
        <w:rPr>
          <w:rFonts w:ascii="Arial" w:cs="Arial" w:eastAsia="Arial" w:hAnsi="Arial"/>
          <w:sz w:val="16"/>
          <w:szCs w:val="16"/>
          <w:color w:val="auto"/>
        </w:rPr>
        <w:t>”), and this Agreement and the other Loan Documents shall be deemed to have been, and shall be, reformed and modified to reflect such reduction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the relevant interest rate, and (e) neither the Borrower nor any Guarantor or endorser shall have any action against the Administrative Agent or any Lender for any damages whatsoever arising out of the payment or collection of any Excess Interest. Notwithstanding the foregoing, if for any period of time interest on any of </w:t>
      </w:r>
      <w:r>
        <w:rPr>
          <w:rFonts w:ascii="Arial" w:cs="Arial" w:eastAsia="Arial" w:hAnsi="Arial"/>
          <w:sz w:val="16"/>
          <w:szCs w:val="16"/>
          <w:u w:val="single" w:color="auto"/>
          <w:color w:val="0000E1"/>
        </w:rPr>
        <w:t>the</w:t>
      </w:r>
      <w:r>
        <w:rPr>
          <w:rFonts w:ascii="Arial" w:cs="Arial" w:eastAsia="Arial" w:hAnsi="Arial"/>
          <w:sz w:val="16"/>
          <w:szCs w:val="16"/>
          <w:color w:val="auto"/>
        </w:rPr>
        <w:t xml:space="preserve"> Borrower’s Obligations is calculated at the Maximum Rate rather than the applicable rate under this Agreement, and thereafter such applicable rate becomes less than the Maximum Rate, the rate of interest payable on the Borrower’s Obligations shall remain at the Maximum Rate until the Lenders have received the amount of interest which such Lenders would have received during such period on the Borrower’s Obligations had the rate of interest not been limited to the Maximum Rate during such period. In determining whether the interest contracted for, charged, or received by the Administrative Agent or a Lender exceeds the Maximum Rate, such Person may, to the extent permitted by applicable </w:t>
      </w:r>
      <w:r>
        <w:rPr>
          <w:rFonts w:ascii="Arial" w:cs="Arial" w:eastAsia="Arial" w:hAnsi="Arial"/>
          <w:sz w:val="16"/>
          <w:szCs w:val="16"/>
          <w:color w:val="FF0000"/>
          <w:strike w:val="1"/>
        </w:rPr>
        <w:t>L</w:t>
      </w:r>
      <w:r>
        <w:rPr>
          <w:rFonts w:ascii="Arial" w:cs="Arial" w:eastAsia="Arial" w:hAnsi="Arial"/>
          <w:sz w:val="16"/>
          <w:szCs w:val="16"/>
          <w:u w:val="single" w:color="auto"/>
          <w:color w:val="0000E1"/>
        </w:rPr>
        <w:t>l</w:t>
      </w:r>
      <w:r>
        <w:rPr>
          <w:rFonts w:ascii="Arial" w:cs="Arial" w:eastAsia="Arial" w:hAnsi="Arial"/>
          <w:sz w:val="16"/>
          <w:szCs w:val="16"/>
          <w:color w:val="auto"/>
        </w:rPr>
        <w:t>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-2255520</wp:posOffset>
            </wp:positionV>
            <wp:extent cx="28575"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1054100</wp:posOffset>
            </wp:positionH>
            <wp:positionV relativeFrom="paragraph">
              <wp:posOffset>-532130</wp:posOffset>
            </wp:positionV>
            <wp:extent cx="145415"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ind w:left="4" w:right="120" w:hanging="4"/>
        <w:spacing w:after="0" w:line="255" w:lineRule="auto"/>
        <w:tabs>
          <w:tab w:leader="none" w:pos="249"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6763385</wp:posOffset>
            </wp:positionH>
            <wp:positionV relativeFrom="paragraph">
              <wp:posOffset>-409575</wp:posOffset>
            </wp:positionV>
            <wp:extent cx="34290"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0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04"/>
          </w:cols>
          <w:pgMar w:left="436" w:top="274" w:right="459" w:bottom="1440" w:gutter="0" w:footer="0" w:header="0"/>
        </w:sectPr>
      </w:pPr>
    </w:p>
    <w:bookmarkStart w:id="219" w:name="page220"/>
    <w:bookmarkEnd w:id="219"/>
    <w:p>
      <w:pPr>
        <w:jc w:val="both"/>
        <w:ind w:left="4" w:right="2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13.21 </w:t>
      </w:r>
      <w:r>
        <w:rPr>
          <w:rFonts w:ascii="Arial" w:cs="Arial" w:eastAsia="Arial" w:hAnsi="Arial"/>
          <w:sz w:val="18"/>
          <w:szCs w:val="18"/>
          <w:i w:val="1"/>
          <w:iCs w:val="1"/>
          <w:color w:val="auto"/>
        </w:rPr>
        <w:t>Construction</w:t>
      </w:r>
      <w:r>
        <w:rPr>
          <w:rFonts w:ascii="Arial" w:cs="Arial" w:eastAsia="Arial" w:hAnsi="Arial"/>
          <w:sz w:val="18"/>
          <w:szCs w:val="18"/>
          <w:color w:val="auto"/>
        </w:rPr>
        <w:t>. Nothing contained herein shall be deemed or construed to permit any act or omission which is prohibited by the terms of any Collateral Document, the covenants and agreements contained herein being in addition to and not in substitution for the covenants and agreements contained in the Collateral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-353695</wp:posOffset>
            </wp:positionV>
            <wp:extent cx="28575"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4"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 xml:space="preserve">Section 13.22 </w:t>
      </w:r>
      <w:r>
        <w:rPr>
          <w:rFonts w:ascii="Arial" w:cs="Arial" w:eastAsia="Arial" w:hAnsi="Arial"/>
          <w:sz w:val="18"/>
          <w:szCs w:val="18"/>
          <w:i w:val="1"/>
          <w:iCs w:val="1"/>
          <w:color w:val="auto"/>
        </w:rPr>
        <w:t>Lender’s and L/C Issuer’s Obligations Several</w:t>
      </w:r>
      <w:r>
        <w:rPr>
          <w:rFonts w:ascii="Arial" w:cs="Arial" w:eastAsia="Arial" w:hAnsi="Arial"/>
          <w:sz w:val="18"/>
          <w:szCs w:val="18"/>
          <w:color w:val="auto"/>
        </w:rPr>
        <w:t>. The obligations of the Lenders and the L/C Issuer hereunder are several and not joint. Nothing contained in this Agreement and no action taken by the Lenders or the L/C Issuer pursuant hereto shall be deemed to constitute the Lenders and the L/C Issuer a partnership, association, joint venture or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-353695</wp:posOffset>
            </wp:positionV>
            <wp:extent cx="28575"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-216535</wp:posOffset>
            </wp:positionV>
            <wp:extent cx="28575"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2" w:lineRule="exact"/>
        <w:rPr>
          <w:sz w:val="20"/>
          <w:szCs w:val="20"/>
          <w:color w:val="auto"/>
        </w:rPr>
      </w:pPr>
    </w:p>
    <w:p>
      <w:pPr>
        <w:ind w:left="444"/>
        <w:spacing w:after="0"/>
        <w:tabs>
          <w:tab w:leader="none" w:pos="1584" w:val="left"/>
        </w:tabs>
        <w:rPr>
          <w:sz w:val="20"/>
          <w:szCs w:val="20"/>
          <w:color w:val="auto"/>
        </w:rPr>
      </w:pPr>
      <w:r>
        <w:rPr>
          <w:rFonts w:ascii="Arial" w:cs="Arial" w:eastAsia="Arial" w:hAnsi="Arial"/>
          <w:sz w:val="18"/>
          <w:szCs w:val="18"/>
          <w:color w:val="auto"/>
        </w:rPr>
        <w:t>Section 13.23</w:t>
      </w:r>
      <w:r>
        <w:rPr>
          <w:sz w:val="20"/>
          <w:szCs w:val="20"/>
          <w:color w:val="auto"/>
        </w:rPr>
        <w:tab/>
      </w:r>
      <w:r>
        <w:rPr>
          <w:rFonts w:ascii="Arial" w:cs="Arial" w:eastAsia="Arial" w:hAnsi="Arial"/>
          <w:sz w:val="16"/>
          <w:szCs w:val="16"/>
          <w:i w:val="1"/>
          <w:iCs w:val="1"/>
          <w:color w:val="auto"/>
        </w:rPr>
        <w:t>Submission to Jurisdiction; Waiver of Jury Trial</w:t>
      </w:r>
      <w:r>
        <w:rPr>
          <w:rFonts w:ascii="Arial" w:cs="Arial" w:eastAsia="Arial" w:hAnsi="Arial"/>
          <w:sz w:val="16"/>
          <w:szCs w:val="16"/>
          <w:color w:val="auto"/>
        </w:rPr>
        <w:t>.</w:t>
      </w:r>
    </w:p>
    <w:p>
      <w:pPr>
        <w:spacing w:after="0" w:line="117" w:lineRule="exact"/>
        <w:rPr>
          <w:sz w:val="20"/>
          <w:szCs w:val="20"/>
          <w:color w:val="auto"/>
        </w:rPr>
      </w:pPr>
    </w:p>
    <w:p>
      <w:pPr>
        <w:ind w:left="4" w:firstLine="987"/>
        <w:spacing w:after="0" w:line="252" w:lineRule="auto"/>
        <w:tabs>
          <w:tab w:leader="none" w:pos="1372"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BORROWER AND THE GUARANTORS HEREBY SUBMIT TO THE EXCLUSIVE JURISDICTION OF THE UNITED STATES DISTRICT COURT FOR THE SOUTHERN DISTRICT OF NEW YORK AND OF ANY NEW YORK STATE COURT SITTING IN THE COUNTY OF NEW YORK, AND OF ANY APPELLATE COURT OF ANY THEREOF FOR PURPOSES OF ALL LEGAL PROCEEDINGS ARISING OUT OF OR RELATING TO THIS AGREEMENT, THE OTHER LOAN DOCUMENTS OR THE TRANSACTIONS CONTEMPLATED HEREBY OR THEREBY, WHETHER IN LAW OR EQUITY, WHETHER IN CONTRACT OR IN TORT OR OTHERWISE. THE BORROWER AND THE GUARANTORS IRREVOCABLY WAIVE, TO THE FULLEST EXTENT PERMITTED BY LAW, ANY OBJECTION WHICH THEY MAY NOW OR HEREAFTER HAVE TO THE LAYING OF THE VENUE OF ANY SUCH PROCEEDING BROUGHT IN SUCH A COURT AND ANY CLAIM THAT ANY SUCH PROCEEDING BROUGHT IN SUCH A COURT HAS BEEN BROUGHT IN AN INCONVENIENT FORUM. EACH OF THE PARTIES HERETO AGREES THAT, TO THE EXTENT PERMITTED BY LAW, A FINAL JUDGMENT IN ANY SUCH ACTION OR PROCEEDING SHALL BE CONCLUSIVE AND MAY BE ENFORCED IN OTHER JURISDICTIONS BY SUIT ON THE JUDGMENT OR IN ANY OTHER MANNER PROVIDED BY LAW. NOTHING IN THIS AGREEMENT SHALL AFFECT ANY RIGHT THAT THE ADMINISTRATIVE AGENT OR ANY OTHER LENDER OR ANY L/C ISSUER MAY OTHERWISE HAVE TO BRING ANY ACTION OR PROCEEDING RELATING TO THIS AGREEMENT AGAINST THE BORROWER, ANY GUARANTOR OR THEIR RESPECTIVE PROPERTIES IN THE COURTS OF ANY JURISDICTION.</w:t>
      </w:r>
    </w:p>
    <w:p>
      <w:pPr>
        <w:spacing w:after="0" w:line="197" w:lineRule="exact"/>
        <w:rPr>
          <w:rFonts w:ascii="Arial" w:cs="Arial" w:eastAsia="Arial" w:hAnsi="Arial"/>
          <w:sz w:val="18"/>
          <w:szCs w:val="18"/>
          <w:color w:val="auto"/>
        </w:rPr>
      </w:pPr>
    </w:p>
    <w:p>
      <w:pPr>
        <w:ind w:left="4" w:right="60" w:firstLine="987"/>
        <w:spacing w:after="0" w:line="269" w:lineRule="auto"/>
        <w:tabs>
          <w:tab w:leader="none" w:pos="1385" w:val="left"/>
        </w:tabs>
        <w:numPr>
          <w:ilvl w:val="1"/>
          <w:numId w:val="284"/>
        </w:numPr>
        <w:rPr>
          <w:rFonts w:ascii="Arial" w:cs="Arial" w:eastAsia="Arial" w:hAnsi="Arial"/>
          <w:sz w:val="17"/>
          <w:szCs w:val="17"/>
          <w:color w:val="auto"/>
        </w:rPr>
      </w:pPr>
      <w:r>
        <w:rPr>
          <w:rFonts w:ascii="Arial" w:cs="Arial" w:eastAsia="Arial" w:hAnsi="Arial"/>
          <w:sz w:val="17"/>
          <w:szCs w:val="17"/>
          <w:color w:val="auto"/>
        </w:rPr>
        <w:t>EACH PARTY HERETO, INCLUDING THE BORROWER, THE GUARANTORS, THE ADMINISTRATIVE AGENT, THE L/C ISSUER AND THE LENDERS, HEREBY IRREVOCABLY WAIVES ANY AND ALL RIGHT TO TRIAL BY JURY IN ANY LEGAL PROCEEDING DIRECTLY OR INDIRECTLY ARISING OUT OF OR RELATING TO ANY LOAN DOCUMENT OR THE TRANSACTIONS CONTEMPLATED THEREBY (WHETHER BASED ON CONTRACT, TORT, OR ANY OTHER THEORY). EACH PARTY HERETO</w:t>
      </w:r>
    </w:p>
    <w:p>
      <w:pPr>
        <w:spacing w:after="0" w:line="1" w:lineRule="exact"/>
        <w:rPr>
          <w:rFonts w:ascii="Arial" w:cs="Arial" w:eastAsia="Arial" w:hAnsi="Arial"/>
          <w:sz w:val="17"/>
          <w:szCs w:val="17"/>
          <w:color w:val="auto"/>
        </w:rPr>
      </w:pPr>
    </w:p>
    <w:p>
      <w:pPr>
        <w:ind w:left="4" w:right="40" w:hanging="4"/>
        <w:spacing w:after="0" w:line="253" w:lineRule="auto"/>
        <w:tabs>
          <w:tab w:leader="none" w:pos="29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0" w:lineRule="exact"/>
        <w:rPr>
          <w:rFonts w:ascii="Arial" w:cs="Arial" w:eastAsia="Arial" w:hAnsi="Arial"/>
          <w:sz w:val="18"/>
          <w:szCs w:val="18"/>
          <w:color w:val="auto"/>
        </w:rPr>
      </w:pPr>
    </w:p>
    <w:p>
      <w:pPr>
        <w:ind w:left="4" w:right="80" w:firstLine="987"/>
        <w:spacing w:after="0" w:line="263" w:lineRule="auto"/>
        <w:tabs>
          <w:tab w:leader="none" w:pos="1375" w:val="left"/>
        </w:tabs>
        <w:numPr>
          <w:ilvl w:val="1"/>
          <w:numId w:val="285"/>
        </w:numPr>
        <w:rPr>
          <w:rFonts w:ascii="Arial" w:cs="Arial" w:eastAsia="Arial" w:hAnsi="Arial"/>
          <w:sz w:val="18"/>
          <w:szCs w:val="18"/>
          <w:color w:val="auto"/>
        </w:rPr>
      </w:pPr>
      <w:r>
        <w:rPr>
          <w:rFonts w:ascii="Arial" w:cs="Arial" w:eastAsia="Arial" w:hAnsi="Arial"/>
          <w:sz w:val="18"/>
          <w:szCs w:val="18"/>
          <w:color w:val="auto"/>
        </w:rPr>
        <w:t xml:space="preserve">EACH PARTY HERETO IRREVOCABLY CONSENTS TO SERVICE OF PROCESS IN THE MANNER PROVIDED FOR NOTICES IN </w:t>
      </w:r>
      <w:r>
        <w:rPr>
          <w:rFonts w:ascii="Arial" w:cs="Arial" w:eastAsia="Arial" w:hAnsi="Arial"/>
          <w:sz w:val="18"/>
          <w:szCs w:val="18"/>
          <w:u w:val="single" w:color="auto"/>
          <w:color w:val="auto"/>
        </w:rPr>
        <w:t>SECTION 13.8</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-3234055</wp:posOffset>
            </wp:positionV>
            <wp:extent cx="2857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-2685415</wp:posOffset>
            </wp:positionV>
            <wp:extent cx="28575"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-2402840</wp:posOffset>
            </wp:positionV>
            <wp:extent cx="18415"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8415" cy="8255"/>
                    </a:xfrm>
                    <a:prstGeom prst="rect">
                      <a:avLst/>
                    </a:prstGeom>
                    <a:noFill/>
                  </pic:spPr>
                </pic:pic>
              </a:graphicData>
            </a:graphic>
          </wp:anchor>
        </w:drawing>
        <w:drawing>
          <wp:anchor simplePos="0" relativeHeight="251657728" behindDoc="1" locked="0" layoutInCell="0" allowOverlap="1">
            <wp:simplePos x="0" y="0"/>
            <wp:positionH relativeFrom="column">
              <wp:posOffset>1399540</wp:posOffset>
            </wp:positionH>
            <wp:positionV relativeFrom="paragraph">
              <wp:posOffset>-216535</wp:posOffset>
            </wp:positionV>
            <wp:extent cx="28575"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964"/>
          </w:cols>
          <w:pgMar w:left="436" w:top="274" w:right="499" w:bottom="1440" w:gutter="0" w:footer="0" w:header="0"/>
        </w:sectPr>
      </w:pPr>
    </w:p>
    <w:bookmarkStart w:id="220" w:name="page221"/>
    <w:bookmarkEnd w:id="220"/>
    <w:p>
      <w:pPr>
        <w:ind w:left="4" w:right="100"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13.24 </w:t>
      </w:r>
      <w:r>
        <w:rPr>
          <w:rFonts w:ascii="Arial" w:cs="Arial" w:eastAsia="Arial" w:hAnsi="Arial"/>
          <w:sz w:val="18"/>
          <w:szCs w:val="18"/>
          <w:i w:val="1"/>
          <w:iCs w:val="1"/>
          <w:color w:val="auto"/>
        </w:rPr>
        <w:t>USA PATRIOT Act</w:t>
      </w:r>
      <w:r>
        <w:rPr>
          <w:rFonts w:ascii="Arial" w:cs="Arial" w:eastAsia="Arial" w:hAnsi="Arial"/>
          <w:sz w:val="18"/>
          <w:szCs w:val="18"/>
          <w:color w:val="auto"/>
        </w:rPr>
        <w:t>. Each Lender and the L/C Issuer that is subject to the requirements of the Uniting and Strengthening America by Providing Appropriate Tools Required to Intercept and Obstruct Terrorism Act (Title III of Pub. L. 107 56 (signed into law October 26, 2001)) (the “</w:t>
      </w:r>
      <w:r>
        <w:rPr>
          <w:rFonts w:ascii="Arial" w:cs="Arial" w:eastAsia="Arial" w:hAnsi="Arial"/>
          <w:sz w:val="18"/>
          <w:szCs w:val="18"/>
          <w:i w:val="1"/>
          <w:iCs w:val="1"/>
          <w:color w:val="auto"/>
        </w:rPr>
        <w:t>PATRIOT Act</w:t>
      </w:r>
      <w:r>
        <w:rPr>
          <w:rFonts w:ascii="Arial" w:cs="Arial" w:eastAsia="Arial" w:hAnsi="Arial"/>
          <w:sz w:val="18"/>
          <w:szCs w:val="18"/>
          <w:color w:val="auto"/>
        </w:rPr>
        <w:t xml:space="preserve">”) and the Administrative Agent (for itself and not on behalf of any Lender) hereby notifies the Borrower that pursuant to the requirements of the PATRIOT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 </w:t>
      </w:r>
      <w:r>
        <w:rPr>
          <w:rFonts w:ascii="Arial" w:cs="Arial" w:eastAsia="Arial" w:hAnsi="Arial"/>
          <w:sz w:val="18"/>
          <w:szCs w:val="18"/>
          <w:color w:val="0000E1"/>
        </w:rPr>
        <w:t>and the Beneficial Ownership</w:t>
      </w:r>
      <w:r>
        <w:rPr>
          <w:rFonts w:ascii="Arial" w:cs="Arial" w:eastAsia="Arial" w:hAnsi="Arial"/>
          <w:sz w:val="18"/>
          <w:szCs w:val="18"/>
          <w:color w:val="auto"/>
        </w:rPr>
        <w:t xml:space="preserve"> </w:t>
      </w:r>
      <w:r>
        <w:rPr>
          <w:rFonts w:ascii="Arial" w:cs="Arial" w:eastAsia="Arial" w:hAnsi="Arial"/>
          <w:sz w:val="18"/>
          <w:szCs w:val="18"/>
          <w:u w:val="single" w:color="auto"/>
          <w:color w:val="0000E1"/>
        </w:rPr>
        <w:t>Regulation</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1907540</wp:posOffset>
            </wp:positionH>
            <wp:positionV relativeFrom="paragraph">
              <wp:posOffset>-1168400</wp:posOffset>
            </wp:positionV>
            <wp:extent cx="2857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4130675</wp:posOffset>
            </wp:positionH>
            <wp:positionV relativeFrom="paragraph">
              <wp:posOffset>-894080</wp:posOffset>
            </wp:positionV>
            <wp:extent cx="28575"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-482600</wp:posOffset>
            </wp:positionV>
            <wp:extent cx="28575"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-131445</wp:posOffset>
            </wp:positionV>
            <wp:extent cx="138874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-165735</wp:posOffset>
            </wp:positionV>
            <wp:extent cx="1389380"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3893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wp:posOffset>
            </wp:positionV>
            <wp:extent cx="49720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76" w:lineRule="exact"/>
        <w:rPr>
          <w:sz w:val="20"/>
          <w:szCs w:val="20"/>
          <w:color w:val="auto"/>
        </w:rPr>
      </w:pPr>
    </w:p>
    <w:p>
      <w:pPr>
        <w:ind w:left="4" w:firstLine="440"/>
        <w:spacing w:after="0" w:line="282" w:lineRule="auto"/>
        <w:rPr>
          <w:sz w:val="20"/>
          <w:szCs w:val="20"/>
          <w:color w:val="auto"/>
        </w:rPr>
      </w:pPr>
      <w:r>
        <w:rPr>
          <w:rFonts w:ascii="Arial" w:cs="Arial" w:eastAsia="Arial" w:hAnsi="Arial"/>
          <w:sz w:val="16"/>
          <w:szCs w:val="16"/>
          <w:color w:val="auto"/>
        </w:rPr>
        <w:t xml:space="preserve">Section 13.25 </w:t>
      </w:r>
      <w:r>
        <w:rPr>
          <w:rFonts w:ascii="Arial" w:cs="Arial" w:eastAsia="Arial" w:hAnsi="Arial"/>
          <w:sz w:val="16"/>
          <w:szCs w:val="16"/>
          <w:i w:val="1"/>
          <w:iCs w:val="1"/>
          <w:color w:val="auto"/>
        </w:rPr>
        <w:t>Confidentiality</w:t>
      </w:r>
      <w:r>
        <w:rPr>
          <w:rFonts w:ascii="Arial" w:cs="Arial" w:eastAsia="Arial" w:hAnsi="Arial"/>
          <w:sz w:val="16"/>
          <w:szCs w:val="16"/>
          <w:color w:val="auto"/>
        </w:rPr>
        <w:t>. Each of the Administrative Agent, the Lenders and the L/C Issuer agrees to maintain the confidentiality of the Information (as defined below), except that Information may be disclosed (other than to any Disqualified Institution) (a) to its and its Affiliates’ directors, officers and employees (the “</w:t>
      </w:r>
      <w:r>
        <w:rPr>
          <w:rFonts w:ascii="Arial" w:cs="Arial" w:eastAsia="Arial" w:hAnsi="Arial"/>
          <w:sz w:val="16"/>
          <w:szCs w:val="16"/>
          <w:i w:val="1"/>
          <w:iCs w:val="1"/>
          <w:color w:val="auto"/>
        </w:rPr>
        <w:t>Representatives</w:t>
      </w:r>
      <w:r>
        <w:rPr>
          <w:rFonts w:ascii="Arial" w:cs="Arial" w:eastAsia="Arial" w:hAnsi="Arial"/>
          <w:sz w:val="16"/>
          <w:szCs w:val="16"/>
          <w:color w:val="auto"/>
        </w:rPr>
        <w:t xml:space="preserve">”) and agents, including accountants, legal counsel and other advisors on a “need to know” basis (it being understood that (i) the Persons to whom such disclosure is made will first be informed of the confidential nature of such Information and instructed to keep such Information confidential and, to the extent customary for a Person in such position to do so, such Person shall have agreed to keep such Information confidential and (ii) the Person making disclosure pursuant to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be responsible for the compliance by such Person’s Representatives having received such disclosure with the requirements of this </w:t>
      </w:r>
      <w:r>
        <w:rPr>
          <w:rFonts w:ascii="Arial" w:cs="Arial" w:eastAsia="Arial" w:hAnsi="Arial"/>
          <w:sz w:val="16"/>
          <w:szCs w:val="16"/>
          <w:u w:val="single" w:color="auto"/>
          <w:color w:val="auto"/>
        </w:rPr>
        <w:t>Section 13.25</w:t>
      </w:r>
      <w:r>
        <w:rPr>
          <w:rFonts w:ascii="Arial" w:cs="Arial" w:eastAsia="Arial" w:hAnsi="Arial"/>
          <w:sz w:val="16"/>
          <w:szCs w:val="16"/>
          <w:color w:val="auto"/>
        </w:rPr>
        <w:t xml:space="preserve">), (b) to the extent requested by any regulatory authority (including any self-regulatory authority, such as the National Association of Insurance Commissioners);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 long as it is not prohibited, the disclosing party shall provide prompt written notice of such to the Borrower, (c) to the extent required by applicable laws or regulations or by any subpoena or similar legal process;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 long as it is not prohibited, the disclosing party shall provide prompt written notice of such to the Borrower, (d) to any other party hereto, (e) in connection with the exercise of any remedies hereunder or under any other Loan Document or any suit, action or proceeding relating to this Agreement or any other Loan Document or the enforcement of rights hereunder or thereunder, (f) to (A) any assignee of or participant in, or any prospective assignee of or participant in, any of its rights or obligations under this Agreement or (B) any actual or prospective counterparty (or its Representatives and legal counsel) to any swap or derivative transaction relating to the Borrower or any Subsidiary and its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disclosure of any such Information pursuant to this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shall be made subject to the acknowledgment and acceptance by such assignee or prospective assignee or participant or prospective participant or actual or prospective counterparty that such information is being disseminated on a confidential basis (on substantially the terms set forth in this paragraph or as is otherwise reasonably acceptable to the Borrower and the Administrative Agent) in accordance with the standard practices of the Administrative Agent or market standards for dissemination of such type of Information, which shall in any event require “click through” or other affirmative action on the part of the recipient to access such Information and acknowledge its confidentiality obligations in respect thereof, (g) with the prior written consent of the Borrower, (h) to the extent such Information becomes publicly available other than as a result of a breach of this </w:t>
      </w:r>
      <w:r>
        <w:rPr>
          <w:rFonts w:ascii="Arial" w:cs="Arial" w:eastAsia="Arial" w:hAnsi="Arial"/>
          <w:sz w:val="16"/>
          <w:szCs w:val="16"/>
          <w:u w:val="single" w:color="auto"/>
          <w:color w:val="auto"/>
        </w:rPr>
        <w:t>Section 13.25</w:t>
      </w:r>
      <w:r>
        <w:rPr>
          <w:rFonts w:ascii="Arial" w:cs="Arial" w:eastAsia="Arial" w:hAnsi="Arial"/>
          <w:sz w:val="16"/>
          <w:szCs w:val="16"/>
          <w:color w:val="auto"/>
        </w:rPr>
        <w:t xml:space="preserve">, (i) to the extent such Information becomes available to the Administrative Agent, any Lender, the L/C Issuer or any of their respective Affiliates on a non-confidential basis from a source other than the Borrower, other than as a result of a breach of this </w:t>
      </w:r>
      <w:r>
        <w:rPr>
          <w:rFonts w:ascii="Arial" w:cs="Arial" w:eastAsia="Arial" w:hAnsi="Arial"/>
          <w:sz w:val="16"/>
          <w:szCs w:val="16"/>
          <w:u w:val="single" w:color="auto"/>
          <w:color w:val="auto"/>
        </w:rPr>
        <w:t>Section 13.25</w:t>
      </w:r>
      <w:r>
        <w:rPr>
          <w:rFonts w:ascii="Arial" w:cs="Arial" w:eastAsia="Arial" w:hAnsi="Arial"/>
          <w:sz w:val="16"/>
          <w:szCs w:val="16"/>
          <w:color w:val="auto"/>
        </w:rPr>
        <w:t>; (j) to (x) rating agencies if requested or required by such agencies in connection with a rating relating to the Loans or Commitments hereunder or the Borrower or Holdings or any Guarantor or (y) the CUSIP Service Bureau of similar agency in connection with the issuance and monitoring of CUSIP numbers or other market identifiers with respect to the credit facilities provided hereunder,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-3353435</wp:posOffset>
            </wp:positionV>
            <wp:extent cx="28575"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4" w:right="440" w:hanging="4"/>
        <w:spacing w:after="0" w:line="260" w:lineRule="auto"/>
        <w:tabs>
          <w:tab w:leader="none" w:pos="259"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to entities which compile and publish information about the syndicated loan market;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only basic information about the pricing and structure of the transaction evidenced hereby</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0984"/>
          </w:cols>
          <w:pgMar w:left="436" w:top="274" w:right="479" w:bottom="1440" w:gutter="0" w:footer="0" w:header="0"/>
        </w:sectPr>
      </w:pPr>
    </w:p>
    <w:bookmarkStart w:id="221" w:name="page222"/>
    <w:bookmarkEnd w:id="221"/>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may be disclosed pursuant to this </w:t>
      </w:r>
      <w:r>
        <w:rPr>
          <w:rFonts w:ascii="Arial" w:cs="Arial" w:eastAsia="Arial" w:hAnsi="Arial"/>
          <w:sz w:val="16"/>
          <w:szCs w:val="16"/>
          <w:u w:val="single" w:color="auto"/>
          <w:color w:val="auto"/>
        </w:rPr>
        <w:t>subsection (k)</w:t>
      </w:r>
      <w:r>
        <w:rPr>
          <w:rFonts w:ascii="Arial" w:cs="Arial" w:eastAsia="Arial" w:hAnsi="Arial"/>
          <w:sz w:val="16"/>
          <w:szCs w:val="16"/>
          <w:color w:val="auto"/>
        </w:rPr>
        <w:t>. In addition, the Administrative Agent and the Lenders may disclose the existence of this Agreement and information about this Agreement to market data collectors, similar service providers to the lending industry and service providers to the Agents and the Lenders in connection with the administration of this Agreement, the other Loan Documents and the Commitments. For purposes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2221230</wp:posOffset>
            </wp:positionH>
            <wp:positionV relativeFrom="paragraph">
              <wp:posOffset>-340995</wp:posOffset>
            </wp:positionV>
            <wp:extent cx="28575"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-66675</wp:posOffset>
            </wp:positionV>
            <wp:extent cx="28575"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left="4" w:right="40"/>
        <w:spacing w:after="0" w:line="269" w:lineRule="auto"/>
        <w:rPr>
          <w:sz w:val="20"/>
          <w:szCs w:val="20"/>
          <w:color w:val="auto"/>
        </w:rPr>
      </w:pPr>
      <w:r>
        <w:rPr>
          <w:rFonts w:ascii="Arial" w:cs="Arial" w:eastAsia="Arial" w:hAnsi="Arial"/>
          <w:sz w:val="17"/>
          <w:szCs w:val="17"/>
          <w:u w:val="single" w:color="auto"/>
          <w:color w:val="auto"/>
        </w:rPr>
        <w:t>Section 13.25</w:t>
      </w:r>
      <w:r>
        <w:rPr>
          <w:rFonts w:ascii="Arial" w:cs="Arial" w:eastAsia="Arial" w:hAnsi="Arial"/>
          <w:sz w:val="17"/>
          <w:szCs w:val="17"/>
          <w:color w:val="auto"/>
        </w:rPr>
        <w:t>, “</w:t>
      </w:r>
      <w:r>
        <w:rPr>
          <w:rFonts w:ascii="Arial" w:cs="Arial" w:eastAsia="Arial" w:hAnsi="Arial"/>
          <w:sz w:val="17"/>
          <w:szCs w:val="17"/>
          <w:i w:val="1"/>
          <w:iCs w:val="1"/>
          <w:color w:val="auto"/>
        </w:rPr>
        <w:t>Information</w:t>
      </w:r>
      <w:r>
        <w:rPr>
          <w:rFonts w:ascii="Arial" w:cs="Arial" w:eastAsia="Arial" w:hAnsi="Arial"/>
          <w:sz w:val="17"/>
          <w:szCs w:val="17"/>
          <w:color w:val="auto"/>
        </w:rPr>
        <w:t>” means all information received from Holdings, any of its Subsidiaries (including its Unrestricted Subsidiaries) or from any other Person on behalf of Holdings or any of its Subsidiaries (including its Unrestricted Subsidiaries) relating to Holdings or any of its Subsidiaries (including its Unrestricted Subsidiaries) or any of their respective businesses, other than any such information that is available to the Administrative Agent, any Lender or the L/C Issuer on a non-confidential basis prior to disclosure by Holdings or any of its Subsidiaries or from any other Person on behalf of Holdings or any of its Subsidiaries. Any Person required to maintain the confidentiality of Information as provided in this Section shall be considered to have complied with its obligations to do so if such Person has exercised the same degree of care to maintain the confidentiality of such Information as such Person would accord to its own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2049780</wp:posOffset>
            </wp:positionH>
            <wp:positionV relativeFrom="paragraph">
              <wp:posOffset>-356235</wp:posOffset>
            </wp:positionV>
            <wp:extent cx="28575"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0" w:lineRule="exact"/>
        <w:rPr>
          <w:sz w:val="20"/>
          <w:szCs w:val="20"/>
          <w:color w:val="auto"/>
        </w:rPr>
      </w:pPr>
    </w:p>
    <w:p>
      <w:pPr>
        <w:ind w:left="4" w:right="100" w:firstLine="440"/>
        <w:spacing w:after="0" w:line="284" w:lineRule="auto"/>
        <w:rPr>
          <w:sz w:val="20"/>
          <w:szCs w:val="20"/>
          <w:color w:val="auto"/>
        </w:rPr>
      </w:pPr>
      <w:r>
        <w:rPr>
          <w:rFonts w:ascii="Arial" w:cs="Arial" w:eastAsia="Arial" w:hAnsi="Arial"/>
          <w:sz w:val="16"/>
          <w:szCs w:val="16"/>
          <w:color w:val="auto"/>
        </w:rPr>
        <w:t xml:space="preserve">Section 13.26 </w:t>
      </w:r>
      <w:r>
        <w:rPr>
          <w:rFonts w:ascii="Arial" w:cs="Arial" w:eastAsia="Arial" w:hAnsi="Arial"/>
          <w:sz w:val="16"/>
          <w:szCs w:val="16"/>
          <w:i w:val="1"/>
          <w:iCs w:val="1"/>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(i) (A) the arranging and other services regarding this Agreement provided by the Administrative Agent, the Arrangers and the Lenders are arm’s-length commercial transactions between the Borrower, each other Loan Party and their respective Affiliates, on the one hand, and the Administrative Agent, the Arrangers and the Lenders, on the other hand, (B) each of the Borrower and the other Loan Parties has consulted its own legal, accounting, regulatory and tax advisors to the extent it has deemed appropriate,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-751205</wp:posOffset>
            </wp:positionV>
            <wp:extent cx="28575"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4" w:right="80" w:hanging="4"/>
        <w:spacing w:after="0" w:line="267" w:lineRule="auto"/>
        <w:tabs>
          <w:tab w:leader="none" w:pos="289"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 Borrower and each other Loan Party is capable of evaluating, and understands and accepts, the terms, risks and conditions of the transactions contemplated hereby and by the other Loan Documents; (ii) (A) the Administrative Agent, the Arrangers and each Lender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 the Arrangers nor any Lender has any obligation to the Borrower, any other Loan Party or any of their respective Affiliates with respect to the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the Borrower, the other Loan Parties and their respective Affiliates, and neither the Administrative Agent, any Arranger nor any Lender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the Arrangers or any Lender with respect to any breach or alleged breach of agency or fiduciary duty in connection with any aspect of any transaction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5358765</wp:posOffset>
            </wp:positionH>
            <wp:positionV relativeFrom="paragraph">
              <wp:posOffset>-490855</wp:posOffset>
            </wp:positionV>
            <wp:extent cx="28575"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4"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Section 13.27 </w:t>
      </w:r>
      <w:r>
        <w:rPr>
          <w:rFonts w:ascii="Arial" w:cs="Arial" w:eastAsia="Arial" w:hAnsi="Arial"/>
          <w:sz w:val="18"/>
          <w:szCs w:val="18"/>
          <w:i w:val="1"/>
          <w:iCs w:val="1"/>
          <w:color w:val="auto"/>
        </w:rPr>
        <w:t>Electronic Execution of Assignments and Certain Other Documents</w:t>
      </w:r>
      <w:r>
        <w:rPr>
          <w:rFonts w:ascii="Arial" w:cs="Arial" w:eastAsia="Arial" w:hAnsi="Arial"/>
          <w:sz w:val="18"/>
          <w:szCs w:val="18"/>
          <w:color w:val="auto"/>
        </w:rPr>
        <w:t>. The words “execute,” “execution,” “signed,” “signature,” and words of like import in or related to any document to be signed in connection with this Agreement and the transactions contemplated hereby (including without limitation Assignment and Assumptions, amendments or other modifications, Committed Loan Notices, Swing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4140200</wp:posOffset>
            </wp:positionH>
            <wp:positionV relativeFrom="paragraph">
              <wp:posOffset>-895350</wp:posOffset>
            </wp:positionV>
            <wp:extent cx="2857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04"/>
          </w:cols>
          <w:pgMar w:left="436" w:top="274" w:right="459" w:bottom="1440" w:gutter="0" w:footer="0" w:header="0"/>
        </w:sectPr>
      </w:pPr>
    </w:p>
    <w:bookmarkStart w:id="222" w:name="page223"/>
    <w:bookmarkEnd w:id="222"/>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r>
        <w:rPr>
          <w:rFonts w:ascii="Arial" w:cs="Arial" w:eastAsia="Arial" w:hAnsi="Arial"/>
          <w:sz w:val="17"/>
          <w:szCs w:val="17"/>
          <w:i w:val="1"/>
          <w:iCs w:val="1"/>
          <w:color w:val="auto"/>
        </w:rPr>
        <w:t>provided further</w:t>
      </w:r>
      <w:r>
        <w:rPr>
          <w:rFonts w:ascii="Arial" w:cs="Arial" w:eastAsia="Arial" w:hAnsi="Arial"/>
          <w:sz w:val="17"/>
          <w:szCs w:val="17"/>
          <w:color w:val="auto"/>
        </w:rPr>
        <w:t>, that without limiting the foregoing, upon the request of the Administrative Agent, any electronic signature shall be promptly followed by such manually executed counterpart.</w:t>
      </w:r>
    </w:p>
    <w:p>
      <w:pPr>
        <w:spacing w:after="0" w:line="176"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 xml:space="preserve">Section 13.28 </w:t>
      </w:r>
      <w:r>
        <w:rPr>
          <w:rFonts w:ascii="Arial" w:cs="Arial" w:eastAsia="Arial" w:hAnsi="Arial"/>
          <w:sz w:val="16"/>
          <w:szCs w:val="16"/>
          <w:i w:val="1"/>
          <w:iCs w:val="1"/>
          <w:color w:val="auto"/>
        </w:rPr>
        <w:t>Acknowledgement and Consent to Bail-In of</w:t>
      </w:r>
      <w:r>
        <w:rPr>
          <w:rFonts w:ascii="Arial" w:cs="Arial" w:eastAsia="Arial" w:hAnsi="Arial"/>
          <w:sz w:val="16"/>
          <w:szCs w:val="16"/>
          <w:color w:val="auto"/>
        </w:rPr>
        <w:t xml:space="preserve"> </w:t>
      </w:r>
      <w:r>
        <w:rPr>
          <w:rFonts w:ascii="Arial" w:cs="Arial" w:eastAsia="Arial" w:hAnsi="Arial"/>
          <w:sz w:val="16"/>
          <w:szCs w:val="16"/>
          <w:i w:val="1"/>
          <w:iCs w:val="1"/>
          <w:color w:val="FF0000"/>
          <w:strike w:val="1"/>
        </w:rPr>
        <w:t>EEA</w:t>
      </w:r>
      <w:r>
        <w:rPr>
          <w:rFonts w:ascii="Arial" w:cs="Arial" w:eastAsia="Arial" w:hAnsi="Arial"/>
          <w:sz w:val="16"/>
          <w:szCs w:val="16"/>
          <w:i w:val="1"/>
          <w:iCs w:val="1"/>
          <w:u w:val="single" w:color="auto"/>
          <w:color w:val="0000E1"/>
        </w:rPr>
        <w:t>Affected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Institutions.</w:t>
      </w:r>
      <w:r>
        <w:rPr>
          <w:rFonts w:ascii="Arial" w:cs="Arial" w:eastAsia="Arial" w:hAnsi="Arial"/>
          <w:sz w:val="16"/>
          <w:szCs w:val="16"/>
          <w:color w:val="auto"/>
        </w:rPr>
        <w:t xml:space="preserve"> Notwithstanding anything to the contrary in any Loan Document or in any other agreement, arrangement or understanding among any such parties, each party hereto acknowledges that any liability of any </w:t>
      </w:r>
      <w:r>
        <w:rPr>
          <w:rFonts w:ascii="Arial" w:cs="Arial" w:eastAsia="Arial" w:hAnsi="Arial"/>
          <w:sz w:val="16"/>
          <w:szCs w:val="16"/>
          <w:color w:val="FF0000"/>
          <w:strike w:val="1"/>
        </w:rPr>
        <w:t>EEA</w:t>
      </w:r>
      <w:r>
        <w:rPr>
          <w:rFonts w:ascii="Arial" w:cs="Arial" w:eastAsia="Arial" w:hAnsi="Arial"/>
          <w:sz w:val="16"/>
          <w:szCs w:val="16"/>
          <w:u w:val="single" w:color="auto"/>
          <w:color w:val="0000E1"/>
        </w:rPr>
        <w:t>Affected</w:t>
      </w:r>
      <w:r>
        <w:rPr>
          <w:rFonts w:ascii="Arial" w:cs="Arial" w:eastAsia="Arial" w:hAnsi="Arial"/>
          <w:sz w:val="16"/>
          <w:szCs w:val="16"/>
          <w:color w:val="auto"/>
        </w:rPr>
        <w:t xml:space="preserve"> Financial Institution arising under any Loan Document, to the extent such liability is unsecured, may be subject to Write-Down and Conversion Powers of </w:t>
      </w:r>
      <w:r>
        <w:rPr>
          <w:rFonts w:ascii="Arial" w:cs="Arial" w:eastAsia="Arial" w:hAnsi="Arial"/>
          <w:sz w:val="16"/>
          <w:szCs w:val="16"/>
          <w:color w:val="FF0000"/>
          <w:strike w:val="1"/>
        </w:rPr>
        <w:t>an EEA</w:t>
      </w:r>
      <w:r>
        <w:rPr>
          <w:rFonts w:ascii="Arial" w:cs="Arial" w:eastAsia="Arial" w:hAnsi="Arial"/>
          <w:sz w:val="16"/>
          <w:szCs w:val="16"/>
          <w:u w:val="single" w:color="auto"/>
          <w:color w:val="0000E1"/>
        </w:rPr>
        <w:t>the applicable</w:t>
      </w:r>
      <w:r>
        <w:rPr>
          <w:rFonts w:ascii="Arial" w:cs="Arial" w:eastAsia="Arial" w:hAnsi="Arial"/>
          <w:sz w:val="16"/>
          <w:szCs w:val="16"/>
          <w:color w:val="auto"/>
        </w:rPr>
        <w:t xml:space="preserve"> Resolution Authority and agrees and consents to, and acknowledges and agrees to be bound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-430530</wp:posOffset>
            </wp:positionV>
            <wp:extent cx="368300"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-156210</wp:posOffset>
            </wp:positionV>
            <wp:extent cx="40259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402590" cy="8890"/>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-19050</wp:posOffset>
            </wp:positionV>
            <wp:extent cx="63436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37" w:lineRule="exact"/>
        <w:rPr>
          <w:sz w:val="20"/>
          <w:szCs w:val="20"/>
          <w:color w:val="auto"/>
        </w:rPr>
      </w:pPr>
    </w:p>
    <w:p>
      <w:pPr>
        <w:ind w:right="320" w:firstLine="987"/>
        <w:spacing w:after="0" w:line="277" w:lineRule="auto"/>
        <w:tabs>
          <w:tab w:leader="none" w:pos="137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the application of any Write-Down and Conversion Powers by </w:t>
      </w:r>
      <w:r>
        <w:rPr>
          <w:rFonts w:ascii="Arial" w:cs="Arial" w:eastAsia="Arial" w:hAnsi="Arial"/>
          <w:sz w:val="18"/>
          <w:szCs w:val="18"/>
          <w:color w:val="FF0000"/>
          <w:strike w:val="1"/>
        </w:rPr>
        <w:t>an EEA</w:t>
      </w:r>
      <w:r>
        <w:rPr>
          <w:rFonts w:ascii="Arial" w:cs="Arial" w:eastAsia="Arial" w:hAnsi="Arial"/>
          <w:sz w:val="18"/>
          <w:szCs w:val="18"/>
          <w:u w:val="single" w:color="auto"/>
          <w:color w:val="0000E1"/>
        </w:rPr>
        <w:t>the applicable</w:t>
      </w:r>
      <w:r>
        <w:rPr>
          <w:rFonts w:ascii="Arial" w:cs="Arial" w:eastAsia="Arial" w:hAnsi="Arial"/>
          <w:sz w:val="18"/>
          <w:szCs w:val="18"/>
          <w:color w:val="auto"/>
        </w:rPr>
        <w:t xml:space="preserve"> Resolution Authority to any such liabilities arising hereunder which may be payable to it by any Lender that is an </w:t>
      </w:r>
      <w:r>
        <w:rPr>
          <w:rFonts w:ascii="Arial" w:cs="Arial" w:eastAsia="Arial" w:hAnsi="Arial"/>
          <w:sz w:val="18"/>
          <w:szCs w:val="18"/>
          <w:color w:val="FF0000"/>
          <w:strike w:val="1"/>
        </w:rPr>
        <w:t>EEA</w:t>
      </w:r>
      <w:r>
        <w:rPr>
          <w:rFonts w:ascii="Arial" w:cs="Arial" w:eastAsia="Arial" w:hAnsi="Arial"/>
          <w:sz w:val="18"/>
          <w:szCs w:val="18"/>
          <w:u w:val="single" w:color="auto"/>
          <w:color w:val="0000E1"/>
        </w:rPr>
        <w:t>Affected</w:t>
      </w:r>
      <w:r>
        <w:rPr>
          <w:rFonts w:ascii="Arial" w:cs="Arial" w:eastAsia="Arial" w:hAnsi="Arial"/>
          <w:sz w:val="18"/>
          <w:szCs w:val="18"/>
          <w:color w:val="auto"/>
        </w:rPr>
        <w:t xml:space="preserve"> Financial Institution; and</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780" w:hanging="352"/>
        <w:spacing w:after="0"/>
        <w:tabs>
          <w:tab w:leader="none" w:pos="1780" w:val="left"/>
        </w:tabs>
        <w:numPr>
          <w:ilvl w:val="1"/>
          <w:numId w:val="288"/>
        </w:numPr>
        <w:rPr>
          <w:rFonts w:ascii="Arial" w:cs="Arial" w:eastAsia="Arial" w:hAnsi="Arial"/>
          <w:sz w:val="18"/>
          <w:szCs w:val="18"/>
          <w:u w:val="single" w:color="auto"/>
          <w:color w:val="0000E1"/>
        </w:rPr>
      </w:pPr>
      <w:r>
        <w:rPr>
          <w:rFonts w:ascii="Arial" w:cs="Arial" w:eastAsia="Arial" w:hAnsi="Arial"/>
          <w:sz w:val="18"/>
          <w:szCs w:val="18"/>
          <w:color w:val="FF0000"/>
          <w:strike w:val="1"/>
        </w:rPr>
        <w:t>(c)</w:t>
      </w:r>
      <w:r>
        <w:rPr>
          <w:rFonts w:ascii="Arial" w:cs="Arial" w:eastAsia="Arial" w:hAnsi="Arial"/>
          <w:sz w:val="18"/>
          <w:szCs w:val="18"/>
          <w:color w:val="FF0000"/>
        </w:rPr>
        <w:t xml:space="preserve"> </w:t>
      </w:r>
      <w:r>
        <w:rPr>
          <w:rFonts w:ascii="Arial" w:cs="Arial" w:eastAsia="Arial" w:hAnsi="Arial"/>
          <w:sz w:val="18"/>
          <w:szCs w:val="18"/>
          <w:color w:val="000000"/>
        </w:rPr>
        <w:t>a reduction in full or in part or cancellation of any such liability;</w:t>
      </w:r>
    </w:p>
    <w:p>
      <w:pPr>
        <w:spacing w:after="0" w:line="225" w:lineRule="exact"/>
        <w:rPr>
          <w:rFonts w:ascii="Arial" w:cs="Arial" w:eastAsia="Arial" w:hAnsi="Arial"/>
          <w:sz w:val="18"/>
          <w:szCs w:val="18"/>
          <w:u w:val="single" w:color="auto"/>
          <w:color w:val="0000E1"/>
        </w:rPr>
      </w:pPr>
    </w:p>
    <w:p>
      <w:pPr>
        <w:ind w:right="300" w:firstLine="1428"/>
        <w:spacing w:after="0" w:line="259" w:lineRule="auto"/>
        <w:tabs>
          <w:tab w:leader="none" w:pos="1832" w:val="left"/>
        </w:tabs>
        <w:numPr>
          <w:ilvl w:val="1"/>
          <w:numId w:val="288"/>
        </w:numPr>
        <w:rPr>
          <w:rFonts w:ascii="Arial" w:cs="Arial" w:eastAsia="Arial" w:hAnsi="Arial"/>
          <w:sz w:val="18"/>
          <w:szCs w:val="18"/>
          <w:u w:val="single" w:color="auto"/>
          <w:color w:val="0000E1"/>
        </w:rPr>
      </w:pPr>
      <w:r>
        <w:rPr>
          <w:rFonts w:ascii="Arial" w:cs="Arial" w:eastAsia="Arial" w:hAnsi="Arial"/>
          <w:sz w:val="18"/>
          <w:szCs w:val="18"/>
          <w:color w:val="FF0000"/>
          <w:strike w:val="1"/>
        </w:rPr>
        <w:t>(d)</w:t>
      </w:r>
      <w:r>
        <w:rPr>
          <w:rFonts w:ascii="Arial" w:cs="Arial" w:eastAsia="Arial" w:hAnsi="Arial"/>
          <w:sz w:val="18"/>
          <w:szCs w:val="18"/>
          <w:color w:val="FF0000"/>
        </w:rPr>
        <w:t xml:space="preserve"> </w:t>
      </w:r>
      <w:r>
        <w:rPr>
          <w:rFonts w:ascii="Arial" w:cs="Arial" w:eastAsia="Arial" w:hAnsi="Arial"/>
          <w:sz w:val="18"/>
          <w:szCs w:val="18"/>
          <w:color w:val="000000"/>
        </w:rPr>
        <w:t>a conversion of all, or a portion of, such liability into shares or other instruments of ownership in such</w:t>
      </w:r>
      <w:r>
        <w:rPr>
          <w:rFonts w:ascii="Arial" w:cs="Arial" w:eastAsia="Arial" w:hAnsi="Arial"/>
          <w:sz w:val="18"/>
          <w:szCs w:val="18"/>
          <w:color w:val="FF0000"/>
        </w:rPr>
        <w:t xml:space="preserve"> </w:t>
      </w:r>
      <w:r>
        <w:rPr>
          <w:rFonts w:ascii="Arial" w:cs="Arial" w:eastAsia="Arial" w:hAnsi="Arial"/>
          <w:sz w:val="18"/>
          <w:szCs w:val="18"/>
          <w:color w:val="FF0000"/>
          <w:strike w:val="1"/>
        </w:rPr>
        <w:t>EEA</w:t>
      </w:r>
      <w:r>
        <w:rPr>
          <w:rFonts w:ascii="Arial" w:cs="Arial" w:eastAsia="Arial" w:hAnsi="Arial"/>
          <w:sz w:val="18"/>
          <w:szCs w:val="18"/>
          <w:u w:val="single" w:color="auto"/>
          <w:color w:val="0000E1"/>
        </w:rPr>
        <w:t>Affected</w:t>
      </w:r>
      <w:r>
        <w:rPr>
          <w:rFonts w:ascii="Arial" w:cs="Arial" w:eastAsia="Arial" w:hAnsi="Arial"/>
          <w:sz w:val="18"/>
          <w:szCs w:val="18"/>
          <w:color w:val="FF0000"/>
        </w:rPr>
        <w:t xml:space="preserve"> </w:t>
      </w:r>
      <w:r>
        <w:rPr>
          <w:rFonts w:ascii="Arial" w:cs="Arial" w:eastAsia="Arial" w:hAnsi="Arial"/>
          <w:sz w:val="18"/>
          <w:szCs w:val="18"/>
          <w:color w:val="000000"/>
        </w:rPr>
        <w:t>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u w:val="single" w:color="auto"/>
          <w:color w:val="0000E1"/>
        </w:rPr>
      </w:pPr>
    </w:p>
    <w:p>
      <w:pPr>
        <w:ind w:right="160" w:firstLine="1428"/>
        <w:spacing w:after="0" w:line="277" w:lineRule="auto"/>
        <w:tabs>
          <w:tab w:leader="none" w:pos="1927" w:val="left"/>
        </w:tabs>
        <w:numPr>
          <w:ilvl w:val="1"/>
          <w:numId w:val="288"/>
        </w:numPr>
        <w:rPr>
          <w:rFonts w:ascii="Arial" w:cs="Arial" w:eastAsia="Arial" w:hAnsi="Arial"/>
          <w:sz w:val="18"/>
          <w:szCs w:val="18"/>
          <w:u w:val="single" w:color="auto"/>
          <w:color w:val="0000E1"/>
        </w:rPr>
      </w:pPr>
      <w:r>
        <w:rPr>
          <w:rFonts w:ascii="Arial" w:cs="Arial" w:eastAsia="Arial" w:hAnsi="Arial"/>
          <w:sz w:val="18"/>
          <w:szCs w:val="18"/>
          <w:color w:val="FF0000"/>
          <w:strike w:val="1"/>
        </w:rPr>
        <w:t>(e)</w:t>
      </w:r>
      <w:r>
        <w:rPr>
          <w:rFonts w:ascii="Arial" w:cs="Arial" w:eastAsia="Arial" w:hAnsi="Arial"/>
          <w:sz w:val="18"/>
          <w:szCs w:val="18"/>
          <w:color w:val="FF0000"/>
        </w:rPr>
        <w:t xml:space="preserve"> </w:t>
      </w:r>
      <w:r>
        <w:rPr>
          <w:rFonts w:ascii="Arial" w:cs="Arial" w:eastAsia="Arial" w:hAnsi="Arial"/>
          <w:sz w:val="18"/>
          <w:szCs w:val="18"/>
          <w:color w:val="000000"/>
        </w:rPr>
        <w:t>the variation of the terms of such liability in connection with the exercise of the Write-Down and Conversion Powers of</w:t>
      </w:r>
      <w:r>
        <w:rPr>
          <w:rFonts w:ascii="Arial" w:cs="Arial" w:eastAsia="Arial" w:hAnsi="Arial"/>
          <w:sz w:val="18"/>
          <w:szCs w:val="18"/>
          <w:color w:val="FF0000"/>
        </w:rPr>
        <w:t xml:space="preserve"> </w:t>
      </w:r>
      <w:r>
        <w:rPr>
          <w:rFonts w:ascii="Arial" w:cs="Arial" w:eastAsia="Arial" w:hAnsi="Arial"/>
          <w:sz w:val="18"/>
          <w:szCs w:val="18"/>
          <w:color w:val="FF0000"/>
          <w:strike w:val="1"/>
        </w:rPr>
        <w:t>any EEA</w:t>
      </w:r>
      <w:r>
        <w:rPr>
          <w:rFonts w:ascii="Arial" w:cs="Arial" w:eastAsia="Arial" w:hAnsi="Arial"/>
          <w:sz w:val="18"/>
          <w:szCs w:val="18"/>
          <w:u w:val="single" w:color="auto"/>
          <w:color w:val="0000E1"/>
        </w:rPr>
        <w:t>the applicable</w:t>
      </w:r>
      <w:r>
        <w:rPr>
          <w:rFonts w:ascii="Arial" w:cs="Arial" w:eastAsia="Arial" w:hAnsi="Arial"/>
          <w:sz w:val="18"/>
          <w:szCs w:val="18"/>
          <w:color w:val="FF0000"/>
        </w:rPr>
        <w:t xml:space="preserve"> </w:t>
      </w:r>
      <w:r>
        <w:rPr>
          <w:rFonts w:ascii="Arial" w:cs="Arial" w:eastAsia="Arial" w:hAnsi="Arial"/>
          <w:sz w:val="18"/>
          <w:szCs w:val="18"/>
          <w:color w:val="000000"/>
        </w:rPr>
        <w:t>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4103370</wp:posOffset>
            </wp:positionH>
            <wp:positionV relativeFrom="paragraph">
              <wp:posOffset>-1793875</wp:posOffset>
            </wp:positionV>
            <wp:extent cx="643255"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-1656715</wp:posOffset>
            </wp:positionV>
            <wp:extent cx="402590"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-1108075</wp:posOffset>
            </wp:positionV>
            <wp:extent cx="111760"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-833755</wp:posOffset>
            </wp:positionV>
            <wp:extent cx="137160"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-833755</wp:posOffset>
            </wp:positionV>
            <wp:extent cx="394335"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-147955</wp:posOffset>
            </wp:positionV>
            <wp:extent cx="171450"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-10795</wp:posOffset>
            </wp:positionV>
            <wp:extent cx="642620"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258"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13.29</w:t>
      </w:r>
      <w:r>
        <w:rPr>
          <w:sz w:val="20"/>
          <w:szCs w:val="20"/>
          <w:color w:val="auto"/>
        </w:rPr>
        <w:tab/>
      </w:r>
      <w:r>
        <w:rPr>
          <w:rFonts w:ascii="Arial" w:cs="Arial" w:eastAsia="Arial" w:hAnsi="Arial"/>
          <w:sz w:val="15"/>
          <w:szCs w:val="15"/>
          <w:i w:val="1"/>
          <w:iCs w:val="1"/>
          <w:color w:val="auto"/>
        </w:rPr>
        <w:t>Effect on Amendment and Restatement</w:t>
      </w:r>
      <w:r>
        <w:rPr>
          <w:rFonts w:ascii="Arial" w:cs="Arial" w:eastAsia="Arial" w:hAnsi="Arial"/>
          <w:sz w:val="15"/>
          <w:szCs w:val="15"/>
          <w:color w:val="auto"/>
        </w:rPr>
        <w:t>.</w:t>
      </w:r>
    </w:p>
    <w:p>
      <w:pPr>
        <w:spacing w:after="0" w:line="117" w:lineRule="exact"/>
        <w:rPr>
          <w:sz w:val="20"/>
          <w:szCs w:val="20"/>
          <w:color w:val="auto"/>
        </w:rPr>
      </w:pPr>
    </w:p>
    <w:p>
      <w:pPr>
        <w:ind w:firstLine="987"/>
        <w:spacing w:after="0" w:line="273" w:lineRule="auto"/>
        <w:tabs>
          <w:tab w:leader="none" w:pos="1371" w:val="left"/>
        </w:tabs>
        <w:numPr>
          <w:ilvl w:val="0"/>
          <w:numId w:val="289"/>
        </w:numPr>
        <w:rPr>
          <w:rFonts w:ascii="Arial" w:cs="Arial" w:eastAsia="Arial" w:hAnsi="Arial"/>
          <w:sz w:val="17"/>
          <w:szCs w:val="17"/>
          <w:color w:val="auto"/>
        </w:rPr>
      </w:pPr>
      <w:r>
        <w:rPr>
          <w:rFonts w:ascii="Arial" w:cs="Arial" w:eastAsia="Arial" w:hAnsi="Arial"/>
          <w:sz w:val="17"/>
          <w:szCs w:val="17"/>
          <w:color w:val="auto"/>
        </w:rPr>
        <w:t>On and as of the Closing Date, the Existing Credit Agreement shall be amended, restated and superseded in its entirety by this Agreement. The parties hereto acknowledge and agree that (i) this Agreement and the other Loan Documents, whether executed and delivered in connection herewith or otherwise, do not constitute a novation, payment or reborrowing, or termination of the “Obligations” (as defined in the Existing Credit Agreement) as in effect prior to the Closing Date and (ii) such “Obligations” are in all respects continuing (as amended and restated hereby) with only the terms thereof being modified as provided in this Agreement. Each reference to the “Credit Agreement” or “Loan Agreement” in any Loan Document shall be deemed to be a reference to the Existing Credit Agreement as amended and restated hereby.</w:t>
      </w:r>
    </w:p>
    <w:p>
      <w:pPr>
        <w:spacing w:after="0" w:line="177" w:lineRule="exact"/>
        <w:rPr>
          <w:rFonts w:ascii="Arial" w:cs="Arial" w:eastAsia="Arial" w:hAnsi="Arial"/>
          <w:sz w:val="17"/>
          <w:szCs w:val="17"/>
          <w:color w:val="auto"/>
        </w:rPr>
      </w:pPr>
    </w:p>
    <w:p>
      <w:pPr>
        <w:ind w:right="100" w:firstLine="987"/>
        <w:spacing w:after="0" w:line="296" w:lineRule="auto"/>
        <w:tabs>
          <w:tab w:leader="none" w:pos="1381"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Each of the Borrower, Holdings and each Guarantor hereby confirms that each Loan Document to which it is a party or otherwise bound and all Collateral encumbered thereby will continue to guarantee or secure, as the case may be, to the fullest extent possible in accordance with the Loan Documents, the payment and performance of all “Obligations” under each of the Loan Documents to which it is a party (in each case as such terms are defined in the applicable Loan Document). Each of the Borrower and Holdings acknowledges and agrees that (i) any of the Loan Documents to which it is a party or is otherwise bound shall continue in full force and effect and that all of its obligations thereunder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-1464945</wp:posOffset>
            </wp:positionV>
            <wp:extent cx="28575"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-1053465</wp:posOffset>
            </wp:positionV>
            <wp:extent cx="28575"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-230505</wp:posOffset>
            </wp:positionV>
            <wp:extent cx="28575"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0940"/>
          </w:cols>
          <w:pgMar w:left="440" w:top="274" w:right="519" w:bottom="1440" w:gutter="0" w:footer="0" w:header="0"/>
        </w:sectPr>
      </w:pPr>
    </w:p>
    <w:bookmarkStart w:id="223" w:name="page224"/>
    <w:bookmarkEnd w:id="223"/>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 valid, enforceable, ratified and confirmed in all respects and shall not be impaired or limited by the execution or effectiveness of this Agreement, and</w:t>
      </w:r>
    </w:p>
    <w:p>
      <w:pPr>
        <w:spacing w:after="0" w:line="46" w:lineRule="exact"/>
        <w:rPr>
          <w:sz w:val="20"/>
          <w:szCs w:val="20"/>
          <w:color w:val="auto"/>
        </w:rPr>
      </w:pPr>
    </w:p>
    <w:p>
      <w:pPr>
        <w:ind w:left="4" w:right="440" w:hanging="4"/>
        <w:spacing w:after="0" w:line="260" w:lineRule="auto"/>
        <w:tabs>
          <w:tab w:leader="none" w:pos="269"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all security interests created under any of the </w:t>
      </w:r>
      <w:r>
        <w:rPr>
          <w:rFonts w:ascii="Arial" w:cs="Arial" w:eastAsia="Arial" w:hAnsi="Arial"/>
          <w:sz w:val="18"/>
          <w:szCs w:val="18"/>
          <w:color w:val="FF0000"/>
          <w:strike w:val="1"/>
        </w:rPr>
        <w:t>Security</w:t>
      </w:r>
      <w:r>
        <w:rPr>
          <w:rFonts w:ascii="Arial" w:cs="Arial" w:eastAsia="Arial" w:hAnsi="Arial"/>
          <w:sz w:val="18"/>
          <w:szCs w:val="18"/>
          <w:u w:val="single" w:color="auto"/>
          <w:color w:val="0000E1"/>
        </w:rPr>
        <w:t>Collateral</w:t>
      </w:r>
      <w:r>
        <w:rPr>
          <w:rFonts w:ascii="Arial" w:cs="Arial" w:eastAsia="Arial" w:hAnsi="Arial"/>
          <w:sz w:val="18"/>
          <w:szCs w:val="18"/>
          <w:color w:val="auto"/>
        </w:rPr>
        <w:t xml:space="preserve"> Documents shall continue in full force and effect pursuant to the terms of such </w:t>
      </w:r>
      <w:r>
        <w:rPr>
          <w:rFonts w:ascii="Arial" w:cs="Arial" w:eastAsia="Arial" w:hAnsi="Arial"/>
          <w:sz w:val="18"/>
          <w:szCs w:val="18"/>
          <w:color w:val="FF0000"/>
          <w:strike w:val="1"/>
        </w:rPr>
        <w:t>Security</w:t>
      </w:r>
      <w:r>
        <w:rPr>
          <w:rFonts w:ascii="Arial" w:cs="Arial" w:eastAsia="Arial" w:hAnsi="Arial"/>
          <w:sz w:val="18"/>
          <w:szCs w:val="18"/>
          <w:u w:val="single" w:color="auto"/>
          <w:color w:val="0000E1"/>
        </w:rPr>
        <w:t>Collateral</w:t>
      </w:r>
      <w:r>
        <w:rPr>
          <w:rFonts w:ascii="Arial" w:cs="Arial" w:eastAsia="Arial" w:hAnsi="Arial"/>
          <w:sz w:val="18"/>
          <w:szCs w:val="18"/>
          <w:color w:val="FF0000"/>
        </w:rPr>
        <w:t xml:space="preserve"> </w:t>
      </w:r>
      <w:r>
        <w:rPr>
          <w:rFonts w:ascii="Arial" w:cs="Arial" w:eastAsia="Arial" w:hAnsi="Arial"/>
          <w:sz w:val="18"/>
          <w:szCs w:val="18"/>
          <w:color w:val="000000"/>
        </w:rPr>
        <w:t>Document.</w:t>
      </w:r>
    </w:p>
    <w:p>
      <w:pPr>
        <w:spacing w:after="0" w:line="185" w:lineRule="exact"/>
        <w:rPr>
          <w:rFonts w:ascii="Arial" w:cs="Arial" w:eastAsia="Arial" w:hAnsi="Arial"/>
          <w:sz w:val="18"/>
          <w:szCs w:val="18"/>
          <w:color w:val="auto"/>
        </w:rPr>
      </w:pPr>
    </w:p>
    <w:p>
      <w:pPr>
        <w:ind w:left="4" w:firstLine="987"/>
        <w:spacing w:after="0" w:line="259" w:lineRule="auto"/>
        <w:tabs>
          <w:tab w:leader="none" w:pos="1375" w:val="left"/>
        </w:tabs>
        <w:numPr>
          <w:ilvl w:val="1"/>
          <w:numId w:val="290"/>
        </w:numPr>
        <w:rPr>
          <w:rFonts w:ascii="Arial" w:cs="Arial" w:eastAsia="Arial" w:hAnsi="Arial"/>
          <w:sz w:val="18"/>
          <w:szCs w:val="18"/>
          <w:color w:val="auto"/>
        </w:rPr>
      </w:pPr>
      <w:r>
        <w:rPr>
          <w:rFonts w:ascii="Arial" w:cs="Arial" w:eastAsia="Arial" w:hAnsi="Arial"/>
          <w:sz w:val="18"/>
          <w:szCs w:val="18"/>
          <w:color w:val="auto"/>
        </w:rPr>
        <w:t>Each Rollover Lender severally agrees to exchange its “Revolving Loans” (as defined in the Existing Credit Agreement) (such loans, collectively, “</w:t>
      </w:r>
      <w:r>
        <w:rPr>
          <w:rFonts w:ascii="Arial" w:cs="Arial" w:eastAsia="Arial" w:hAnsi="Arial"/>
          <w:sz w:val="18"/>
          <w:szCs w:val="18"/>
          <w:i w:val="1"/>
          <w:iCs w:val="1"/>
          <w:color w:val="auto"/>
        </w:rPr>
        <w:t>Existing 2015 Revolving Loans</w:t>
      </w:r>
      <w:r>
        <w:rPr>
          <w:rFonts w:ascii="Arial" w:cs="Arial" w:eastAsia="Arial" w:hAnsi="Arial"/>
          <w:sz w:val="18"/>
          <w:szCs w:val="18"/>
          <w:color w:val="auto"/>
        </w:rPr>
        <w:t>”) outstanding immediately prior to the effectiveness of the amendment and restatement of the Existing Credit Agreement on the Closing Date as Revolving Loans hereunder, and as of the Closing Date such Existing Revolving Loans shall be automatically deemed to constitute Revolving Loans outstanding under this Agreement.</w:t>
      </w:r>
    </w:p>
    <w:p>
      <w:pPr>
        <w:spacing w:after="0" w:line="186" w:lineRule="exact"/>
        <w:rPr>
          <w:rFonts w:ascii="Arial" w:cs="Arial" w:eastAsia="Arial" w:hAnsi="Arial"/>
          <w:sz w:val="18"/>
          <w:szCs w:val="18"/>
          <w:color w:val="auto"/>
        </w:rPr>
      </w:pPr>
    </w:p>
    <w:p>
      <w:pPr>
        <w:ind w:left="4" w:right="160" w:firstLine="987"/>
        <w:spacing w:after="0" w:line="259" w:lineRule="auto"/>
        <w:tabs>
          <w:tab w:leader="none" w:pos="1385" w:val="left"/>
        </w:tabs>
        <w:numPr>
          <w:ilvl w:val="1"/>
          <w:numId w:val="290"/>
        </w:numPr>
        <w:rPr>
          <w:rFonts w:ascii="Arial" w:cs="Arial" w:eastAsia="Arial" w:hAnsi="Arial"/>
          <w:sz w:val="18"/>
          <w:szCs w:val="18"/>
          <w:color w:val="auto"/>
        </w:rPr>
      </w:pPr>
      <w:r>
        <w:rPr>
          <w:rFonts w:ascii="Arial" w:cs="Arial" w:eastAsia="Arial" w:hAnsi="Arial"/>
          <w:sz w:val="18"/>
          <w:szCs w:val="18"/>
          <w:color w:val="auto"/>
        </w:rPr>
        <w:t>Each Rollover Lender severally agrees to exchange its “Term Loans” (as defined in the Existing Credit Agreement) (such loans, collectively, “</w:t>
      </w:r>
      <w:r>
        <w:rPr>
          <w:rFonts w:ascii="Arial" w:cs="Arial" w:eastAsia="Arial" w:hAnsi="Arial"/>
          <w:sz w:val="18"/>
          <w:szCs w:val="18"/>
          <w:i w:val="1"/>
          <w:iCs w:val="1"/>
          <w:color w:val="auto"/>
        </w:rPr>
        <w:t>Existing 2015 Term Loans</w:t>
      </w:r>
      <w:r>
        <w:rPr>
          <w:rFonts w:ascii="Arial" w:cs="Arial" w:eastAsia="Arial" w:hAnsi="Arial"/>
          <w:sz w:val="18"/>
          <w:szCs w:val="18"/>
          <w:color w:val="auto"/>
        </w:rPr>
        <w:t>”) outstanding immediately prior to the effectiveness of the amendment and restatement of the Existing Credit Agreement on the Closing Date as Term Loans hereunder, and as of the Closing Date such Existing Term Loans shall be automatically deemed to constitute Term Loans outstanding under this Agreement.</w:t>
      </w:r>
    </w:p>
    <w:p>
      <w:pPr>
        <w:spacing w:after="0" w:line="186" w:lineRule="exact"/>
        <w:rPr>
          <w:rFonts w:ascii="Arial" w:cs="Arial" w:eastAsia="Arial" w:hAnsi="Arial"/>
          <w:sz w:val="18"/>
          <w:szCs w:val="18"/>
          <w:color w:val="auto"/>
        </w:rPr>
      </w:pPr>
    </w:p>
    <w:p>
      <w:pPr>
        <w:ind w:left="4" w:right="200" w:firstLine="987"/>
        <w:spacing w:after="0" w:line="284" w:lineRule="auto"/>
        <w:tabs>
          <w:tab w:leader="none" w:pos="1375" w:val="left"/>
        </w:tabs>
        <w:numPr>
          <w:ilvl w:val="1"/>
          <w:numId w:val="290"/>
        </w:numPr>
        <w:rPr>
          <w:rFonts w:ascii="Arial" w:cs="Arial" w:eastAsia="Arial" w:hAnsi="Arial"/>
          <w:sz w:val="16"/>
          <w:szCs w:val="16"/>
          <w:color w:val="auto"/>
        </w:rPr>
      </w:pPr>
      <w:r>
        <w:rPr>
          <w:rFonts w:ascii="Arial" w:cs="Arial" w:eastAsia="Arial" w:hAnsi="Arial"/>
          <w:sz w:val="16"/>
          <w:szCs w:val="16"/>
          <w:color w:val="auto"/>
        </w:rPr>
        <w:t xml:space="preserve">On the Closing Date, without further action by any party hereto (including the delivery of a notice of the issuance of a Letter of Credit pursuant to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or any consent of, or confirmation by or to, the Administrative Agent), (i) each “Letter of Credit” (as defined in the Existing Credit Agreement) listed on </w:t>
      </w:r>
      <w:r>
        <w:rPr>
          <w:rFonts w:ascii="Arial" w:cs="Arial" w:eastAsia="Arial" w:hAnsi="Arial"/>
          <w:sz w:val="16"/>
          <w:szCs w:val="16"/>
          <w:u w:val="single" w:color="auto"/>
          <w:color w:val="auto"/>
        </w:rPr>
        <w:t>Schedule 13.29</w:t>
      </w:r>
      <w:r>
        <w:rPr>
          <w:rFonts w:ascii="Arial" w:cs="Arial" w:eastAsia="Arial" w:hAnsi="Arial"/>
          <w:sz w:val="16"/>
          <w:szCs w:val="16"/>
          <w:color w:val="auto"/>
        </w:rPr>
        <w:t xml:space="preserve"> hereto that was issued by a person that is an L/C Issuer hereunder (such letters of credit, collectively, “</w:t>
      </w:r>
      <w:r>
        <w:rPr>
          <w:rFonts w:ascii="Arial" w:cs="Arial" w:eastAsia="Arial" w:hAnsi="Arial"/>
          <w:sz w:val="16"/>
          <w:szCs w:val="16"/>
          <w:i w:val="1"/>
          <w:iCs w:val="1"/>
          <w:color w:val="auto"/>
        </w:rPr>
        <w:t>Existing Letters of Credit</w:t>
      </w:r>
      <w:r>
        <w:rPr>
          <w:rFonts w:ascii="Arial" w:cs="Arial" w:eastAsia="Arial" w:hAnsi="Arial"/>
          <w:sz w:val="16"/>
          <w:szCs w:val="16"/>
          <w:color w:val="auto"/>
        </w:rPr>
        <w:t>”) shall become a Letter of Credit outstanding under this Agreement, shall be deemed to be a Letter of Credit issued under this Agreement and shall be subject to the terms and conditions hereof as if each such Existing Letter of Credit were issued by the applicable L/C Issuer pursuant to this Agreement and (ii) each L/C Issuer that has issued an Existing Letter of Credit shall be deemed to have granted each Revolving Lender, and each Revolving Lender shall be deemed to have acquired from such L/C Issuer, on the terms and conditions of</w:t>
      </w:r>
    </w:p>
    <w:p>
      <w:pPr>
        <w:spacing w:after="0" w:line="2" w:lineRule="exact"/>
        <w:rPr>
          <w:rFonts w:ascii="Arial" w:cs="Arial" w:eastAsia="Arial" w:hAnsi="Arial"/>
          <w:sz w:val="16"/>
          <w:szCs w:val="16"/>
          <w:color w:val="auto"/>
        </w:rPr>
      </w:pPr>
    </w:p>
    <w:p>
      <w:pPr>
        <w:ind w:left="4" w:right="140"/>
        <w:spacing w:after="0" w:line="302" w:lineRule="auto"/>
        <w:rPr>
          <w:rFonts w:ascii="Arial" w:cs="Arial" w:eastAsia="Arial" w:hAnsi="Arial"/>
          <w:sz w:val="16"/>
          <w:szCs w:val="16"/>
          <w:color w:val="auto"/>
        </w:rPr>
      </w:pP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w:t>
      </w:r>
      <w:r>
        <w:rPr>
          <w:rFonts w:ascii="Arial" w:cs="Arial" w:eastAsia="Arial" w:hAnsi="Arial"/>
          <w:sz w:val="16"/>
          <w:szCs w:val="16"/>
          <w:color w:val="FF0000"/>
          <w:strike w:val="1"/>
        </w:rPr>
        <w:t>hereof</w:t>
      </w:r>
      <w:r>
        <w:rPr>
          <w:rFonts w:ascii="Arial" w:cs="Arial" w:eastAsia="Arial" w:hAnsi="Arial"/>
          <w:sz w:val="16"/>
          <w:szCs w:val="16"/>
          <w:color w:val="auto"/>
        </w:rPr>
        <w:t xml:space="preserve">, for such Revolving </w:t>
      </w:r>
      <w:r>
        <w:rPr>
          <w:rFonts w:ascii="Arial" w:cs="Arial" w:eastAsia="Arial" w:hAnsi="Arial"/>
          <w:sz w:val="16"/>
          <w:szCs w:val="16"/>
          <w:color w:val="FF0000"/>
          <w:strike w:val="1"/>
        </w:rPr>
        <w:t>Facility</w:t>
      </w:r>
      <w:r>
        <w:rPr>
          <w:rFonts w:ascii="Arial" w:cs="Arial" w:eastAsia="Arial" w:hAnsi="Arial"/>
          <w:sz w:val="16"/>
          <w:szCs w:val="16"/>
          <w:color w:val="auto"/>
        </w:rPr>
        <w:t xml:space="preserve"> Lender’s own account and risk, an undivided interest and participation in such L/C Issuer’s obligations and rights under each such Existing Letter of Credit equal to such Revolving Lender’s ratable share of the face amount of such Letter of Credit (including all obligations of the Borrower for whose account such Letter of Credit was issued and any security or guaranty pertaining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-3037840</wp:posOffset>
            </wp:positionV>
            <wp:extent cx="45402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-2900680</wp:posOffset>
            </wp:positionV>
            <wp:extent cx="454025"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43" w:lineRule="exact"/>
        <w:rPr>
          <w:sz w:val="20"/>
          <w:szCs w:val="20"/>
          <w:color w:val="auto"/>
        </w:rPr>
      </w:pPr>
    </w:p>
    <w:p>
      <w:pPr>
        <w:ind w:left="444"/>
        <w:spacing w:after="0"/>
        <w:tabs>
          <w:tab w:leader="none" w:pos="1584" w:val="left"/>
        </w:tabs>
        <w:rPr>
          <w:sz w:val="20"/>
          <w:szCs w:val="20"/>
          <w:color w:val="auto"/>
        </w:rPr>
      </w:pPr>
      <w:r>
        <w:rPr>
          <w:rFonts w:ascii="Arial" w:cs="Arial" w:eastAsia="Arial" w:hAnsi="Arial"/>
          <w:sz w:val="18"/>
          <w:szCs w:val="18"/>
          <w:color w:val="auto"/>
        </w:rPr>
        <w:t>Section 13.30</w:t>
      </w:r>
      <w:r>
        <w:rPr>
          <w:sz w:val="20"/>
          <w:szCs w:val="20"/>
          <w:color w:val="auto"/>
        </w:rPr>
        <w:tab/>
      </w:r>
      <w:r>
        <w:rPr>
          <w:rFonts w:ascii="Arial" w:cs="Arial" w:eastAsia="Arial" w:hAnsi="Arial"/>
          <w:sz w:val="16"/>
          <w:szCs w:val="16"/>
          <w:i w:val="1"/>
          <w:iCs w:val="1"/>
          <w:color w:val="auto"/>
        </w:rPr>
        <w:t>Judgment Currency</w:t>
      </w:r>
      <w:r>
        <w:rPr>
          <w:rFonts w:ascii="Arial" w:cs="Arial" w:eastAsia="Arial" w:hAnsi="Arial"/>
          <w:sz w:val="16"/>
          <w:szCs w:val="16"/>
          <w:color w:val="auto"/>
        </w:rPr>
        <w:t>.</w:t>
      </w:r>
    </w:p>
    <w:p>
      <w:pPr>
        <w:spacing w:after="0" w:line="117" w:lineRule="exact"/>
        <w:rPr>
          <w:sz w:val="20"/>
          <w:szCs w:val="20"/>
          <w:color w:val="auto"/>
        </w:rPr>
      </w:pPr>
    </w:p>
    <w:p>
      <w:pPr>
        <w:ind w:left="4" w:right="20" w:firstLine="987"/>
        <w:spacing w:after="0" w:line="269" w:lineRule="auto"/>
        <w:tabs>
          <w:tab w:leader="none" w:pos="1372"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obligations of the Loan Parties hereunder and under the other Loan Documents to make payments in a specified currency (the “</w:t>
      </w:r>
      <w:r>
        <w:rPr>
          <w:rFonts w:ascii="Arial" w:cs="Arial" w:eastAsia="Arial" w:hAnsi="Arial"/>
          <w:sz w:val="17"/>
          <w:szCs w:val="17"/>
          <w:i w:val="1"/>
          <w:iCs w:val="1"/>
          <w:color w:val="auto"/>
        </w:rPr>
        <w:t>Obligation Currency</w:t>
      </w:r>
      <w:r>
        <w:rPr>
          <w:rFonts w:ascii="Arial" w:cs="Arial" w:eastAsia="Arial" w:hAnsi="Arial"/>
          <w:sz w:val="17"/>
          <w:szCs w:val="17"/>
          <w:color w:val="auto"/>
        </w:rPr>
        <w:t>”) shall not be discharged or satisfied by any tender or recovery pursuant to any judgment expressed in or converted into any currency other than the Obligation Currency, except to the extent that such tender or recovery results in the effective receipt by a relevant L/C Issuer or Lender of the full amount of the Obligation Currency expressed to be payable to it under this Agreement or another Loan Document. If, for the purpose of obtaining or enforcing judgment against any Loan Party in any court or in any jurisdiction, it becomes necessary to convert into or from any currency other than the Obligation Currency (such other currency being hereinafter referred to as the “</w:t>
      </w:r>
      <w:r>
        <w:rPr>
          <w:rFonts w:ascii="Arial" w:cs="Arial" w:eastAsia="Arial" w:hAnsi="Arial"/>
          <w:sz w:val="17"/>
          <w:szCs w:val="17"/>
          <w:i w:val="1"/>
          <w:iCs w:val="1"/>
          <w:color w:val="auto"/>
        </w:rPr>
        <w:t>Judgment Currency</w:t>
      </w:r>
      <w:r>
        <w:rPr>
          <w:rFonts w:ascii="Arial" w:cs="Arial" w:eastAsia="Arial" w:hAnsi="Arial"/>
          <w:sz w:val="17"/>
          <w:szCs w:val="17"/>
          <w:color w:val="auto"/>
        </w:rPr>
        <w:t>”) an amount due in the Obligation Currency, the conversion shall be made, at the rate of exchange (as quoted by the Administrative Agent or if the Administrative Agent does not quote a rate of exchange on such currency, by a known dealer in such currency designated by the Administrative Agent) determined, in each case, as of the Business Day immediately preceding the date on which the judgment is given (such Business Day being hereinafter referred to as the “</w:t>
      </w:r>
      <w:r>
        <w:rPr>
          <w:rFonts w:ascii="Arial" w:cs="Arial" w:eastAsia="Arial" w:hAnsi="Arial"/>
          <w:sz w:val="17"/>
          <w:szCs w:val="17"/>
          <w:i w:val="1"/>
          <w:iCs w:val="1"/>
          <w:color w:val="auto"/>
        </w:rPr>
        <w:t>Judgment</w:t>
      </w:r>
      <w:r>
        <w:rPr>
          <w:rFonts w:ascii="Arial" w:cs="Arial" w:eastAsia="Arial" w:hAnsi="Arial"/>
          <w:sz w:val="17"/>
          <w:szCs w:val="17"/>
          <w:color w:val="auto"/>
        </w:rPr>
        <w:t xml:space="preserve"> </w:t>
      </w:r>
      <w:r>
        <w:rPr>
          <w:rFonts w:ascii="Arial" w:cs="Arial" w:eastAsia="Arial" w:hAnsi="Arial"/>
          <w:sz w:val="17"/>
          <w:szCs w:val="17"/>
          <w:i w:val="1"/>
          <w:iCs w:val="1"/>
          <w:color w:val="auto"/>
        </w:rPr>
        <w:t>Currency Conversion Date</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left="4" w:right="540" w:firstLine="987"/>
        <w:spacing w:after="0" w:line="277" w:lineRule="auto"/>
        <w:tabs>
          <w:tab w:leader="none" w:pos="138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If there is a change in the rate of exchange prevailing between the Judgment Currency Conversion Date and the date of actual payment of the amount due, the Borrower covenants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-1322070</wp:posOffset>
            </wp:positionV>
            <wp:extent cx="28575"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8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0964"/>
          </w:cols>
          <w:pgMar w:left="436" w:top="274" w:right="499" w:bottom="1440" w:gutter="0" w:footer="0" w:header="0"/>
        </w:sectPr>
      </w:pPr>
    </w:p>
    <w:bookmarkStart w:id="224" w:name="page225"/>
    <w:bookmarkEnd w:id="224"/>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agrees to pay, or cause to be paid, or remit, or cause to be remitted,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71" w:lineRule="exact"/>
        <w:rPr>
          <w:sz w:val="20"/>
          <w:szCs w:val="20"/>
          <w:color w:val="auto"/>
        </w:rPr>
      </w:pPr>
    </w:p>
    <w:p>
      <w:pPr>
        <w:ind w:right="460" w:firstLine="987"/>
        <w:spacing w:after="0" w:line="277" w:lineRule="auto"/>
        <w:tabs>
          <w:tab w:leader="none" w:pos="137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For purposes of determining any rate of exchange or currency equivalent for this </w:t>
      </w:r>
      <w:r>
        <w:rPr>
          <w:rFonts w:ascii="Arial" w:cs="Arial" w:eastAsia="Arial" w:hAnsi="Arial"/>
          <w:sz w:val="18"/>
          <w:szCs w:val="18"/>
          <w:u w:val="single" w:color="auto"/>
          <w:color w:val="auto"/>
        </w:rPr>
        <w:t>Section 13.30</w:t>
      </w:r>
      <w:r>
        <w:rPr>
          <w:rFonts w:ascii="Arial" w:cs="Arial" w:eastAsia="Arial" w:hAnsi="Arial"/>
          <w:sz w:val="18"/>
          <w:szCs w:val="18"/>
          <w:color w:val="auto"/>
        </w:rPr>
        <w:t>, such amounts shall include any premium and costs payable in connection with the purchase of the Obligation Currency.</w:t>
      </w:r>
    </w:p>
    <w:p>
      <w:pPr>
        <w:spacing w:after="0" w:line="170"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u w:val="single" w:color="auto"/>
          <w:color w:val="0000E1"/>
        </w:rPr>
        <w:t>Section 13.31 Acknowledgement Regarding Any Supported QFCs. To the extent that the Loan Documents provide support, through a guarantee or otherwise, for any Swap Obligation or any other agreement or instrument that is a QFC (such support, “</w:t>
      </w:r>
      <w:r>
        <w:rPr>
          <w:rFonts w:ascii="Arial" w:cs="Arial" w:eastAsia="Arial" w:hAnsi="Arial"/>
          <w:sz w:val="17"/>
          <w:szCs w:val="17"/>
          <w:i w:val="1"/>
          <w:iCs w:val="1"/>
          <w:u w:val="single" w:color="auto"/>
          <w:color w:val="0000E1"/>
        </w:rPr>
        <w:t>QFC Credit Support</w:t>
      </w:r>
      <w:r>
        <w:rPr>
          <w:rFonts w:ascii="Arial" w:cs="Arial" w:eastAsia="Arial" w:hAnsi="Arial"/>
          <w:sz w:val="17"/>
          <w:szCs w:val="17"/>
          <w:u w:val="single" w:color="auto"/>
          <w:color w:val="0000E1"/>
        </w:rPr>
        <w:t>”, and each such QFC, a “</w:t>
      </w:r>
      <w:r>
        <w:rPr>
          <w:rFonts w:ascii="Arial" w:cs="Arial" w:eastAsia="Arial" w:hAnsi="Arial"/>
          <w:sz w:val="17"/>
          <w:szCs w:val="17"/>
          <w:i w:val="1"/>
          <w:iCs w:val="1"/>
          <w:u w:val="single" w:color="auto"/>
          <w:color w:val="0000E1"/>
        </w:rPr>
        <w:t>Supported QFC</w:t>
      </w:r>
      <w:r>
        <w:rPr>
          <w:rFonts w:ascii="Arial" w:cs="Arial" w:eastAsia="Arial" w:hAnsi="Arial"/>
          <w:sz w:val="17"/>
          <w:szCs w:val="17"/>
          <w:u w:val="single" w:color="auto"/>
          <w:color w:val="0000E1"/>
        </w:rPr>
        <w:t>”), the parties acknowledge and agree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i w:val="1"/>
          <w:iCs w:val="1"/>
          <w:u w:val="single" w:color="auto"/>
          <w:color w:val="0000E1"/>
        </w:rPr>
        <w:t>U.S. Special Resolution Regimes</w:t>
      </w:r>
      <w:r>
        <w:rPr>
          <w:rFonts w:ascii="Arial" w:cs="Arial" w:eastAsia="Arial" w:hAnsi="Arial"/>
          <w:sz w:val="17"/>
          <w:szCs w:val="17"/>
          <w:u w:val="single" w:color="auto"/>
          <w:color w:val="0000E1"/>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that in the event a Covered Entity that is party to a Supported QFC (each, a “</w:t>
      </w:r>
      <w:r>
        <w:rPr>
          <w:rFonts w:ascii="Arial" w:cs="Arial" w:eastAsia="Arial" w:hAnsi="Arial"/>
          <w:sz w:val="17"/>
          <w:szCs w:val="17"/>
          <w:i w:val="1"/>
          <w:iCs w:val="1"/>
          <w:u w:val="single" w:color="auto"/>
          <w:color w:val="0000E1"/>
        </w:rPr>
        <w:t>Covered</w:t>
      </w:r>
      <w:r>
        <w:rPr>
          <w:rFonts w:ascii="Arial" w:cs="Arial" w:eastAsia="Arial" w:hAnsi="Arial"/>
          <w:sz w:val="17"/>
          <w:szCs w:val="17"/>
          <w:u w:val="single" w:color="auto"/>
          <w:color w:val="0000E1"/>
        </w:rPr>
        <w:t xml:space="preserve"> </w:t>
      </w:r>
      <w:r>
        <w:rPr>
          <w:rFonts w:ascii="Arial" w:cs="Arial" w:eastAsia="Arial" w:hAnsi="Arial"/>
          <w:sz w:val="17"/>
          <w:szCs w:val="17"/>
          <w:i w:val="1"/>
          <w:iCs w:val="1"/>
          <w:u w:val="single" w:color="auto"/>
          <w:color w:val="0000E1"/>
        </w:rPr>
        <w:t>Party</w:t>
      </w:r>
      <w:r>
        <w:rPr>
          <w:rFonts w:ascii="Arial" w:cs="Arial" w:eastAsia="Arial" w:hAnsi="Arial"/>
          <w:sz w:val="17"/>
          <w:szCs w:val="17"/>
          <w:u w:val="single" w:color="auto"/>
          <w:color w:val="0000E1"/>
        </w:rPr>
        <w:t>”) becomes subject to a proceeding under a U.S. Special Resolution Regime, the transfer of such Supported QFC and the benefit of such QFC</w:t>
      </w:r>
      <w:r>
        <w:rPr>
          <w:rFonts w:ascii="Arial" w:cs="Arial" w:eastAsia="Arial" w:hAnsi="Arial"/>
          <w:sz w:val="17"/>
          <w:szCs w:val="17"/>
          <w:i w:val="1"/>
          <w:iCs w:val="1"/>
          <w:u w:val="single" w:color="auto"/>
          <w:color w:val="0000E1"/>
        </w:rPr>
        <w:t xml:space="preserve"> </w:t>
      </w:r>
      <w:r>
        <w:rPr>
          <w:rFonts w:ascii="Arial" w:cs="Arial" w:eastAsia="Arial" w:hAnsi="Arial"/>
          <w:sz w:val="17"/>
          <w:szCs w:val="17"/>
          <w:u w:val="single" w:color="auto"/>
          <w:color w:val="0000E1"/>
        </w:rPr>
        <w:t>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-2330450</wp:posOffset>
            </wp:positionV>
            <wp:extent cx="6703695"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-2193290</wp:posOffset>
            </wp:positionV>
            <wp:extent cx="690943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-2056130</wp:posOffset>
            </wp:positionV>
            <wp:extent cx="6720840"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-1918970</wp:posOffset>
            </wp:positionV>
            <wp:extent cx="6480810"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-1781810</wp:posOffset>
            </wp:positionV>
            <wp:extent cx="6926580"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-1644650</wp:posOffset>
            </wp:positionV>
            <wp:extent cx="695198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-1507490</wp:posOffset>
            </wp:positionV>
            <wp:extent cx="6969125"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-1370330</wp:posOffset>
            </wp:positionV>
            <wp:extent cx="6729095"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-1233170</wp:posOffset>
            </wp:positionV>
            <wp:extent cx="6943725"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-1096010</wp:posOffset>
            </wp:positionV>
            <wp:extent cx="6875145"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-958850</wp:posOffset>
            </wp:positionV>
            <wp:extent cx="6729095"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67290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-821690</wp:posOffset>
            </wp:positionV>
            <wp:extent cx="6600825"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66008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-684530</wp:posOffset>
            </wp:positionV>
            <wp:extent cx="6960870"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-547370</wp:posOffset>
            </wp:positionV>
            <wp:extent cx="6780530"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-410210</wp:posOffset>
            </wp:positionV>
            <wp:extent cx="695198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-273050</wp:posOffset>
            </wp:positionV>
            <wp:extent cx="6883400"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-135890</wp:posOffset>
            </wp:positionV>
            <wp:extent cx="6892290"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394335"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AGES</w:t>
      </w:r>
      <w:r>
        <w:rPr>
          <w:rFonts w:ascii="Arial" w:cs="Arial" w:eastAsia="Arial" w:hAnsi="Arial"/>
          <w:sz w:val="18"/>
          <w:szCs w:val="18"/>
          <w:color w:val="auto"/>
        </w:rPr>
        <w:t xml:space="preserve"> F</w:t>
      </w:r>
      <w:r>
        <w:rPr>
          <w:rFonts w:ascii="Arial" w:cs="Arial" w:eastAsia="Arial" w:hAnsi="Arial"/>
          <w:sz w:val="14"/>
          <w:szCs w:val="14"/>
          <w:color w:val="auto"/>
        </w:rPr>
        <w:t>OLLOW</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00"/>
          </w:cols>
          <w:pgMar w:left="440" w:top="274" w:right="459" w:bottom="1440" w:gutter="0" w:footer="0" w:header="0"/>
        </w:sectPr>
      </w:pPr>
    </w:p>
    <w:bookmarkStart w:id="225" w:name="page226"/>
    <w:bookmarkEnd w:id="225"/>
    <w:p>
      <w:pPr>
        <w:ind w:left="440"/>
        <w:spacing w:after="0"/>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Credit Agreement is entered into between us for the uses and purposes hereinabove set forth as of the date first above written.</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FF0000"/>
          <w:strike w:val="1"/>
        </w:rPr>
        <w:t>DAVE &amp; BUSTER’S, INC., as Borrower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FF0000"/>
          <w:strike w:val="1"/>
        </w:rPr>
        <w:t>Name: Brian A. Jenkins</w:t>
      </w:r>
    </w:p>
    <w:p>
      <w:pPr>
        <w:spacing w:after="0" w:line="23" w:lineRule="exact"/>
        <w:rPr>
          <w:sz w:val="20"/>
          <w:szCs w:val="20"/>
          <w:color w:val="auto"/>
        </w:rPr>
      </w:pPr>
    </w:p>
    <w:p>
      <w:pPr>
        <w:jc w:val="both"/>
        <w:ind w:left="6960"/>
        <w:spacing w:after="0"/>
        <w:tabs>
          <w:tab w:leader="none" w:pos="7520" w:val="left"/>
        </w:tabs>
        <w:rPr>
          <w:sz w:val="20"/>
          <w:szCs w:val="20"/>
          <w:color w:val="auto"/>
        </w:rPr>
      </w:pPr>
      <w:r>
        <w:rPr>
          <w:rFonts w:ascii="Arial" w:cs="Arial" w:eastAsia="Arial" w:hAnsi="Arial"/>
          <w:sz w:val="18"/>
          <w:szCs w:val="18"/>
          <w:color w:val="FF0000"/>
          <w:strike w:val="1"/>
        </w:rPr>
        <w:t>Title:</w:t>
        <w:tab/>
        <w:t>Senior Vice President and Chief Financial</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FF0000"/>
          <w:strike w:val="1"/>
        </w:rPr>
        <w:t>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FF0000"/>
          <w:strike w:val="1"/>
        </w:rPr>
        <w:t>GUARANTORS: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FF0000"/>
          <w:strike w:val="1"/>
        </w:rPr>
        <w:t>DAVE &amp; BUSTER’S HOLDINGS, INC., as Holdings</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FF0000"/>
          <w:strike w:val="1"/>
        </w:rPr>
        <w:t>Name: Brian A. Jenkins</w:t>
      </w:r>
    </w:p>
    <w:p>
      <w:pPr>
        <w:spacing w:after="0" w:line="23" w:lineRule="exact"/>
        <w:rPr>
          <w:sz w:val="20"/>
          <w:szCs w:val="20"/>
          <w:color w:val="auto"/>
        </w:rPr>
      </w:pPr>
    </w:p>
    <w:p>
      <w:pPr>
        <w:jc w:val="both"/>
        <w:ind w:left="6960"/>
        <w:spacing w:after="0"/>
        <w:tabs>
          <w:tab w:leader="none" w:pos="7520" w:val="left"/>
        </w:tabs>
        <w:rPr>
          <w:sz w:val="20"/>
          <w:szCs w:val="20"/>
          <w:color w:val="auto"/>
        </w:rPr>
      </w:pPr>
      <w:r>
        <w:rPr>
          <w:rFonts w:ascii="Arial" w:cs="Arial" w:eastAsia="Arial" w:hAnsi="Arial"/>
          <w:sz w:val="18"/>
          <w:szCs w:val="18"/>
          <w:color w:val="FF0000"/>
          <w:strike w:val="1"/>
        </w:rPr>
        <w:t>Title:</w:t>
        <w:tab/>
        <w:t>Senior Vice President and Chief Financial</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FF0000"/>
          <w:strike w:val="1"/>
        </w:rPr>
        <w:t>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FF0000"/>
          <w:strike w:val="1"/>
        </w:rPr>
        <w:t>DAVE &amp; BUSTER’S I,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FF0000"/>
          <w:strike w:val="1"/>
        </w:rPr>
        <w:t>By: DAVE &amp; BUSTER’S, INC., as its general partner</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FF0000"/>
          <w:strike w:val="1"/>
        </w:rPr>
        <w:t>Name: Brian A. Jenkins</w:t>
      </w:r>
    </w:p>
    <w:p>
      <w:pPr>
        <w:spacing w:after="0" w:line="23" w:lineRule="exact"/>
        <w:rPr>
          <w:sz w:val="20"/>
          <w:szCs w:val="20"/>
          <w:color w:val="auto"/>
        </w:rPr>
      </w:pPr>
    </w:p>
    <w:p>
      <w:pPr>
        <w:jc w:val="both"/>
        <w:ind w:left="6960"/>
        <w:spacing w:after="0"/>
        <w:tabs>
          <w:tab w:leader="none" w:pos="7520" w:val="left"/>
        </w:tabs>
        <w:rPr>
          <w:sz w:val="20"/>
          <w:szCs w:val="20"/>
          <w:color w:val="auto"/>
        </w:rPr>
      </w:pPr>
      <w:r>
        <w:rPr>
          <w:rFonts w:ascii="Arial" w:cs="Arial" w:eastAsia="Arial" w:hAnsi="Arial"/>
          <w:sz w:val="18"/>
          <w:szCs w:val="18"/>
          <w:color w:val="FF0000"/>
          <w:strike w:val="1"/>
        </w:rPr>
        <w:t>Title:</w:t>
        <w:tab/>
        <w:t>Senior Vice President and Chief Financial</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FF0000"/>
          <w:strike w:val="1"/>
        </w:rPr>
        <w:t>Officer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S</w:t>
      </w:r>
      <w:r>
        <w:rPr>
          <w:rFonts w:ascii="Arial" w:cs="Arial" w:eastAsia="Arial" w:hAnsi="Arial"/>
          <w:sz w:val="14"/>
          <w:szCs w:val="14"/>
          <w:color w:val="FF0000"/>
          <w:strike w:val="1"/>
        </w:rPr>
        <w:t>IGNATURE</w:t>
      </w:r>
      <w:r>
        <w:rPr>
          <w:rFonts w:ascii="Arial" w:cs="Arial" w:eastAsia="Arial" w:hAnsi="Arial"/>
          <w:sz w:val="18"/>
          <w:szCs w:val="18"/>
          <w:color w:val="FF0000"/>
        </w:rPr>
        <w:t xml:space="preserve"> P</w:t>
      </w:r>
      <w:r>
        <w:rPr>
          <w:rFonts w:ascii="Arial" w:cs="Arial" w:eastAsia="Arial" w:hAnsi="Arial"/>
          <w:sz w:val="14"/>
          <w:szCs w:val="14"/>
          <w:color w:val="FF0000"/>
          <w:strike w:val="1"/>
        </w:rPr>
        <w:t>AGE</w:t>
      </w:r>
      <w:r>
        <w:rPr>
          <w:rFonts w:ascii="Arial" w:cs="Arial" w:eastAsia="Arial" w:hAnsi="Arial"/>
          <w:sz w:val="18"/>
          <w:szCs w:val="18"/>
          <w:color w:val="FF0000"/>
        </w:rPr>
        <w:t xml:space="preserve"> T</w:t>
      </w:r>
      <w:r>
        <w:rPr>
          <w:rFonts w:ascii="Arial" w:cs="Arial" w:eastAsia="Arial" w:hAnsi="Arial"/>
          <w:sz w:val="14"/>
          <w:szCs w:val="14"/>
          <w:color w:val="FF0000"/>
          <w:strike w:val="1"/>
        </w:rPr>
        <w:t>O</w:t>
      </w:r>
      <w:r>
        <w:rPr>
          <w:rFonts w:ascii="Arial" w:cs="Arial" w:eastAsia="Arial" w:hAnsi="Arial"/>
          <w:sz w:val="18"/>
          <w:szCs w:val="18"/>
          <w:color w:val="FF0000"/>
        </w:rPr>
        <w:t xml:space="preserve"> C</w:t>
      </w:r>
      <w:r>
        <w:rPr>
          <w:rFonts w:ascii="Arial" w:cs="Arial" w:eastAsia="Arial" w:hAnsi="Arial"/>
          <w:sz w:val="14"/>
          <w:szCs w:val="14"/>
          <w:color w:val="FF0000"/>
          <w:strike w:val="1"/>
        </w:rPr>
        <w:t>REDIT</w:t>
      </w:r>
      <w:r>
        <w:rPr>
          <w:rFonts w:ascii="Arial" w:cs="Arial" w:eastAsia="Arial" w:hAnsi="Arial"/>
          <w:sz w:val="18"/>
          <w:szCs w:val="18"/>
          <w:color w:val="FF0000"/>
        </w:rPr>
        <w:t xml:space="preserve"> A</w:t>
      </w:r>
      <w:r>
        <w:rPr>
          <w:rFonts w:ascii="Arial" w:cs="Arial" w:eastAsia="Arial" w:hAnsi="Arial"/>
          <w:sz w:val="14"/>
          <w:szCs w:val="14"/>
          <w:color w:val="FF0000"/>
          <w:strike w:val="1"/>
        </w:rPr>
        <w:t>GREEMENT</w:t>
      </w:r>
      <w:r>
        <w:rPr>
          <w:rFonts w:ascii="Arial" w:cs="Arial" w:eastAsia="Arial" w:hAnsi="Arial"/>
          <w:sz w:val="18"/>
          <w:szCs w:val="18"/>
          <w:color w:val="FF0000"/>
        </w:rPr>
        <w:t xml:space="preserve"> </w:t>
      </w:r>
      <w:r>
        <w:rPr>
          <w:rFonts w:ascii="Arial" w:cs="Arial" w:eastAsia="Arial" w:hAnsi="Arial"/>
          <w:sz w:val="18"/>
          <w:szCs w:val="18"/>
          <w:color w:val="FF0000"/>
          <w:strike w:val="1"/>
        </w:rPr>
        <w:t>(D&amp;B R</w:t>
      </w:r>
      <w:r>
        <w:rPr>
          <w:rFonts w:ascii="Arial" w:cs="Arial" w:eastAsia="Arial" w:hAnsi="Arial"/>
          <w:sz w:val="14"/>
          <w:szCs w:val="14"/>
          <w:color w:val="FF0000"/>
          <w:strike w:val="1"/>
        </w:rPr>
        <w:t>EFINANCING</w:t>
      </w:r>
      <w:r>
        <w:rPr>
          <w:rFonts w:ascii="Arial" w:cs="Arial" w:eastAsia="Arial" w:hAnsi="Arial"/>
          <w:sz w:val="18"/>
          <w:szCs w:val="18"/>
          <w:color w:val="FF0000"/>
        </w:rPr>
        <w:t xml:space="preserve"> </w:t>
      </w:r>
      <w:r>
        <w:rPr>
          <w:rFonts w:ascii="Arial" w:cs="Arial" w:eastAsia="Arial" w:hAnsi="Arial"/>
          <w:sz w:val="18"/>
          <w:szCs w:val="18"/>
          <w:color w:val="FF0000"/>
          <w:strike w:val="1"/>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-53340</wp:posOffset>
            </wp:positionV>
            <wp:extent cx="92075"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92075" cy="8255"/>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-53340</wp:posOffset>
            </wp:positionV>
            <wp:extent cx="271780"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27178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-53340</wp:posOffset>
            </wp:positionV>
            <wp:extent cx="111125"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0560"/>
          </w:cols>
          <w:pgMar w:left="440" w:top="274" w:right="899" w:bottom="1440" w:gutter="0" w:footer="0" w:header="0"/>
        </w:sectPr>
      </w:pPr>
    </w:p>
    <w:bookmarkStart w:id="226" w:name="page227"/>
    <w:bookmarkEnd w:id="226"/>
    <w:p>
      <w:pPr>
        <w:ind w:left="5740"/>
        <w:spacing w:after="0"/>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w:t>
      </w:r>
      <w:r>
        <w:rPr>
          <w:rFonts w:ascii="Arial" w:cs="Arial" w:eastAsia="Arial" w:hAnsi="Arial"/>
          <w:sz w:val="14"/>
          <w:szCs w:val="14"/>
          <w:color w:val="FF0000"/>
          <w:strike w:val="1"/>
        </w:rPr>
        <w:t>UARANTORS</w:t>
      </w:r>
      <w:r>
        <w:rPr>
          <w:rFonts w:ascii="Arial" w:cs="Arial" w:eastAsia="Arial" w:hAnsi="Arial"/>
          <w:sz w:val="18"/>
          <w:szCs w:val="18"/>
          <w:color w:val="FF0000"/>
          <w:strike w:val="1"/>
        </w:rPr>
        <w:t>:</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D&amp;B LEASING,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D&amp;B MARKETING COMPANY LLC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DANB TEXAS,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MANAGEMENT</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CORPORATION,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ALABAMA,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ALASKA,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ARKANSAS,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CALIFORNIA,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COLORADO,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CONNECTICUT,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FLORIDA,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GEORGIA,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HAWAII,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IDAHO,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ILLINOIS,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INDIANA,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KANSAS,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KENTUCKY,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LOUISIANA,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MARYLAND,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7"/>
          <w:szCs w:val="17"/>
          <w:color w:val="FF0000"/>
          <w:strike w:val="1"/>
        </w:rPr>
        <w:t>DAVE &amp; BUSTER’S OF MASSACHUSETTS, INC.</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NEBRASKA,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NEVADA,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NEW JERSEY,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NEW MEXICO,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NEW YORK,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OKLAHOMA,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OREGON,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PENNSYLVANIA,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PITTSBURGH,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PUERTO RICO,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7"/>
          <w:szCs w:val="17"/>
          <w:color w:val="FF0000"/>
          <w:strike w:val="1"/>
        </w:rPr>
        <w:t>DAVE &amp; BUSTER’S OF SOUTH CAROLINA, INC.</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UTAH,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VIRGINIA,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WASHINGTON,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DAVE &amp; BUSTER’S OF WISCONSIN,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TANGO ACQUISITION,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TANGO LICENSE CORPORATION</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TANGO OF ARIZONA,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TANGO OF ARUNDEL,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TANGO OF FARMINGDALE,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TANGO OF FRANKLIN,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TANGO OF HOUSTON,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TANGO OF NORTH CAROLINA,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TANGO OF TENNESSEE, INC.</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FF0000"/>
          <w:strike w:val="1"/>
        </w:rPr>
        <w:t>TANGO OF WESTBURY,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S</w:t>
      </w:r>
      <w:r>
        <w:rPr>
          <w:rFonts w:ascii="Arial" w:cs="Arial" w:eastAsia="Arial" w:hAnsi="Arial"/>
          <w:sz w:val="14"/>
          <w:szCs w:val="14"/>
          <w:color w:val="FF0000"/>
          <w:strike w:val="1"/>
        </w:rPr>
        <w:t>IGNATURE</w:t>
      </w:r>
      <w:r>
        <w:rPr>
          <w:rFonts w:ascii="Arial" w:cs="Arial" w:eastAsia="Arial" w:hAnsi="Arial"/>
          <w:sz w:val="18"/>
          <w:szCs w:val="18"/>
          <w:color w:val="FF0000"/>
        </w:rPr>
        <w:t xml:space="preserve"> P</w:t>
      </w:r>
      <w:r>
        <w:rPr>
          <w:rFonts w:ascii="Arial" w:cs="Arial" w:eastAsia="Arial" w:hAnsi="Arial"/>
          <w:sz w:val="14"/>
          <w:szCs w:val="14"/>
          <w:color w:val="FF0000"/>
          <w:strike w:val="1"/>
        </w:rPr>
        <w:t>AGE</w:t>
      </w:r>
      <w:r>
        <w:rPr>
          <w:rFonts w:ascii="Arial" w:cs="Arial" w:eastAsia="Arial" w:hAnsi="Arial"/>
          <w:sz w:val="18"/>
          <w:szCs w:val="18"/>
          <w:color w:val="FF0000"/>
        </w:rPr>
        <w:t xml:space="preserve"> T</w:t>
      </w:r>
      <w:r>
        <w:rPr>
          <w:rFonts w:ascii="Arial" w:cs="Arial" w:eastAsia="Arial" w:hAnsi="Arial"/>
          <w:sz w:val="14"/>
          <w:szCs w:val="14"/>
          <w:color w:val="FF0000"/>
          <w:strike w:val="1"/>
        </w:rPr>
        <w:t>O</w:t>
      </w:r>
      <w:r>
        <w:rPr>
          <w:rFonts w:ascii="Arial" w:cs="Arial" w:eastAsia="Arial" w:hAnsi="Arial"/>
          <w:sz w:val="18"/>
          <w:szCs w:val="18"/>
          <w:color w:val="FF0000"/>
        </w:rPr>
        <w:t xml:space="preserve"> C</w:t>
      </w:r>
      <w:r>
        <w:rPr>
          <w:rFonts w:ascii="Arial" w:cs="Arial" w:eastAsia="Arial" w:hAnsi="Arial"/>
          <w:sz w:val="14"/>
          <w:szCs w:val="14"/>
          <w:color w:val="FF0000"/>
          <w:strike w:val="1"/>
        </w:rPr>
        <w:t>REDIT</w:t>
      </w:r>
      <w:r>
        <w:rPr>
          <w:rFonts w:ascii="Arial" w:cs="Arial" w:eastAsia="Arial" w:hAnsi="Arial"/>
          <w:sz w:val="18"/>
          <w:szCs w:val="18"/>
          <w:color w:val="FF0000"/>
        </w:rPr>
        <w:t xml:space="preserve"> A</w:t>
      </w:r>
      <w:r>
        <w:rPr>
          <w:rFonts w:ascii="Arial" w:cs="Arial" w:eastAsia="Arial" w:hAnsi="Arial"/>
          <w:sz w:val="14"/>
          <w:szCs w:val="14"/>
          <w:color w:val="FF0000"/>
          <w:strike w:val="1"/>
        </w:rPr>
        <w:t>GREEMENT</w:t>
      </w:r>
      <w:r>
        <w:rPr>
          <w:rFonts w:ascii="Arial" w:cs="Arial" w:eastAsia="Arial" w:hAnsi="Arial"/>
          <w:sz w:val="18"/>
          <w:szCs w:val="18"/>
          <w:color w:val="FF0000"/>
        </w:rPr>
        <w:t xml:space="preserve"> </w:t>
      </w:r>
      <w:r>
        <w:rPr>
          <w:rFonts w:ascii="Arial" w:cs="Arial" w:eastAsia="Arial" w:hAnsi="Arial"/>
          <w:sz w:val="18"/>
          <w:szCs w:val="18"/>
          <w:color w:val="FF0000"/>
          <w:strike w:val="1"/>
        </w:rPr>
        <w:t>(D&amp;B R</w:t>
      </w:r>
      <w:r>
        <w:rPr>
          <w:rFonts w:ascii="Arial" w:cs="Arial" w:eastAsia="Arial" w:hAnsi="Arial"/>
          <w:sz w:val="14"/>
          <w:szCs w:val="14"/>
          <w:color w:val="FF0000"/>
          <w:strike w:val="1"/>
        </w:rPr>
        <w:t>EFINANCING</w:t>
      </w:r>
      <w:r>
        <w:rPr>
          <w:rFonts w:ascii="Arial" w:cs="Arial" w:eastAsia="Arial" w:hAnsi="Arial"/>
          <w:sz w:val="18"/>
          <w:szCs w:val="18"/>
          <w:color w:val="FF0000"/>
        </w:rPr>
        <w:t xml:space="preserve"> </w:t>
      </w:r>
      <w:r>
        <w:rPr>
          <w:rFonts w:ascii="Arial" w:cs="Arial" w:eastAsia="Arial" w:hAnsi="Arial"/>
          <w:sz w:val="18"/>
          <w:szCs w:val="18"/>
          <w:color w:val="FF0000"/>
          <w:strike w:val="1"/>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-53340</wp:posOffset>
            </wp:positionV>
            <wp:extent cx="92075"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92075" cy="8255"/>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-53340</wp:posOffset>
            </wp:positionV>
            <wp:extent cx="271780"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271780"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-53340</wp:posOffset>
            </wp:positionV>
            <wp:extent cx="111125"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227" w:name="page228"/>
    <w:bookmarkEnd w:id="227"/>
    <w:p>
      <w:pPr>
        <w:ind w:left="5620"/>
        <w:spacing w:after="0"/>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FF0000"/>
          <w:strike w:val="1"/>
        </w:rPr>
        <w:t>Name: Jay L. Tobin</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FF0000"/>
          <w:strike w:val="1"/>
        </w:rPr>
        <w:t>Title:</w:t>
        <w:tab/>
        <w:t>Vice President</w:t>
      </w:r>
    </w:p>
    <w:p>
      <w:pPr>
        <w:sectPr>
          <w:pgSz w:w="11900" w:h="16838" w:orient="portrait"/>
          <w:cols w:equalWidth="0" w:num="1">
            <w:col w:w="9019"/>
          </w:cols>
          <w:pgMar w:left="1440" w:top="274" w:right="1440" w:bottom="1440" w:gutter="0" w:footer="0" w:header="0"/>
        </w:sectPr>
      </w:pPr>
    </w:p>
    <w:bookmarkStart w:id="228" w:name="page229"/>
    <w:bookmarkEnd w:id="228"/>
    <w:p>
      <w:pPr>
        <w:ind w:left="6620"/>
        <w:spacing w:after="0"/>
        <w:rPr>
          <w:sz w:val="20"/>
          <w:szCs w:val="20"/>
          <w:color w:val="auto"/>
        </w:rPr>
      </w:pPr>
      <w:r>
        <w:rPr>
          <w:rFonts w:ascii="Arial" w:cs="Arial" w:eastAsia="Arial" w:hAnsi="Arial"/>
          <w:sz w:val="17"/>
          <w:szCs w:val="17"/>
          <w:color w:val="008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BANK OF AMERICA, N.A.</w:t>
      </w:r>
      <w:r>
        <w:rPr>
          <w:rFonts w:ascii="Arial" w:cs="Arial" w:eastAsia="Arial" w:hAnsi="Arial"/>
          <w:sz w:val="17"/>
          <w:szCs w:val="17"/>
          <w:color w:val="FF0000"/>
          <w:strike w:val="1"/>
        </w:rPr>
        <w:t>, as Swing Line Lender, L/C</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6"/>
          <w:szCs w:val="16"/>
          <w:color w:val="FF0000"/>
          <w:strike w:val="1"/>
        </w:rPr>
        <w:t>Issuer, Administrative Agent, Collateral Agent and as a</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FF0000"/>
          <w:strike w:val="1"/>
        </w:rPr>
        <w:t>Lender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FF0000"/>
          <w:strike w:val="1"/>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FF0000"/>
          <w:strike w:val="1"/>
        </w:rPr>
        <w:t>Title: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S</w:t>
      </w:r>
      <w:r>
        <w:rPr>
          <w:rFonts w:ascii="Arial" w:cs="Arial" w:eastAsia="Arial" w:hAnsi="Arial"/>
          <w:sz w:val="14"/>
          <w:szCs w:val="14"/>
          <w:color w:val="FF0000"/>
          <w:strike w:val="1"/>
        </w:rPr>
        <w:t>IGNATURE</w:t>
      </w:r>
      <w:r>
        <w:rPr>
          <w:rFonts w:ascii="Arial" w:cs="Arial" w:eastAsia="Arial" w:hAnsi="Arial"/>
          <w:sz w:val="18"/>
          <w:szCs w:val="18"/>
          <w:color w:val="FF0000"/>
        </w:rPr>
        <w:t xml:space="preserve"> P</w:t>
      </w:r>
      <w:r>
        <w:rPr>
          <w:rFonts w:ascii="Arial" w:cs="Arial" w:eastAsia="Arial" w:hAnsi="Arial"/>
          <w:sz w:val="14"/>
          <w:szCs w:val="14"/>
          <w:color w:val="FF0000"/>
          <w:strike w:val="1"/>
        </w:rPr>
        <w:t>AGE TO</w:t>
      </w:r>
      <w:r>
        <w:rPr>
          <w:rFonts w:ascii="Arial" w:cs="Arial" w:eastAsia="Arial" w:hAnsi="Arial"/>
          <w:sz w:val="18"/>
          <w:szCs w:val="18"/>
          <w:color w:val="FF0000"/>
        </w:rPr>
        <w:t xml:space="preserve"> C</w:t>
      </w:r>
      <w:r>
        <w:rPr>
          <w:rFonts w:ascii="Arial" w:cs="Arial" w:eastAsia="Arial" w:hAnsi="Arial"/>
          <w:sz w:val="14"/>
          <w:szCs w:val="14"/>
          <w:color w:val="FF0000"/>
          <w:strike w:val="1"/>
        </w:rPr>
        <w:t>REDIT</w:t>
      </w:r>
      <w:r>
        <w:rPr>
          <w:rFonts w:ascii="Arial" w:cs="Arial" w:eastAsia="Arial" w:hAnsi="Arial"/>
          <w:sz w:val="18"/>
          <w:szCs w:val="18"/>
          <w:color w:val="FF0000"/>
        </w:rPr>
        <w:t xml:space="preserve"> A</w:t>
      </w:r>
      <w:r>
        <w:rPr>
          <w:rFonts w:ascii="Arial" w:cs="Arial" w:eastAsia="Arial" w:hAnsi="Arial"/>
          <w:sz w:val="14"/>
          <w:szCs w:val="14"/>
          <w:color w:val="FF0000"/>
          <w:strike w:val="1"/>
        </w:rPr>
        <w:t>GREEMENT</w:t>
      </w:r>
      <w:r>
        <w:rPr>
          <w:rFonts w:ascii="Arial" w:cs="Arial" w:eastAsia="Arial" w:hAnsi="Arial"/>
          <w:sz w:val="18"/>
          <w:szCs w:val="18"/>
          <w:color w:val="FF0000"/>
        </w:rPr>
        <w:t xml:space="preserve"> </w:t>
      </w:r>
      <w:r>
        <w:rPr>
          <w:rFonts w:ascii="Arial" w:cs="Arial" w:eastAsia="Arial" w:hAnsi="Arial"/>
          <w:sz w:val="18"/>
          <w:szCs w:val="18"/>
          <w:color w:val="FF0000"/>
          <w:strike w:val="1"/>
        </w:rPr>
        <w:t>(D&amp;B R</w:t>
      </w:r>
      <w:r>
        <w:rPr>
          <w:rFonts w:ascii="Arial" w:cs="Arial" w:eastAsia="Arial" w:hAnsi="Arial"/>
          <w:sz w:val="14"/>
          <w:szCs w:val="14"/>
          <w:color w:val="FF0000"/>
          <w:strike w:val="1"/>
        </w:rPr>
        <w:t>EFINANCING</w:t>
      </w:r>
      <w:r>
        <w:rPr>
          <w:rFonts w:ascii="Arial" w:cs="Arial" w:eastAsia="Arial" w:hAnsi="Arial"/>
          <w:sz w:val="18"/>
          <w:szCs w:val="18"/>
          <w:color w:val="FF0000"/>
        </w:rPr>
        <w:t xml:space="preserve"> </w:t>
      </w:r>
      <w:r>
        <w:rPr>
          <w:rFonts w:ascii="Arial" w:cs="Arial" w:eastAsia="Arial" w:hAnsi="Arial"/>
          <w:sz w:val="18"/>
          <w:szCs w:val="18"/>
          <w:color w:val="FF0000"/>
          <w:strike w:val="1"/>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-53340</wp:posOffset>
            </wp:positionV>
            <wp:extent cx="92075"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92075" cy="8255"/>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-53340</wp:posOffset>
            </wp:positionV>
            <wp:extent cx="28575"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978535</wp:posOffset>
            </wp:positionH>
            <wp:positionV relativeFrom="paragraph">
              <wp:posOffset>-53340</wp:posOffset>
            </wp:positionV>
            <wp:extent cx="104775"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04775" cy="825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-53340</wp:posOffset>
            </wp:positionV>
            <wp:extent cx="111125"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0740"/>
          </w:cols>
          <w:pgMar w:left="440" w:top="274" w:right="719" w:bottom="1440" w:gutter="0" w:footer="0" w:header="0"/>
        </w:sectPr>
      </w:pPr>
    </w:p>
    <w:bookmarkStart w:id="229" w:name="page230"/>
    <w:bookmarkEnd w:id="229"/>
    <w:p>
      <w:pPr>
        <w:ind w:left="6620"/>
        <w:spacing w:after="0"/>
        <w:rPr>
          <w:sz w:val="20"/>
          <w:szCs w:val="20"/>
          <w:color w:val="auto"/>
        </w:rPr>
      </w:pPr>
      <w:r>
        <w:rPr>
          <w:rFonts w:ascii="Arial" w:cs="Arial" w:eastAsia="Arial" w:hAnsi="Arial"/>
          <w:sz w:val="17"/>
          <w:szCs w:val="17"/>
          <w:color w:val="FF0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WELLS FARGO BANK, NATIONAL ASSOCIATION, as a</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FF0000"/>
          <w:strike w:val="1"/>
        </w:rPr>
        <w:t>Lender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FF0000"/>
          <w:strike w:val="1"/>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FF0000"/>
          <w:strike w:val="1"/>
        </w:rPr>
        <w:t>Title: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S</w:t>
      </w:r>
      <w:r>
        <w:rPr>
          <w:rFonts w:ascii="Arial" w:cs="Arial" w:eastAsia="Arial" w:hAnsi="Arial"/>
          <w:sz w:val="14"/>
          <w:szCs w:val="14"/>
          <w:color w:val="FF0000"/>
          <w:strike w:val="1"/>
        </w:rPr>
        <w:t>IGNATURE</w:t>
      </w:r>
      <w:r>
        <w:rPr>
          <w:rFonts w:ascii="Arial" w:cs="Arial" w:eastAsia="Arial" w:hAnsi="Arial"/>
          <w:sz w:val="18"/>
          <w:szCs w:val="18"/>
          <w:color w:val="FF0000"/>
        </w:rPr>
        <w:t xml:space="preserve"> P</w:t>
      </w:r>
      <w:r>
        <w:rPr>
          <w:rFonts w:ascii="Arial" w:cs="Arial" w:eastAsia="Arial" w:hAnsi="Arial"/>
          <w:sz w:val="14"/>
          <w:szCs w:val="14"/>
          <w:color w:val="FF0000"/>
          <w:strike w:val="1"/>
        </w:rPr>
        <w:t>AGE TO</w:t>
      </w:r>
      <w:r>
        <w:rPr>
          <w:rFonts w:ascii="Arial" w:cs="Arial" w:eastAsia="Arial" w:hAnsi="Arial"/>
          <w:sz w:val="18"/>
          <w:szCs w:val="18"/>
          <w:color w:val="FF0000"/>
        </w:rPr>
        <w:t xml:space="preserve"> C</w:t>
      </w:r>
      <w:r>
        <w:rPr>
          <w:rFonts w:ascii="Arial" w:cs="Arial" w:eastAsia="Arial" w:hAnsi="Arial"/>
          <w:sz w:val="14"/>
          <w:szCs w:val="14"/>
          <w:color w:val="FF0000"/>
          <w:strike w:val="1"/>
        </w:rPr>
        <w:t>REDIT</w:t>
      </w:r>
      <w:r>
        <w:rPr>
          <w:rFonts w:ascii="Arial" w:cs="Arial" w:eastAsia="Arial" w:hAnsi="Arial"/>
          <w:sz w:val="18"/>
          <w:szCs w:val="18"/>
          <w:color w:val="FF0000"/>
        </w:rPr>
        <w:t xml:space="preserve"> A</w:t>
      </w:r>
      <w:r>
        <w:rPr>
          <w:rFonts w:ascii="Arial" w:cs="Arial" w:eastAsia="Arial" w:hAnsi="Arial"/>
          <w:sz w:val="14"/>
          <w:szCs w:val="14"/>
          <w:color w:val="FF0000"/>
          <w:strike w:val="1"/>
        </w:rPr>
        <w:t>GREEMENT</w:t>
      </w:r>
      <w:r>
        <w:rPr>
          <w:rFonts w:ascii="Arial" w:cs="Arial" w:eastAsia="Arial" w:hAnsi="Arial"/>
          <w:sz w:val="18"/>
          <w:szCs w:val="18"/>
          <w:color w:val="FF0000"/>
        </w:rPr>
        <w:t xml:space="preserve"> </w:t>
      </w:r>
      <w:r>
        <w:rPr>
          <w:rFonts w:ascii="Arial" w:cs="Arial" w:eastAsia="Arial" w:hAnsi="Arial"/>
          <w:sz w:val="18"/>
          <w:szCs w:val="18"/>
          <w:color w:val="FF0000"/>
          <w:strike w:val="1"/>
        </w:rPr>
        <w:t>(D&amp;B R</w:t>
      </w:r>
      <w:r>
        <w:rPr>
          <w:rFonts w:ascii="Arial" w:cs="Arial" w:eastAsia="Arial" w:hAnsi="Arial"/>
          <w:sz w:val="14"/>
          <w:szCs w:val="14"/>
          <w:color w:val="FF0000"/>
          <w:strike w:val="1"/>
        </w:rPr>
        <w:t>EFINANCING</w:t>
      </w:r>
      <w:r>
        <w:rPr>
          <w:rFonts w:ascii="Arial" w:cs="Arial" w:eastAsia="Arial" w:hAnsi="Arial"/>
          <w:sz w:val="18"/>
          <w:szCs w:val="18"/>
          <w:color w:val="FF0000"/>
        </w:rPr>
        <w:t xml:space="preserve"> </w:t>
      </w:r>
      <w:r>
        <w:rPr>
          <w:rFonts w:ascii="Arial" w:cs="Arial" w:eastAsia="Arial" w:hAnsi="Arial"/>
          <w:sz w:val="18"/>
          <w:szCs w:val="18"/>
          <w:color w:val="FF0000"/>
          <w:strike w:val="1"/>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-53340</wp:posOffset>
            </wp:positionV>
            <wp:extent cx="92075"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92075" cy="8255"/>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-53340</wp:posOffset>
            </wp:positionV>
            <wp:extent cx="28575"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978535</wp:posOffset>
            </wp:positionH>
            <wp:positionV relativeFrom="paragraph">
              <wp:posOffset>-53340</wp:posOffset>
            </wp:positionV>
            <wp:extent cx="104775"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04775" cy="825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-53340</wp:posOffset>
            </wp:positionV>
            <wp:extent cx="111125"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230" w:name="page231"/>
    <w:bookmarkEnd w:id="230"/>
    <w:p>
      <w:pPr>
        <w:ind w:left="6620"/>
        <w:spacing w:after="0"/>
        <w:rPr>
          <w:sz w:val="20"/>
          <w:szCs w:val="20"/>
          <w:color w:val="auto"/>
        </w:rPr>
      </w:pPr>
      <w:r>
        <w:rPr>
          <w:rFonts w:ascii="Arial" w:cs="Arial" w:eastAsia="Arial" w:hAnsi="Arial"/>
          <w:sz w:val="16"/>
          <w:szCs w:val="16"/>
          <w:color w:val="FF0000"/>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as a Lender</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FF0000"/>
          <w:strike w:val="1"/>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FF0000"/>
          <w:strike w:val="1"/>
        </w:rPr>
        <w:t>Title: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S</w:t>
      </w:r>
      <w:r>
        <w:rPr>
          <w:rFonts w:ascii="Arial" w:cs="Arial" w:eastAsia="Arial" w:hAnsi="Arial"/>
          <w:sz w:val="14"/>
          <w:szCs w:val="14"/>
          <w:color w:val="FF0000"/>
          <w:strike w:val="1"/>
        </w:rPr>
        <w:t>IGNATURE</w:t>
      </w:r>
      <w:r>
        <w:rPr>
          <w:rFonts w:ascii="Arial" w:cs="Arial" w:eastAsia="Arial" w:hAnsi="Arial"/>
          <w:sz w:val="18"/>
          <w:szCs w:val="18"/>
          <w:color w:val="FF0000"/>
        </w:rPr>
        <w:t xml:space="preserve"> P</w:t>
      </w:r>
      <w:r>
        <w:rPr>
          <w:rFonts w:ascii="Arial" w:cs="Arial" w:eastAsia="Arial" w:hAnsi="Arial"/>
          <w:sz w:val="14"/>
          <w:szCs w:val="14"/>
          <w:color w:val="FF0000"/>
          <w:strike w:val="1"/>
        </w:rPr>
        <w:t>AGE TO</w:t>
      </w:r>
      <w:r>
        <w:rPr>
          <w:rFonts w:ascii="Arial" w:cs="Arial" w:eastAsia="Arial" w:hAnsi="Arial"/>
          <w:sz w:val="18"/>
          <w:szCs w:val="18"/>
          <w:color w:val="FF0000"/>
        </w:rPr>
        <w:t xml:space="preserve"> C</w:t>
      </w:r>
      <w:r>
        <w:rPr>
          <w:rFonts w:ascii="Arial" w:cs="Arial" w:eastAsia="Arial" w:hAnsi="Arial"/>
          <w:sz w:val="14"/>
          <w:szCs w:val="14"/>
          <w:color w:val="FF0000"/>
          <w:strike w:val="1"/>
        </w:rPr>
        <w:t>REDIT</w:t>
      </w:r>
      <w:r>
        <w:rPr>
          <w:rFonts w:ascii="Arial" w:cs="Arial" w:eastAsia="Arial" w:hAnsi="Arial"/>
          <w:sz w:val="18"/>
          <w:szCs w:val="18"/>
          <w:color w:val="FF0000"/>
        </w:rPr>
        <w:t xml:space="preserve"> A</w:t>
      </w:r>
      <w:r>
        <w:rPr>
          <w:rFonts w:ascii="Arial" w:cs="Arial" w:eastAsia="Arial" w:hAnsi="Arial"/>
          <w:sz w:val="14"/>
          <w:szCs w:val="14"/>
          <w:color w:val="FF0000"/>
          <w:strike w:val="1"/>
        </w:rPr>
        <w:t>GREEMENT</w:t>
      </w:r>
      <w:r>
        <w:rPr>
          <w:rFonts w:ascii="Arial" w:cs="Arial" w:eastAsia="Arial" w:hAnsi="Arial"/>
          <w:sz w:val="18"/>
          <w:szCs w:val="18"/>
          <w:color w:val="FF0000"/>
        </w:rPr>
        <w:t xml:space="preserve"> </w:t>
      </w:r>
      <w:r>
        <w:rPr>
          <w:rFonts w:ascii="Arial" w:cs="Arial" w:eastAsia="Arial" w:hAnsi="Arial"/>
          <w:sz w:val="18"/>
          <w:szCs w:val="18"/>
          <w:color w:val="FF0000"/>
          <w:strike w:val="1"/>
        </w:rPr>
        <w:t>(D&amp;B R</w:t>
      </w:r>
      <w:r>
        <w:rPr>
          <w:rFonts w:ascii="Arial" w:cs="Arial" w:eastAsia="Arial" w:hAnsi="Arial"/>
          <w:sz w:val="14"/>
          <w:szCs w:val="14"/>
          <w:color w:val="FF0000"/>
          <w:strike w:val="1"/>
        </w:rPr>
        <w:t>EFINANCING</w:t>
      </w:r>
      <w:r>
        <w:rPr>
          <w:rFonts w:ascii="Arial" w:cs="Arial" w:eastAsia="Arial" w:hAnsi="Arial"/>
          <w:sz w:val="18"/>
          <w:szCs w:val="18"/>
          <w:color w:val="FF0000"/>
        </w:rPr>
        <w:t xml:space="preserve"> </w:t>
      </w:r>
      <w:r>
        <w:rPr>
          <w:rFonts w:ascii="Arial" w:cs="Arial" w:eastAsia="Arial" w:hAnsi="Arial"/>
          <w:sz w:val="18"/>
          <w:szCs w:val="18"/>
          <w:color w:val="FF0000"/>
          <w:strike w:val="1"/>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-53340</wp:posOffset>
            </wp:positionV>
            <wp:extent cx="92075"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92075" cy="8255"/>
                    </a:xfrm>
                    <a:prstGeom prst="rect">
                      <a:avLst/>
                    </a:prstGeom>
                    <a:noFill/>
                  </pic:spPr>
                </pic:pic>
              </a:graphicData>
            </a:graphic>
          </wp:anchor>
        </w:drawing>
        <w:drawing>
          <wp:anchor simplePos="0" relativeHeight="251657728" behindDoc="1" locked="0" layoutInCell="0" allowOverlap="1">
            <wp:simplePos x="0" y="0"/>
            <wp:positionH relativeFrom="column">
              <wp:posOffset>824865</wp:posOffset>
            </wp:positionH>
            <wp:positionV relativeFrom="paragraph">
              <wp:posOffset>-53340</wp:posOffset>
            </wp:positionV>
            <wp:extent cx="28575"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978535</wp:posOffset>
            </wp:positionH>
            <wp:positionV relativeFrom="paragraph">
              <wp:posOffset>-53340</wp:posOffset>
            </wp:positionV>
            <wp:extent cx="104775"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04775" cy="8255"/>
                    </a:xfrm>
                    <a:prstGeom prst="rect">
                      <a:avLst/>
                    </a:prstGeom>
                    <a:noFill/>
                  </pic:spPr>
                </pic:pic>
              </a:graphicData>
            </a:graphic>
          </wp:anchor>
        </w:drawing>
        <w:drawing>
          <wp:anchor simplePos="0" relativeHeight="251657728" behindDoc="1" locked="0" layoutInCell="0" allowOverlap="1">
            <wp:simplePos x="0" y="0"/>
            <wp:positionH relativeFrom="column">
              <wp:posOffset>1363345</wp:posOffset>
            </wp:positionH>
            <wp:positionV relativeFrom="paragraph">
              <wp:posOffset>-53340</wp:posOffset>
            </wp:positionV>
            <wp:extent cx="111125"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Brian A. Jenkins, Chief Executive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2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2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380" w:hanging="532"/>
        <w:spacing w:after="0" w:line="263" w:lineRule="auto"/>
        <w:tabs>
          <w:tab w:leader="none" w:pos="96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2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Date: June 11, 2020</w:t>
            </w: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Brian A. Jenkins</w:t>
            </w:r>
          </w:p>
        </w:tc>
      </w:tr>
      <w:tr>
        <w:trPr>
          <w:trHeight w:val="195"/>
        </w:trPr>
        <w:tc>
          <w:tcPr>
            <w:tcW w:w="5840" w:type="dxa"/>
            <w:vAlign w:val="bottom"/>
          </w:tcPr>
          <w:p>
            <w:pPr>
              <w:spacing w:after="0"/>
              <w:rPr>
                <w:sz w:val="16"/>
                <w:szCs w:val="16"/>
                <w:color w:val="auto"/>
              </w:rPr>
            </w:pPr>
          </w:p>
        </w:tc>
        <w:tc>
          <w:tcPr>
            <w:tcW w:w="5180" w:type="dxa"/>
            <w:vAlign w:val="bottom"/>
          </w:tcPr>
          <w:p>
            <w:pPr>
              <w:ind w:left="100"/>
              <w:spacing w:after="0" w:line="195" w:lineRule="exact"/>
              <w:rPr>
                <w:sz w:val="20"/>
                <w:szCs w:val="20"/>
                <w:color w:val="auto"/>
              </w:rPr>
            </w:pPr>
            <w:r>
              <w:rPr>
                <w:rFonts w:ascii="Arial" w:cs="Arial" w:eastAsia="Arial" w:hAnsi="Arial"/>
                <w:sz w:val="18"/>
                <w:szCs w:val="18"/>
                <w:color w:val="auto"/>
              </w:rPr>
              <w:t>Brian A. Jenkins</w:t>
            </w:r>
          </w:p>
        </w:tc>
      </w:tr>
      <w:tr>
        <w:trPr>
          <w:trHeight w:val="230"/>
        </w:trPr>
        <w:tc>
          <w:tcPr>
            <w:tcW w:w="58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4"/>
          </w:cols>
          <w:pgMar w:left="436" w:top="121" w:right="4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Scott J. Bowman, Chief Financial Officer of Dave &amp; Buster’s Entertainment, Inc., certify that:</w:t>
      </w:r>
    </w:p>
    <w:p>
      <w:pPr>
        <w:spacing w:after="0" w:line="131" w:lineRule="exact"/>
        <w:rPr>
          <w:sz w:val="20"/>
          <w:szCs w:val="20"/>
          <w:color w:val="auto"/>
        </w:rPr>
      </w:pPr>
    </w:p>
    <w:p>
      <w:pPr>
        <w:ind w:left="424" w:hanging="424"/>
        <w:spacing w:after="0"/>
        <w:tabs>
          <w:tab w:leader="none" w:pos="42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2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2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380" w:hanging="532"/>
        <w:spacing w:after="0" w:line="263" w:lineRule="auto"/>
        <w:tabs>
          <w:tab w:leader="none" w:pos="96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2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Date: June 11, 2020</w:t>
            </w: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Scott J. Bowman</w:t>
            </w:r>
          </w:p>
        </w:tc>
      </w:tr>
      <w:tr>
        <w:trPr>
          <w:trHeight w:val="195"/>
        </w:trPr>
        <w:tc>
          <w:tcPr>
            <w:tcW w:w="5840" w:type="dxa"/>
            <w:vAlign w:val="bottom"/>
          </w:tcPr>
          <w:p>
            <w:pPr>
              <w:spacing w:after="0"/>
              <w:rPr>
                <w:sz w:val="16"/>
                <w:szCs w:val="16"/>
                <w:color w:val="auto"/>
              </w:rPr>
            </w:pPr>
          </w:p>
        </w:tc>
        <w:tc>
          <w:tcPr>
            <w:tcW w:w="5180" w:type="dxa"/>
            <w:vAlign w:val="bottom"/>
          </w:tcPr>
          <w:p>
            <w:pPr>
              <w:ind w:left="100"/>
              <w:spacing w:after="0" w:line="195" w:lineRule="exact"/>
              <w:rPr>
                <w:sz w:val="20"/>
                <w:szCs w:val="20"/>
                <w:color w:val="auto"/>
              </w:rPr>
            </w:pPr>
            <w:r>
              <w:rPr>
                <w:rFonts w:ascii="Arial" w:cs="Arial" w:eastAsia="Arial" w:hAnsi="Arial"/>
                <w:sz w:val="18"/>
                <w:szCs w:val="18"/>
                <w:color w:val="auto"/>
              </w:rPr>
              <w:t>Scott J. Bowman</w:t>
            </w:r>
          </w:p>
        </w:tc>
      </w:tr>
      <w:tr>
        <w:trPr>
          <w:trHeight w:val="230"/>
        </w:trPr>
        <w:tc>
          <w:tcPr>
            <w:tcW w:w="58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4"/>
          </w:cols>
          <w:pgMar w:left="436" w:top="121" w:right="4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May 3, 2020 as filed with the Securities and Exchange Commission on the date hereof (the “Report”), I, Brian A. Jenkins, Chief Executive Officer of the Company, certify, pursuant to 18 U.S.C. Section 1350, that:</w:t>
      </w:r>
    </w:p>
    <w:p>
      <w:pPr>
        <w:spacing w:after="0" w:line="89" w:lineRule="exact"/>
        <w:rPr>
          <w:sz w:val="20"/>
          <w:szCs w:val="20"/>
          <w:color w:val="auto"/>
        </w:rPr>
      </w:pPr>
    </w:p>
    <w:p>
      <w:pPr>
        <w:ind w:left="960" w:right="380" w:hanging="532"/>
        <w:spacing w:after="0" w:line="277" w:lineRule="auto"/>
        <w:tabs>
          <w:tab w:leader="none" w:pos="9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2020</w:t>
      </w:r>
    </w:p>
    <w:p>
      <w:pPr>
        <w:spacing w:after="0" w:line="25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Brian A. Jenkins</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May 3, 2020 as filed with the Securities and Exchange Commission on the date hereof (the “Report”), I, Scott J. Bowman, Chief Financial Officer of the Company, certify, pursuant to 18 U.S.C. Section 1350, that:</w:t>
      </w:r>
    </w:p>
    <w:p>
      <w:pPr>
        <w:spacing w:after="0" w:line="89" w:lineRule="exact"/>
        <w:rPr>
          <w:sz w:val="20"/>
          <w:szCs w:val="20"/>
          <w:color w:val="auto"/>
        </w:rPr>
      </w:pPr>
    </w:p>
    <w:p>
      <w:pPr>
        <w:ind w:left="960" w:right="380" w:hanging="532"/>
        <w:spacing w:after="0" w:line="277" w:lineRule="auto"/>
        <w:tabs>
          <w:tab w:leader="none" w:pos="9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Report fully complies with the applicable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2020</w:t>
      </w:r>
    </w:p>
    <w:p>
      <w:pPr>
        <w:spacing w:after="0" w:line="25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Scott J.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Scott J. Bowman</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534CDE"/>
    <w:multiLevelType w:val="hybridMultilevel"/>
    <w:lvl w:ilvl="0">
      <w:lvlJc w:val="left"/>
      <w:lvlText w:val="☒"/>
      <w:numFmt w:val="bullet"/>
      <w:start w:val="1"/>
    </w:lvl>
  </w:abstractNum>
  <w:abstractNum w:abstractNumId="1">
    <w:nsid w:val="1A0DDE32"/>
    <w:multiLevelType w:val="hybridMultilevel"/>
    <w:lvl w:ilvl="0">
      <w:lvlJc w:val="left"/>
      <w:lvlText w:val="☐"/>
      <w:numFmt w:val="bullet"/>
      <w:start w:val="1"/>
    </w:lvl>
  </w:abstractNum>
  <w:abstractNum w:abstractNumId="2">
    <w:nsid w:val="65968C1C"/>
    <w:multiLevelType w:val="hybridMultilevel"/>
    <w:lvl w:ilvl="0">
      <w:lvlJc w:val="left"/>
      <w:lvlText w:val="(%1)"/>
      <w:numFmt w:val="decimal"/>
      <w:start w:val="1"/>
    </w:lvl>
  </w:abstractNum>
  <w:abstractNum w:abstractNumId="3">
    <w:nsid w:val="46263DEC"/>
    <w:multiLevelType w:val="hybridMultilevel"/>
    <w:lvl w:ilvl="0">
      <w:lvlJc w:val="left"/>
      <w:lvlText w:val="(%1)"/>
      <w:numFmt w:val="decimal"/>
      <w:start w:val="1"/>
    </w:lvl>
  </w:abstractNum>
  <w:abstractNum w:abstractNumId="4">
    <w:nsid w:val="260D8C4A"/>
    <w:multiLevelType w:val="hybridMultilevel"/>
    <w:lvl w:ilvl="0">
      <w:lvlJc w:val="left"/>
      <w:lvlText w:val="(%1)"/>
      <w:numFmt w:val="decimal"/>
      <w:start w:val="1"/>
    </w:lvl>
  </w:abstractNum>
  <w:abstractNum w:abstractNumId="5">
    <w:nsid w:val="73D4D3C4"/>
    <w:multiLevelType w:val="hybridMultilevel"/>
    <w:lvl w:ilvl="0">
      <w:lvlJc w:val="left"/>
      <w:lvlText w:val="(%1)"/>
      <w:numFmt w:val="decimal"/>
      <w:start w:val="1"/>
    </w:lvl>
  </w:abstractNum>
  <w:abstractNum w:abstractNumId="6">
    <w:nsid w:val="746F2E30"/>
    <w:multiLevelType w:val="hybridMultilevel"/>
    <w:lvl w:ilvl="0">
      <w:lvlJc w:val="left"/>
      <w:lvlText w:val="•"/>
      <w:numFmt w:val="bullet"/>
      <w:start w:val="1"/>
    </w:lvl>
  </w:abstractNum>
  <w:abstractNum w:abstractNumId="7">
    <w:nsid w:val="6FDE8AF6"/>
    <w:multiLevelType w:val="hybridMultilevel"/>
    <w:lvl w:ilvl="0">
      <w:lvlJc w:val="left"/>
      <w:lvlText w:val="•"/>
      <w:numFmt w:val="bullet"/>
      <w:start w:val="1"/>
    </w:lvl>
  </w:abstractNum>
  <w:abstractNum w:abstractNumId="8">
    <w:nsid w:val="3FC32E20"/>
    <w:multiLevelType w:val="hybridMultilevel"/>
    <w:lvl w:ilvl="0">
      <w:lvlJc w:val="left"/>
      <w:lvlText w:val="(%1)"/>
      <w:numFmt w:val="decimal"/>
      <w:start w:val="1"/>
    </w:lvl>
  </w:abstractNum>
  <w:abstractNum w:abstractNumId="9">
    <w:nsid w:val="49C0E823"/>
    <w:multiLevelType w:val="hybridMultilevel"/>
    <w:lvl w:ilvl="0">
      <w:lvlJc w:val="left"/>
      <w:lvlText w:val="(%1)"/>
      <w:numFmt w:val="decimal"/>
      <w:start w:val="1"/>
    </w:lvl>
  </w:abstractNum>
  <w:abstractNum w:abstractNumId="10">
    <w:nsid w:val="14D53685"/>
    <w:multiLevelType w:val="hybridMultilevel"/>
    <w:lvl w:ilvl="0">
      <w:lvlJc w:val="left"/>
      <w:lvlText w:val="•"/>
      <w:numFmt w:val="bullet"/>
      <w:start w:val="1"/>
    </w:lvl>
  </w:abstractNum>
  <w:abstractNum w:abstractNumId="11">
    <w:nsid w:val="230F856C"/>
    <w:multiLevelType w:val="hybridMultilevel"/>
    <w:lvl w:ilvl="0">
      <w:lvlJc w:val="left"/>
      <w:lvlText w:val="•"/>
      <w:numFmt w:val="bullet"/>
      <w:start w:val="1"/>
    </w:lvl>
  </w:abstractNum>
  <w:abstractNum w:abstractNumId="12">
    <w:nsid w:val="6EAA85FB"/>
    <w:multiLevelType w:val="hybridMultilevel"/>
    <w:lvl w:ilvl="0">
      <w:lvlJc w:val="left"/>
      <w:lvlText w:val="•"/>
      <w:numFmt w:val="bullet"/>
      <w:start w:val="1"/>
    </w:lvl>
  </w:abstractNum>
  <w:abstractNum w:abstractNumId="13">
    <w:nsid w:val="3F06ECB2"/>
    <w:multiLevelType w:val="hybridMultilevel"/>
    <w:lvl w:ilvl="0">
      <w:lvlJc w:val="left"/>
      <w:lvlText w:val="•"/>
      <w:numFmt w:val="bullet"/>
      <w:start w:val="1"/>
    </w:lvl>
  </w:abstractNum>
  <w:abstractNum w:abstractNumId="14">
    <w:nsid w:val="3B594807"/>
    <w:multiLevelType w:val="hybridMultilevel"/>
    <w:lvl w:ilvl="0">
      <w:lvlJc w:val="left"/>
      <w:lvlText w:val="*"/>
      <w:numFmt w:val="bullet"/>
      <w:start w:val="1"/>
    </w:lvl>
    <w:lvl w:ilvl="1">
      <w:lvlJc w:val="left"/>
      <w:lvlText w:val="%2"/>
      <w:numFmt w:val="decimal"/>
      <w:start w:val="104"/>
    </w:lvl>
  </w:abstractNum>
  <w:abstractNum w:abstractNumId="15">
    <w:nsid w:val="6CAA2304"/>
    <w:multiLevelType w:val="hybridMultilevel"/>
    <w:lvl w:ilvl="0">
      <w:lvlJc w:val="left"/>
      <w:lvlText w:val="%1."/>
      <w:numFmt w:val="decimal"/>
      <w:start w:val="1"/>
    </w:lvl>
  </w:abstractNum>
  <w:abstractNum w:abstractNumId="16">
    <w:nsid w:val="3F7C2FF4"/>
    <w:multiLevelType w:val="hybridMultilevel"/>
    <w:lvl w:ilvl="0">
      <w:lvlJc w:val="left"/>
      <w:lvlText w:val="(%1)"/>
      <w:numFmt w:val="decimal"/>
      <w:start w:val="1"/>
    </w:lvl>
  </w:abstractNum>
  <w:abstractNum w:abstractNumId="17">
    <w:nsid w:val="25413BEC"/>
    <w:multiLevelType w:val="hybridMultilevel"/>
    <w:lvl w:ilvl="0">
      <w:lvlJc w:val="left"/>
      <w:lvlText w:val="(%1)"/>
      <w:numFmt w:val="decimal"/>
      <w:start w:val="2"/>
    </w:lvl>
  </w:abstractNum>
  <w:abstractNum w:abstractNumId="18">
    <w:nsid w:val="17180B0B"/>
    <w:multiLevelType w:val="hybridMultilevel"/>
    <w:lvl w:ilvl="0">
      <w:lvlJc w:val="left"/>
      <w:lvlText w:val="%1."/>
      <w:numFmt w:val="decimal"/>
      <w:start w:val="3"/>
    </w:lvl>
  </w:abstractNum>
  <w:abstractNum w:abstractNumId="19">
    <w:nsid w:val="579328B9"/>
    <w:multiLevelType w:val="hybridMultilevel"/>
    <w:lvl w:ilvl="0">
      <w:lvlJc w:val="left"/>
      <w:lvlText w:val="%1."/>
      <w:numFmt w:val="decimal"/>
      <w:start w:val="4"/>
    </w:lvl>
  </w:abstractNum>
  <w:abstractNum w:abstractNumId="20">
    <w:nsid w:val="5D205E20"/>
    <w:multiLevelType w:val="hybridMultilevel"/>
    <w:lvl w:ilvl="0">
      <w:lvlJc w:val="left"/>
      <w:lvlText w:val="%1."/>
      <w:numFmt w:val="decimal"/>
      <w:start w:val="7"/>
    </w:lvl>
  </w:abstractNum>
  <w:abstractNum w:abstractNumId="21">
    <w:nsid w:val="11CCA8BA"/>
    <w:multiLevelType w:val="hybridMultilevel"/>
    <w:lvl w:ilvl="0">
      <w:lvlJc w:val="left"/>
      <w:lvlText w:val="(%1)"/>
      <w:numFmt w:val="lowerLetter"/>
      <w:start w:val="1"/>
    </w:lvl>
  </w:abstractNum>
  <w:abstractNum w:abstractNumId="22">
    <w:nsid w:val="4D32AB86"/>
    <w:multiLevelType w:val="hybridMultilevel"/>
    <w:lvl w:ilvl="0">
      <w:lvlJc w:val="left"/>
      <w:lvlText w:val="%1."/>
      <w:numFmt w:val="decimal"/>
      <w:start w:val="8"/>
    </w:lvl>
  </w:abstractNum>
  <w:abstractNum w:abstractNumId="23">
    <w:nsid w:val="3F07ACC3"/>
    <w:multiLevelType w:val="hybridMultilevel"/>
    <w:lvl w:ilvl="0">
      <w:lvlJc w:val="left"/>
      <w:lvlText w:val="%1."/>
      <w:numFmt w:val="decimal"/>
      <w:start w:val="9"/>
    </w:lvl>
  </w:abstractNum>
  <w:abstractNum w:abstractNumId="24">
    <w:nsid w:val="6B47F63E"/>
    <w:multiLevelType w:val="hybridMultilevel"/>
    <w:lvl w:ilvl="0">
      <w:lvlJc w:val="left"/>
      <w:lvlText w:val="%1."/>
      <w:numFmt w:val="lowerRoman"/>
      <w:start w:val="1"/>
    </w:lvl>
  </w:abstractNum>
  <w:abstractNum w:abstractNumId="25">
    <w:nsid w:val="5CB44A05"/>
    <w:multiLevelType w:val="hybridMultilevel"/>
    <w:lvl w:ilvl="0">
      <w:lvlJc w:val="left"/>
      <w:lvlText w:val="%1"/>
      <w:numFmt w:val="decimal"/>
      <w:start w:val="1"/>
    </w:lvl>
    <w:lvl w:ilvl="1">
      <w:lvlJc w:val="left"/>
      <w:lvlText w:val="%2."/>
      <w:numFmt w:val="lowerRoman"/>
      <w:start w:val="4"/>
    </w:lvl>
  </w:abstractNum>
  <w:abstractNum w:abstractNumId="26">
    <w:nsid w:val="16CF80F1"/>
    <w:multiLevelType w:val="hybridMultilevel"/>
    <w:lvl w:ilvl="0">
      <w:lvlJc w:val="left"/>
      <w:lvlText w:val="%1."/>
      <w:numFmt w:val="decimal"/>
      <w:start w:val="11"/>
    </w:lvl>
    <w:lvl w:ilvl="1">
      <w:lvlJc w:val="left"/>
      <w:lvlText w:val="%2"/>
      <w:numFmt w:val="lowerRoman"/>
      <w:start w:val="1"/>
    </w:lvl>
  </w:abstractNum>
  <w:abstractNum w:abstractNumId="27">
    <w:nsid w:val="1C695DEC"/>
    <w:multiLevelType w:val="hybridMultilevel"/>
    <w:lvl w:ilvl="0">
      <w:lvlJc w:val="left"/>
      <w:lvlText w:val="%1"/>
      <w:numFmt w:val="lowerLetter"/>
      <w:start w:val="1"/>
    </w:lvl>
    <w:lvl w:ilvl="1">
      <w:lvlJc w:val="left"/>
      <w:lvlText w:val="%2."/>
      <w:numFmt w:val="decimal"/>
      <w:start w:val="15"/>
    </w:lvl>
  </w:abstractNum>
  <w:abstractNum w:abstractNumId="28">
    <w:nsid w:val="3FCFAED9"/>
    <w:multiLevelType w:val="hybridMultilevel"/>
    <w:lvl w:ilvl="0">
      <w:lvlJc w:val="left"/>
      <w:lvlText w:val="(%1)"/>
      <w:numFmt w:val="lowerLetter"/>
      <w:start w:val="1"/>
    </w:lvl>
    <w:lvl w:ilvl="1">
      <w:lvlJc w:val="left"/>
      <w:lvlText w:val="%2"/>
      <w:numFmt w:val="decimal"/>
      <w:start w:val="1"/>
    </w:lvl>
  </w:abstractNum>
  <w:abstractNum w:abstractNumId="29">
    <w:nsid w:val="F856867"/>
    <w:multiLevelType w:val="hybridMultilevel"/>
    <w:lvl w:ilvl="0">
      <w:lvlJc w:val="left"/>
      <w:lvlText w:val="(%1)"/>
      <w:numFmt w:val="lowerLetter"/>
      <w:start w:val="2"/>
    </w:lvl>
    <w:lvl w:ilvl="1">
      <w:lvlJc w:val="left"/>
      <w:lvlText w:val="%2."/>
      <w:numFmt w:val="decimal"/>
      <w:start w:val="18"/>
    </w:lvl>
  </w:abstractNum>
  <w:abstractNum w:abstractNumId="30">
    <w:nsid w:val="11B1CC33"/>
    <w:multiLevelType w:val="hybridMultilevel"/>
    <w:lvl w:ilvl="0">
      <w:lvlJc w:val="left"/>
      <w:lvlText w:val="%1."/>
      <w:numFmt w:val="decimal"/>
      <w:start w:val="20"/>
    </w:lvl>
  </w:abstractNum>
  <w:abstractNum w:abstractNumId="31">
    <w:nsid w:val="2E22FBB7"/>
    <w:multiLevelType w:val="hybridMultilevel"/>
    <w:lvl w:ilvl="0">
      <w:lvlJc w:val="left"/>
      <w:lvlText w:val="%1."/>
      <w:numFmt w:val="decimal"/>
      <w:start w:val="25"/>
    </w:lvl>
  </w:abstractNum>
  <w:abstractNum w:abstractNumId="32">
    <w:nsid w:val="29934699"/>
    <w:multiLevelType w:val="hybridMultilevel"/>
    <w:lvl w:ilvl="0">
      <w:lvlJc w:val="left"/>
      <w:lvlText w:val="%1."/>
      <w:numFmt w:val="decimal"/>
      <w:start w:val="26"/>
    </w:lvl>
  </w:abstractNum>
  <w:abstractNum w:abstractNumId="33">
    <w:nsid w:val="77485850"/>
    <w:multiLevelType w:val="hybridMultilevel"/>
    <w:lvl w:ilvl="0">
      <w:lvlJc w:val="left"/>
      <w:lvlText w:val="(%1)"/>
      <w:numFmt w:val="lowerLetter"/>
      <w:start w:val="1"/>
    </w:lvl>
  </w:abstractNum>
  <w:abstractNum w:abstractNumId="34">
    <w:nsid w:val="744939A3"/>
    <w:multiLevelType w:val="hybridMultilevel"/>
    <w:lvl w:ilvl="0">
      <w:lvlJc w:val="left"/>
      <w:lvlText w:val="(%1)"/>
      <w:numFmt w:val="lowerLetter"/>
      <w:start w:val="3"/>
    </w:lvl>
  </w:abstractNum>
  <w:abstractNum w:abstractNumId="35">
    <w:nsid w:val="4FA0D2E3"/>
    <w:multiLevelType w:val="hybridMultilevel"/>
    <w:lvl w:ilvl="0">
      <w:lvlJc w:val="left"/>
      <w:lvlText w:val="(%1)"/>
      <w:numFmt w:val="lowerLetter"/>
      <w:start w:val="1"/>
    </w:lvl>
  </w:abstractNum>
  <w:abstractNum w:abstractNumId="36">
    <w:nsid w:val="6B1D2C14"/>
    <w:multiLevelType w:val="hybridMultilevel"/>
    <w:lvl w:ilvl="0">
      <w:lvlJc w:val="left"/>
      <w:lvlText w:val="(%1)"/>
      <w:numFmt w:val="lowerLetter"/>
      <w:start w:val="1"/>
    </w:lvl>
  </w:abstractNum>
  <w:abstractNum w:abstractNumId="37">
    <w:nsid w:val="68B867D3"/>
    <w:multiLevelType w:val="hybridMultilevel"/>
    <w:lvl w:ilvl="0">
      <w:lvlJc w:val="left"/>
      <w:lvlText w:val="(%1)"/>
      <w:numFmt w:val="lowerLetter"/>
      <w:start w:val="2"/>
    </w:lvl>
  </w:abstractNum>
  <w:abstractNum w:abstractNumId="38">
    <w:nsid w:val="3F7F5DD9"/>
    <w:multiLevelType w:val="hybridMultilevel"/>
    <w:lvl w:ilvl="0">
      <w:lvlJc w:val="left"/>
      <w:lvlText w:val="(%1)"/>
      <w:numFmt w:val="lowerLetter"/>
      <w:start w:val="11"/>
    </w:lvl>
  </w:abstractNum>
  <w:abstractNum w:abstractNumId="39">
    <w:nsid w:val="2AE05A34"/>
    <w:multiLevelType w:val="hybridMultilevel"/>
    <w:lvl w:ilvl="0">
      <w:lvlJc w:val="left"/>
      <w:lvlText w:val="(%1)"/>
      <w:numFmt w:val="decimal"/>
      <w:start w:val="60"/>
    </w:lvl>
  </w:abstractNum>
  <w:abstractNum w:abstractNumId="40">
    <w:nsid w:val="32794FF7"/>
    <w:multiLevelType w:val="hybridMultilevel"/>
    <w:lvl w:ilvl="0">
      <w:lvlJc w:val="left"/>
      <w:lvlText w:val="(%1)"/>
      <w:numFmt w:val="lowerLetter"/>
      <w:start w:val="1"/>
    </w:lvl>
  </w:abstractNum>
  <w:abstractNum w:abstractNumId="41">
    <w:nsid w:val="5454945E"/>
    <w:multiLevelType w:val="hybridMultilevel"/>
    <w:lvl w:ilvl="0">
      <w:lvlJc w:val="left"/>
      <w:lvlText w:val="(%1)"/>
      <w:numFmt w:val="lowerLetter"/>
      <w:start w:val="4"/>
    </w:lvl>
  </w:abstractNum>
  <w:abstractNum w:abstractNumId="42">
    <w:nsid w:val="4DEFDFA0"/>
    <w:multiLevelType w:val="hybridMultilevel"/>
    <w:lvl w:ilvl="0">
      <w:lvlJc w:val="left"/>
      <w:lvlText w:val="(%1)"/>
      <w:numFmt w:val="upperLetter"/>
      <w:start w:val="2"/>
    </w:lvl>
  </w:abstractNum>
  <w:abstractNum w:abstractNumId="43">
    <w:nsid w:val="2123D5F2"/>
    <w:multiLevelType w:val="hybridMultilevel"/>
    <w:lvl w:ilvl="0">
      <w:lvlJc w:val="left"/>
      <w:lvlText w:val="(%1)"/>
      <w:numFmt w:val="upperLetter"/>
      <w:start w:val="1"/>
    </w:lvl>
  </w:abstractNum>
  <w:abstractNum w:abstractNumId="44">
    <w:nsid w:val="135B8110"/>
    <w:multiLevelType w:val="hybridMultilevel"/>
    <w:lvl w:ilvl="0">
      <w:lvlJc w:val="left"/>
      <w:lvlText w:val="(%1)"/>
      <w:numFmt w:val="lowerRoman"/>
      <w:start w:val="2"/>
    </w:lvl>
  </w:abstractNum>
  <w:abstractNum w:abstractNumId="45">
    <w:nsid w:val="94927A8"/>
    <w:multiLevelType w:val="hybridMultilevel"/>
    <w:lvl w:ilvl="0">
      <w:lvlJc w:val="left"/>
      <w:lvlText w:val="(%1)"/>
      <w:numFmt w:val="lowerLetter"/>
      <w:start w:val="1"/>
    </w:lvl>
    <w:lvl w:ilvl="1">
      <w:lvlJc w:val="left"/>
      <w:lvlText w:val="(%2)"/>
      <w:numFmt w:val="lowerLetter"/>
      <w:start w:val="9"/>
    </w:lvl>
  </w:abstractNum>
  <w:abstractNum w:abstractNumId="46">
    <w:nsid w:val="DCDF8F6"/>
    <w:multiLevelType w:val="hybridMultilevel"/>
    <w:lvl w:ilvl="0">
      <w:lvlJc w:val="left"/>
      <w:lvlText w:val="%1"/>
      <w:numFmt w:val="lowerLetter"/>
      <w:start w:val="1"/>
    </w:lvl>
    <w:lvl w:ilvl="1">
      <w:lvlJc w:val="left"/>
      <w:lvlText w:val="(%2)"/>
      <w:numFmt w:val="lowerLetter"/>
      <w:start w:val="35"/>
    </w:lvl>
  </w:abstractNum>
  <w:abstractNum w:abstractNumId="47">
    <w:nsid w:val="52D7B105"/>
    <w:multiLevelType w:val="hybridMultilevel"/>
    <w:lvl w:ilvl="0">
      <w:lvlJc w:val="left"/>
      <w:lvlText w:val="(%1)"/>
      <w:numFmt w:val="lowerLetter"/>
      <w:start w:val="3"/>
    </w:lvl>
    <w:lvl w:ilvl="1">
      <w:lvlJc w:val="left"/>
      <w:lvlText w:val="%2"/>
      <w:numFmt w:val="lowerLetter"/>
      <w:start w:val="1"/>
    </w:lvl>
  </w:abstractNum>
  <w:abstractNum w:abstractNumId="48">
    <w:nsid w:val="2E8A6394"/>
    <w:multiLevelType w:val="hybridMultilevel"/>
    <w:lvl w:ilvl="0">
      <w:lvlJc w:val="left"/>
      <w:lvlText w:val="%1"/>
      <w:numFmt w:val="lowerLetter"/>
      <w:start w:val="1"/>
    </w:lvl>
    <w:lvl w:ilvl="1">
      <w:lvlJc w:val="left"/>
      <w:lvlText w:val="(%2)"/>
      <w:numFmt w:val="lowerLetter"/>
      <w:start w:val="4"/>
    </w:lvl>
  </w:abstractNum>
  <w:abstractNum w:abstractNumId="49">
    <w:nsid w:val="24E60401"/>
    <w:multiLevelType w:val="hybridMultilevel"/>
    <w:lvl w:ilvl="0">
      <w:lvlJc w:val="left"/>
      <w:lvlText w:val="(%1)"/>
      <w:numFmt w:val="lowerLetter"/>
      <w:start w:val="35"/>
    </w:lvl>
    <w:lvl w:ilvl="1">
      <w:lvlJc w:val="left"/>
      <w:lvlText w:val="%2"/>
      <w:numFmt w:val="lowerLetter"/>
      <w:start w:val="1"/>
    </w:lvl>
  </w:abstractNum>
  <w:abstractNum w:abstractNumId="50">
    <w:nsid w:val="2A6AD9BE"/>
    <w:multiLevelType w:val="hybridMultilevel"/>
    <w:lvl w:ilvl="0">
      <w:lvlJc w:val="left"/>
      <w:lvlText w:val="(%1)"/>
      <w:numFmt w:val="lowerLetter"/>
      <w:start w:val="5"/>
    </w:lvl>
  </w:abstractNum>
  <w:abstractNum w:abstractNumId="51">
    <w:nsid w:val="BAAC1B4"/>
    <w:multiLevelType w:val="hybridMultilevel"/>
    <w:lvl w:ilvl="0">
      <w:lvlJc w:val="left"/>
      <w:lvlText w:val="(%1)"/>
      <w:numFmt w:val="lowerLetter"/>
      <w:start w:val="7"/>
    </w:lvl>
  </w:abstractNum>
  <w:abstractNum w:abstractNumId="52">
    <w:nsid w:val="36B2ACBC"/>
    <w:multiLevelType w:val="hybridMultilevel"/>
    <w:lvl w:ilvl="0">
      <w:lvlJc w:val="left"/>
      <w:lvlText w:val="(%1)"/>
      <w:numFmt w:val="lowerLetter"/>
      <w:start w:val="8"/>
    </w:lvl>
    <w:lvl w:ilvl="1">
      <w:lvlJc w:val="left"/>
      <w:lvlText w:val="(%2)"/>
      <w:numFmt w:val="lowerRoman"/>
      <w:start w:val="1"/>
    </w:lvl>
  </w:abstractNum>
  <w:abstractNum w:abstractNumId="53">
    <w:nsid w:val="779D8544"/>
    <w:multiLevelType w:val="hybridMultilevel"/>
    <w:lvl w:ilvl="0">
      <w:lvlJc w:val="left"/>
      <w:lvlText w:val="%1"/>
      <w:numFmt w:val="lowerLetter"/>
      <w:start w:val="1"/>
    </w:lvl>
    <w:lvl w:ilvl="1">
      <w:lvlJc w:val="left"/>
      <w:lvlText w:val="(%2)"/>
      <w:numFmt w:val="lowerLetter"/>
      <w:start w:val="10"/>
    </w:lvl>
  </w:abstractNum>
  <w:abstractNum w:abstractNumId="54">
    <w:nsid w:val="4AB26E78"/>
    <w:multiLevelType w:val="hybridMultilevel"/>
    <w:lvl w:ilvl="0">
      <w:lvlJc w:val="left"/>
      <w:lvlText w:val="(%1)"/>
      <w:numFmt w:val="lowerLetter"/>
      <w:start w:val="35"/>
    </w:lvl>
    <w:lvl w:ilvl="1">
      <w:lvlJc w:val="left"/>
      <w:lvlText w:val="%2"/>
      <w:numFmt w:val="lowerLetter"/>
      <w:start w:val="1"/>
    </w:lvl>
  </w:abstractNum>
  <w:abstractNum w:abstractNumId="55">
    <w:nsid w:val="21FAA2FA"/>
    <w:multiLevelType w:val="hybridMultilevel"/>
    <w:lvl w:ilvl="0">
      <w:lvlJc w:val="left"/>
      <w:lvlText w:val="(%1)"/>
      <w:numFmt w:val="lowerLetter"/>
      <w:start w:val="1"/>
    </w:lvl>
  </w:abstractNum>
  <w:abstractNum w:abstractNumId="56">
    <w:nsid w:val="5451CF49"/>
    <w:multiLevelType w:val="hybridMultilevel"/>
    <w:lvl w:ilvl="0">
      <w:lvlJc w:val="left"/>
      <w:lvlText w:val="(%1)"/>
      <w:numFmt w:val="lowerLetter"/>
      <w:start w:val="2"/>
    </w:lvl>
    <w:lvl w:ilvl="1">
      <w:lvlJc w:val="left"/>
      <w:lvlText w:val="(%2)"/>
      <w:numFmt w:val="lowerLetter"/>
      <w:start w:val="2"/>
    </w:lvl>
  </w:abstractNum>
  <w:abstractNum w:abstractNumId="57">
    <w:nsid w:val="6181EF69"/>
    <w:multiLevelType w:val="hybridMultilevel"/>
    <w:lvl w:ilvl="0">
      <w:lvlJc w:val="left"/>
      <w:lvlText w:val="(%1)"/>
      <w:numFmt w:val="lowerRoman"/>
      <w:start w:val="1"/>
    </w:lvl>
  </w:abstractNum>
  <w:abstractNum w:abstractNumId="58">
    <w:nsid w:val="3E6400E6"/>
    <w:multiLevelType w:val="hybridMultilevel"/>
    <w:lvl w:ilvl="0">
      <w:lvlJc w:val="left"/>
      <w:lvlText w:val="(%1)"/>
      <w:numFmt w:val="lowerRoman"/>
      <w:start w:val="3"/>
    </w:lvl>
  </w:abstractNum>
  <w:abstractNum w:abstractNumId="59">
    <w:nsid w:val="14217E23"/>
    <w:multiLevelType w:val="hybridMultilevel"/>
    <w:lvl w:ilvl="0">
      <w:lvlJc w:val="left"/>
      <w:lvlText w:val="(%1)"/>
      <w:numFmt w:val="lowerLetter"/>
      <w:start w:val="3"/>
    </w:lvl>
  </w:abstractNum>
  <w:abstractNum w:abstractNumId="60">
    <w:nsid w:val="710757D0"/>
    <w:multiLevelType w:val="hybridMultilevel"/>
    <w:lvl w:ilvl="0">
      <w:lvlJc w:val="left"/>
      <w:lvlText w:val="%1"/>
      <w:numFmt w:val="lowerLetter"/>
      <w:start w:val="1"/>
    </w:lvl>
    <w:lvl w:ilvl="1">
      <w:lvlJc w:val="left"/>
      <w:lvlText w:val="(%2)"/>
      <w:numFmt w:val="lowerLetter"/>
      <w:start w:val="1"/>
    </w:lvl>
  </w:abstractNum>
  <w:abstractNum w:abstractNumId="61">
    <w:nsid w:val="5015CD1A"/>
    <w:multiLevelType w:val="hybridMultilevel"/>
    <w:lvl w:ilvl="0">
      <w:lvlJc w:val="left"/>
      <w:lvlText w:val="(%1)"/>
      <w:numFmt w:val="lowerLetter"/>
      <w:start w:val="25"/>
    </w:lvl>
    <w:lvl w:ilvl="1">
      <w:lvlJc w:val="left"/>
      <w:lvlText w:val="(%2)"/>
      <w:numFmt w:val="lowerLetter"/>
      <w:start w:val="2"/>
    </w:lvl>
  </w:abstractNum>
  <w:abstractNum w:abstractNumId="62">
    <w:nsid w:val="424479DA"/>
    <w:multiLevelType w:val="hybridMultilevel"/>
    <w:lvl w:ilvl="0">
      <w:lvlJc w:val="left"/>
      <w:lvlText w:val="%1"/>
      <w:numFmt w:val="upperLetter"/>
      <w:start w:val="1"/>
    </w:lvl>
    <w:lvl w:ilvl="1">
      <w:lvlJc w:val="left"/>
      <w:lvlText w:val="(%2)"/>
      <w:numFmt w:val="lowerLetter"/>
      <w:start w:val="3"/>
    </w:lvl>
  </w:abstractNum>
  <w:abstractNum w:abstractNumId="63">
    <w:nsid w:val="1A9A9E69"/>
    <w:multiLevelType w:val="hybridMultilevel"/>
    <w:lvl w:ilvl="0">
      <w:lvlJc w:val="left"/>
      <w:lvlText w:val="(%1)"/>
      <w:numFmt w:val="upperLetter"/>
      <w:start w:val="1"/>
    </w:lvl>
    <w:lvl w:ilvl="1">
      <w:lvlJc w:val="left"/>
      <w:lvlText w:val="%2"/>
      <w:numFmt w:val="lowerLetter"/>
      <w:start w:val="1"/>
    </w:lvl>
  </w:abstractNum>
  <w:abstractNum w:abstractNumId="64">
    <w:nsid w:val="475E256A"/>
    <w:multiLevelType w:val="hybridMultilevel"/>
    <w:lvl w:ilvl="0">
      <w:lvlJc w:val="left"/>
      <w:lvlText w:val="(%1)"/>
      <w:numFmt w:val="lowerLetter"/>
      <w:start w:val="6"/>
    </w:lvl>
  </w:abstractNum>
  <w:abstractNum w:abstractNumId="65">
    <w:nsid w:val="368DB37E"/>
    <w:multiLevelType w:val="hybridMultilevel"/>
    <w:lvl w:ilvl="0">
      <w:lvlJc w:val="left"/>
      <w:lvlText w:val="(%1)"/>
      <w:numFmt w:val="lowerRoman"/>
      <w:start w:val="1"/>
    </w:lvl>
  </w:abstractNum>
  <w:abstractNum w:abstractNumId="66">
    <w:nsid w:val="6A3B714C"/>
    <w:multiLevelType w:val="hybridMultilevel"/>
    <w:lvl w:ilvl="0">
      <w:lvlJc w:val="left"/>
      <w:lvlText w:val="(%1)"/>
      <w:numFmt w:val="lowerLetter"/>
      <w:start w:val="1"/>
    </w:lvl>
  </w:abstractNum>
  <w:abstractNum w:abstractNumId="67">
    <w:nsid w:val="327B517E"/>
    <w:multiLevelType w:val="hybridMultilevel"/>
    <w:lvl w:ilvl="0">
      <w:lvlJc w:val="left"/>
      <w:lvlText w:val=","/>
      <w:numFmt w:val="bullet"/>
      <w:start w:val="1"/>
    </w:lvl>
  </w:abstractNum>
  <w:abstractNum w:abstractNumId="68">
    <w:nsid w:val="1F461B51"/>
    <w:multiLevelType w:val="hybridMultilevel"/>
    <w:lvl w:ilvl="0">
      <w:lvlJc w:val="left"/>
      <w:lvlText w:val="(%1)"/>
      <w:numFmt w:val="lowerLetter"/>
      <w:start w:val="2"/>
    </w:lvl>
  </w:abstractNum>
  <w:abstractNum w:abstractNumId="69">
    <w:nsid w:val="29BACF25"/>
    <w:multiLevelType w:val="hybridMultilevel"/>
    <w:lvl w:ilvl="0">
      <w:lvlJc w:val="left"/>
      <w:lvlText w:val="(%1)"/>
      <w:numFmt w:val="lowerLetter"/>
      <w:start w:val="1"/>
    </w:lvl>
    <w:lvl w:ilvl="1">
      <w:lvlJc w:val="left"/>
      <w:lvlText w:val="(%2)"/>
      <w:numFmt w:val="lowerLetter"/>
      <w:start w:val="9"/>
    </w:lvl>
  </w:abstractNum>
  <w:abstractNum w:abstractNumId="70">
    <w:nsid w:val="5D5BABB3"/>
    <w:multiLevelType w:val="hybridMultilevel"/>
    <w:lvl w:ilvl="0">
      <w:lvlJc w:val="left"/>
      <w:lvlText w:val="%1"/>
      <w:numFmt w:val="lowerRoman"/>
      <w:start w:val="1"/>
    </w:lvl>
    <w:lvl w:ilvl="1">
      <w:lvlJc w:val="left"/>
      <w:lvlText w:val="(%2)"/>
      <w:numFmt w:val="lowerRoman"/>
      <w:start w:val="2"/>
    </w:lvl>
  </w:abstractNum>
  <w:abstractNum w:abstractNumId="71">
    <w:nsid w:val="51BF6B48"/>
    <w:multiLevelType w:val="hybridMultilevel"/>
    <w:lvl w:ilvl="0">
      <w:lvlJc w:val="left"/>
      <w:lvlText w:val="(%1)"/>
      <w:numFmt w:val="lowerRoman"/>
      <w:start w:val="3"/>
    </w:lvl>
    <w:lvl w:ilvl="1">
      <w:lvlJc w:val="left"/>
      <w:lvlText w:val="%2"/>
      <w:numFmt w:val="lowerRoman"/>
      <w:start w:val="1"/>
    </w:lvl>
  </w:abstractNum>
  <w:abstractNum w:abstractNumId="72">
    <w:nsid w:val="7E0F638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73">
    <w:nsid w:val="2B4B8B53"/>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74">
    <w:nsid w:val="72E3413A"/>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75">
    <w:nsid w:val="116AE494"/>
    <w:multiLevelType w:val="hybridMultilevel"/>
    <w:lvl w:ilvl="0">
      <w:lvlJc w:val="left"/>
      <w:lvlText w:val="(%1)"/>
      <w:numFmt w:val="lowerLetter"/>
      <w:start w:val="5"/>
    </w:lvl>
  </w:abstractNum>
  <w:abstractNum w:abstractNumId="76">
    <w:nsid w:val="3494B2FB"/>
    <w:multiLevelType w:val="hybridMultilevel"/>
    <w:lvl w:ilvl="0">
      <w:lvlJc w:val="left"/>
      <w:lvlText w:val="(%1)"/>
      <w:numFmt w:val="lowerLetter"/>
      <w:start w:val="1"/>
    </w:lvl>
  </w:abstractNum>
  <w:abstractNum w:abstractNumId="77">
    <w:nsid w:val="B13A31"/>
    <w:multiLevelType w:val="hybridMultilevel"/>
    <w:lvl w:ilvl="0">
      <w:lvlJc w:val="left"/>
      <w:lvlText w:val="(%1)"/>
      <w:numFmt w:val="lowerLetter"/>
      <w:start w:val="4"/>
    </w:lvl>
  </w:abstractNum>
  <w:abstractNum w:abstractNumId="78">
    <w:nsid w:val="64429599"/>
    <w:multiLevelType w:val="hybridMultilevel"/>
    <w:lvl w:ilvl="0">
      <w:lvlJc w:val="left"/>
      <w:lvlText w:val="(%1)"/>
      <w:numFmt w:val="lowerLetter"/>
      <w:start w:val="1"/>
    </w:lvl>
  </w:abstractNum>
  <w:abstractNum w:abstractNumId="79">
    <w:nsid w:val="631F1690"/>
    <w:multiLevelType w:val="hybridMultilevel"/>
    <w:lvl w:ilvl="0">
      <w:lvlJc w:val="left"/>
      <w:lvlText w:val="(%1)"/>
      <w:numFmt w:val="lowerLetter"/>
      <w:start w:val="1"/>
    </w:lvl>
  </w:abstractNum>
  <w:abstractNum w:abstractNumId="80">
    <w:nsid w:val="25973E32"/>
    <w:multiLevelType w:val="hybridMultilevel"/>
    <w:lvl w:ilvl="0">
      <w:lvlJc w:val="left"/>
      <w:lvlText w:val="(%1)"/>
      <w:numFmt w:val="lowerLetter"/>
      <w:start w:val="2"/>
    </w:lvl>
  </w:abstractNum>
  <w:abstractNum w:abstractNumId="81">
    <w:nsid w:val="EAD6F57"/>
    <w:multiLevelType w:val="hybridMultilevel"/>
    <w:lvl w:ilvl="0">
      <w:lvlJc w:val="left"/>
      <w:lvlText w:val="(%1)"/>
      <w:numFmt w:val="lowerLetter"/>
      <w:start w:val="23"/>
    </w:lvl>
  </w:abstractNum>
  <w:abstractNum w:abstractNumId="82">
    <w:nsid w:val="6EC9D844"/>
    <w:multiLevelType w:val="hybridMultilevel"/>
    <w:lvl w:ilvl="0">
      <w:lvlJc w:val="left"/>
      <w:lvlText w:val="(%1)"/>
      <w:numFmt w:val="lowerLetter"/>
      <w:start w:val="1"/>
    </w:lvl>
  </w:abstractNum>
  <w:abstractNum w:abstractNumId="83">
    <w:nsid w:val="5C49EAEE"/>
    <w:multiLevelType w:val="hybridMultilevel"/>
    <w:lvl w:ilvl="0">
      <w:lvlJc w:val="left"/>
      <w:lvlText w:val="(%1)"/>
      <w:numFmt w:val="lowerLetter"/>
      <w:start w:val="2"/>
    </w:lvl>
  </w:abstractNum>
  <w:abstractNum w:abstractNumId="84">
    <w:nsid w:val="64AF49B"/>
    <w:multiLevelType w:val="hybridMultilevel"/>
    <w:lvl w:ilvl="0">
      <w:lvlJc w:val="left"/>
      <w:lvlText w:val="(%1)"/>
      <w:numFmt w:val="lowerLetter"/>
      <w:start w:val="4"/>
    </w:lvl>
  </w:abstractNum>
  <w:abstractNum w:abstractNumId="85">
    <w:nsid w:val="397C46BC"/>
    <w:multiLevelType w:val="hybridMultilevel"/>
    <w:lvl w:ilvl="0">
      <w:lvlJc w:val="left"/>
      <w:lvlText w:val="(%1)"/>
      <w:numFmt w:val="lowerLetter"/>
      <w:start w:val="6"/>
    </w:lvl>
  </w:abstractNum>
  <w:abstractNum w:abstractNumId="86">
    <w:nsid w:val="7E448DE9"/>
    <w:multiLevelType w:val="hybridMultilevel"/>
    <w:lvl w:ilvl="0">
      <w:lvlJc w:val="left"/>
      <w:lvlText w:val="(%1)"/>
      <w:numFmt w:val="lowerLetter"/>
      <w:start w:val="1"/>
    </w:lvl>
    <w:lvl w:ilvl="1">
      <w:lvlJc w:val="left"/>
      <w:lvlText w:val="(%2)"/>
      <w:numFmt w:val="lowerLetter"/>
      <w:start w:val="9"/>
    </w:lvl>
  </w:abstractNum>
  <w:abstractNum w:abstractNumId="87">
    <w:nsid w:val="5A9CC3E5"/>
    <w:multiLevelType w:val="hybridMultilevel"/>
    <w:lvl w:ilvl="0">
      <w:lvlJc w:val="left"/>
      <w:lvlText w:val="(%1)"/>
      <w:numFmt w:val="lowerRoman"/>
      <w:start w:val="2"/>
    </w:lvl>
    <w:lvl w:ilvl="1">
      <w:lvlJc w:val="left"/>
      <w:lvlText w:val="(%2)"/>
      <w:numFmt w:val="upperLetter"/>
      <w:start w:val="1"/>
    </w:lvl>
  </w:abstractNum>
  <w:abstractNum w:abstractNumId="88">
    <w:nsid w:val="1AFE362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4"/>
    </w:lvl>
  </w:abstractNum>
  <w:abstractNum w:abstractNumId="89">
    <w:nsid w:val="3CA88EC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lvl w:ilvl="3">
      <w:lvlJc w:val="left"/>
      <w:lvlText w:val="%4"/>
      <w:numFmt w:val="upperLetter"/>
      <w:start w:val="1"/>
    </w:lvl>
  </w:abstractNum>
  <w:abstractNum w:abstractNumId="90">
    <w:nsid w:val="6EBE4208"/>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91">
    <w:nsid w:val="C058DF5"/>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1"/>
    </w:lvl>
    <w:lvl w:ilvl="3">
      <w:lvlJc w:val="left"/>
      <w:lvlText w:val="%4"/>
      <w:numFmt w:val="upperLetter"/>
      <w:start w:val="1"/>
    </w:lvl>
  </w:abstractNum>
  <w:abstractNum w:abstractNumId="92">
    <w:nsid w:val="CBE5BE9"/>
    <w:multiLevelType w:val="hybridMultilevel"/>
    <w:lvl w:ilvl="0">
      <w:lvlJc w:val="left"/>
      <w:lvlText w:val="(%1)"/>
      <w:numFmt w:val="lowerLetter"/>
      <w:start w:val="6"/>
    </w:lvl>
  </w:abstractNum>
  <w:abstractNum w:abstractNumId="93">
    <w:nsid w:val="3102BBE2"/>
    <w:multiLevelType w:val="hybridMultilevel"/>
    <w:lvl w:ilvl="0">
      <w:lvlJc w:val="left"/>
      <w:lvlText w:val="(%1)"/>
      <w:numFmt w:val="lowerLetter"/>
      <w:start w:val="1"/>
    </w:lvl>
  </w:abstractNum>
  <w:abstractNum w:abstractNumId="94">
    <w:nsid w:val="26A02C5E"/>
    <w:multiLevelType w:val="hybridMultilevel"/>
    <w:lvl w:ilvl="0">
      <w:lvlJc w:val="left"/>
      <w:lvlText w:val="(%1)"/>
      <w:numFmt w:val="lowerLetter"/>
      <w:start w:val="4"/>
    </w:lvl>
  </w:abstractNum>
  <w:abstractNum w:abstractNumId="95">
    <w:nsid w:val="541C8153"/>
    <w:multiLevelType w:val="hybridMultilevel"/>
    <w:lvl w:ilvl="0">
      <w:lvlJc w:val="left"/>
      <w:lvlText w:val="(%1)"/>
      <w:numFmt w:val="lowerLetter"/>
      <w:start w:val="7"/>
    </w:lvl>
  </w:abstractNum>
  <w:abstractNum w:abstractNumId="96">
    <w:nsid w:val="67906F60"/>
    <w:multiLevelType w:val="hybridMultilevel"/>
    <w:lvl w:ilvl="0">
      <w:lvlJc w:val="left"/>
      <w:lvlText w:val="(%1)"/>
      <w:numFmt w:val="lowerLetter"/>
      <w:start w:val="1"/>
    </w:lvl>
  </w:abstractNum>
  <w:abstractNum w:abstractNumId="97">
    <w:nsid w:val="10DB9DAA"/>
    <w:multiLevelType w:val="hybridMultilevel"/>
    <w:lvl w:ilvl="0">
      <w:lvlJc w:val="left"/>
      <w:lvlText w:val="(%1)"/>
      <w:numFmt w:val="lowerLetter"/>
      <w:start w:val="2"/>
    </w:lvl>
  </w:abstractNum>
  <w:abstractNum w:abstractNumId="98">
    <w:nsid w:val="697D2D2"/>
    <w:multiLevelType w:val="hybridMultilevel"/>
    <w:lvl w:ilvl="0">
      <w:lvlJc w:val="left"/>
      <w:lvlText w:val="(%1)"/>
      <w:numFmt w:val="lowerLetter"/>
      <w:start w:val="1"/>
    </w:lvl>
  </w:abstractNum>
  <w:abstractNum w:abstractNumId="99">
    <w:nsid w:val="6D68AB2"/>
    <w:multiLevelType w:val="hybridMultilevel"/>
    <w:lvl w:ilvl="0">
      <w:lvlJc w:val="left"/>
      <w:lvlText w:val="%1"/>
      <w:numFmt w:val="decimal"/>
      <w:start w:val="1"/>
    </w:lvl>
    <w:lvl w:ilvl="1">
      <w:lvlJc w:val="left"/>
      <w:lvlText w:val="(%2)"/>
      <w:numFmt w:val="lowerLetter"/>
      <w:start w:val="2"/>
    </w:lvl>
  </w:abstractNum>
  <w:abstractNum w:abstractNumId="100">
    <w:nsid w:val="3A966CD0"/>
    <w:multiLevelType w:val="hybridMultilevel"/>
    <w:lvl w:ilvl="0">
      <w:lvlJc w:val="left"/>
      <w:lvlText w:val="(%1)"/>
      <w:numFmt w:val="decimal"/>
      <w:start w:val="10"/>
    </w:lvl>
    <w:lvl w:ilvl="1">
      <w:lvlJc w:val="left"/>
      <w:lvlText w:val="(%2)"/>
      <w:numFmt w:val="lowerLetter"/>
      <w:start w:val="3"/>
    </w:lvl>
  </w:abstractNum>
  <w:abstractNum w:abstractNumId="101">
    <w:nsid w:val="63F37E85"/>
    <w:multiLevelType w:val="hybridMultilevel"/>
    <w:lvl w:ilvl="0">
      <w:lvlJc w:val="left"/>
      <w:lvlText w:val="(%1)"/>
      <w:numFmt w:val="lowerRoman"/>
      <w:start w:val="1"/>
    </w:lvl>
  </w:abstractNum>
  <w:abstractNum w:abstractNumId="102">
    <w:nsid w:val="5895F5FA"/>
    <w:multiLevelType w:val="hybridMultilevel"/>
    <w:lvl w:ilvl="0">
      <w:lvlJc w:val="left"/>
      <w:lvlText w:val="(%1)"/>
      <w:numFmt w:val="lowerLetter"/>
      <w:start w:val="4"/>
    </w:lvl>
  </w:abstractNum>
  <w:abstractNum w:abstractNumId="103">
    <w:nsid w:val="38A5D05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4">
    <w:nsid w:val="F3F09D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5"/>
    </w:lvl>
  </w:abstractNum>
  <w:abstractNum w:abstractNumId="105">
    <w:nsid w:val="4B79373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06">
    <w:nsid w:val="4A10B4E8"/>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107">
    <w:nsid w:val="43D3BCD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8">
    <w:nsid w:val="4C2A7166"/>
    <w:multiLevelType w:val="hybridMultilevel"/>
    <w:lvl w:ilvl="0">
      <w:lvlJc w:val="left"/>
      <w:lvlText w:val="%1"/>
      <w:numFmt w:val="lowerRoman"/>
      <w:start w:val="1"/>
    </w:lvl>
    <w:lvl w:ilvl="1">
      <w:lvlJc w:val="left"/>
      <w:lvlText w:val="(%2)"/>
      <w:numFmt w:val="upperLetter"/>
      <w:start w:val="1"/>
    </w:lvl>
  </w:abstractNum>
  <w:abstractNum w:abstractNumId="109">
    <w:nsid w:val="2E534A82"/>
    <w:multiLevelType w:val="hybridMultilevel"/>
    <w:lvl w:ilvl="0">
      <w:lvlJc w:val="left"/>
      <w:lvlText w:val="(%1)"/>
      <w:numFmt w:val="lowerRoman"/>
      <w:start w:val="2"/>
    </w:lvl>
    <w:lvl w:ilvl="1">
      <w:lvlJc w:val="left"/>
      <w:lvlText w:val="%2"/>
      <w:numFmt w:val="upperLetter"/>
      <w:start w:val="1"/>
    </w:lvl>
  </w:abstractNum>
  <w:abstractNum w:abstractNumId="110">
    <w:nsid w:val="26F2D364"/>
    <w:multiLevelType w:val="hybridMultilevel"/>
    <w:lvl w:ilvl="0">
      <w:lvlJc w:val="left"/>
      <w:lvlText w:val="(%1)"/>
      <w:numFmt w:val="lowerRoman"/>
      <w:start w:val="3"/>
    </w:lvl>
  </w:abstractNum>
  <w:abstractNum w:abstractNumId="111">
    <w:nsid w:val="71C1AF98"/>
    <w:multiLevelType w:val="hybridMultilevel"/>
    <w:lvl w:ilvl="0">
      <w:lvlJc w:val="left"/>
      <w:lvlText w:val="%1"/>
      <w:numFmt w:val="lowerLetter"/>
      <w:start w:val="1"/>
    </w:lvl>
    <w:lvl w:ilvl="1">
      <w:lvlJc w:val="left"/>
      <w:lvlText w:val="(%2)"/>
      <w:numFmt w:val="lowerLetter"/>
      <w:start w:val="1"/>
    </w:lvl>
  </w:abstractNum>
  <w:abstractNum w:abstractNumId="112">
    <w:nsid w:val="3D00B9D9"/>
    <w:multiLevelType w:val="hybridMultilevel"/>
    <w:lvl w:ilvl="0">
      <w:lvlJc w:val="left"/>
      <w:lvlText w:val="(%1)"/>
      <w:numFmt w:val="lowerLetter"/>
      <w:start w:val="35"/>
    </w:lvl>
    <w:lvl w:ilvl="1">
      <w:lvlJc w:val="left"/>
      <w:lvlText w:val="(%2)"/>
      <w:numFmt w:val="lowerLetter"/>
      <w:start w:val="4"/>
    </w:lvl>
  </w:abstractNum>
  <w:abstractNum w:abstractNumId="113">
    <w:nsid w:val="15BCABA8"/>
    <w:multiLevelType w:val="hybridMultilevel"/>
    <w:lvl w:ilvl="0">
      <w:lvlJc w:val="left"/>
      <w:lvlText w:val="(%1)"/>
      <w:numFmt w:val="lowerLetter"/>
      <w:start w:val="5"/>
    </w:lvl>
  </w:abstractNum>
  <w:abstractNum w:abstractNumId="114">
    <w:nsid w:val="4E0B9A87"/>
    <w:multiLevelType w:val="hybridMultilevel"/>
    <w:lvl w:ilvl="0">
      <w:lvlJc w:val="left"/>
      <w:lvlText w:val="(%1)"/>
      <w:numFmt w:val="lowerLetter"/>
      <w:start w:val="1"/>
    </w:lvl>
  </w:abstractNum>
  <w:abstractNum w:abstractNumId="115">
    <w:nsid w:val="434BAE75"/>
    <w:multiLevelType w:val="hybridMultilevel"/>
    <w:lvl w:ilvl="0">
      <w:lvlJc w:val="left"/>
      <w:lvlText w:val="(%1)"/>
      <w:numFmt w:val="lowerLetter"/>
      <w:start w:val="1"/>
    </w:lvl>
  </w:abstractNum>
  <w:abstractNum w:abstractNumId="116">
    <w:nsid w:val="4F38F265"/>
    <w:multiLevelType w:val="hybridMultilevel"/>
    <w:lvl w:ilvl="0">
      <w:lvlJc w:val="left"/>
      <w:lvlText w:val="(%1)"/>
      <w:numFmt w:val="lowerLetter"/>
      <w:start w:val="4"/>
    </w:lvl>
  </w:abstractNum>
  <w:abstractNum w:abstractNumId="117">
    <w:nsid w:val="4C502870"/>
    <w:multiLevelType w:val="hybridMultilevel"/>
    <w:lvl w:ilvl="0">
      <w:lvlJc w:val="left"/>
      <w:lvlText w:val="(%1)"/>
      <w:numFmt w:val="lowerRoman"/>
      <w:start w:val="4"/>
    </w:lvl>
  </w:abstractNum>
  <w:abstractNum w:abstractNumId="118">
    <w:nsid w:val="1DE8725A"/>
    <w:multiLevelType w:val="hybridMultilevel"/>
    <w:lvl w:ilvl="0">
      <w:lvlJc w:val="left"/>
      <w:lvlText w:val="(%1)"/>
      <w:numFmt w:val="lowerRoman"/>
      <w:start w:val="5"/>
    </w:lvl>
  </w:abstractNum>
  <w:abstractNum w:abstractNumId="119">
    <w:nsid w:val="6A37288A"/>
    <w:multiLevelType w:val="hybridMultilevel"/>
    <w:lvl w:ilvl="0">
      <w:lvlJc w:val="left"/>
      <w:lvlText w:val="\ldblquote"/>
      <w:numFmt w:val="bullet"/>
      <w:start w:val="1"/>
    </w:lvl>
  </w:abstractNum>
  <w:abstractNum w:abstractNumId="120">
    <w:nsid w:val="8F8B73F"/>
    <w:multiLevelType w:val="hybridMultilevel"/>
    <w:lvl w:ilvl="0">
      <w:lvlJc w:val="left"/>
      <w:lvlText w:val="\ldblquote"/>
      <w:numFmt w:val="bullet"/>
      <w:start w:val="1"/>
    </w:lvl>
  </w:abstractNum>
  <w:abstractNum w:abstractNumId="121">
    <w:nsid w:val="CA6B462"/>
    <w:multiLevelType w:val="hybridMultilevel"/>
    <w:lvl w:ilvl="0">
      <w:lvlJc w:val="left"/>
      <w:lvlText w:val="(%1)"/>
      <w:numFmt w:val="lowerLetter"/>
      <w:start w:val="1"/>
    </w:lvl>
  </w:abstractNum>
  <w:abstractNum w:abstractNumId="122">
    <w:nsid w:val="763CB680"/>
    <w:multiLevelType w:val="hybridMultilevel"/>
    <w:lvl w:ilvl="0">
      <w:lvlJc w:val="left"/>
      <w:lvlText w:val="(%1)"/>
      <w:numFmt w:val="lowerRoman"/>
      <w:start w:val="1"/>
    </w:lvl>
  </w:abstractNum>
  <w:abstractNum w:abstractNumId="123">
    <w:nsid w:val="15B71329"/>
    <w:multiLevelType w:val="hybridMultilevel"/>
    <w:lvl w:ilvl="0">
      <w:lvlJc w:val="left"/>
      <w:lvlText w:val="\ldblquote"/>
      <w:numFmt w:val="bullet"/>
      <w:start w:val="1"/>
    </w:lvl>
  </w:abstractNum>
  <w:abstractNum w:abstractNumId="124">
    <w:nsid w:val="3DA97044"/>
    <w:multiLevelType w:val="hybridMultilevel"/>
    <w:lvl w:ilvl="0">
      <w:lvlJc w:val="left"/>
      <w:lvlText w:val="\ldblquote"/>
      <w:numFmt w:val="bullet"/>
      <w:start w:val="1"/>
    </w:lvl>
  </w:abstractNum>
  <w:abstractNum w:abstractNumId="125">
    <w:nsid w:val="1CDCE2DE"/>
    <w:multiLevelType w:val="hybridMultilevel"/>
    <w:lvl w:ilvl="0">
      <w:lvlJc w:val="left"/>
      <w:lvlText w:val="%1"/>
      <w:numFmt w:val="lowerLetter"/>
      <w:start w:val="1"/>
    </w:lvl>
    <w:lvl w:ilvl="1">
      <w:lvlJc w:val="left"/>
      <w:lvlText w:val="(%2)"/>
      <w:numFmt w:val="lowerLetter"/>
      <w:start w:val="1"/>
    </w:lvl>
  </w:abstractNum>
  <w:abstractNum w:abstractNumId="126">
    <w:nsid w:val="69D3947C"/>
    <w:multiLevelType w:val="hybridMultilevel"/>
    <w:lvl w:ilvl="0">
      <w:lvlJc w:val="left"/>
      <w:lvlText w:val="(%1)"/>
      <w:numFmt w:val="lowerLetter"/>
      <w:start w:val="1"/>
    </w:lvl>
    <w:lvl w:ilvl="1">
      <w:lvlJc w:val="left"/>
      <w:lvlText w:val="%2"/>
      <w:numFmt w:val="lowerLetter"/>
      <w:start w:val="1"/>
    </w:lvl>
  </w:abstractNum>
  <w:abstractNum w:abstractNumId="127">
    <w:nsid w:val="2539DFA5"/>
    <w:multiLevelType w:val="hybridMultilevel"/>
    <w:lvl w:ilvl="0">
      <w:lvlJc w:val="left"/>
      <w:lvlText w:val="(%1)"/>
      <w:numFmt w:val="lowerLetter"/>
      <w:start w:val="35"/>
    </w:lvl>
    <w:lvl w:ilvl="1">
      <w:lvlJc w:val="left"/>
      <w:lvlText w:val="(%2)"/>
      <w:numFmt w:val="lowerLetter"/>
      <w:start w:val="6"/>
    </w:lvl>
  </w:abstractNum>
  <w:abstractNum w:abstractNumId="128">
    <w:nsid w:val="2DB88089"/>
    <w:multiLevelType w:val="hybridMultilevel"/>
    <w:lvl w:ilvl="0">
      <w:lvlJc w:val="left"/>
      <w:lvlText w:val="(%1)"/>
      <w:numFmt w:val="decimal"/>
      <w:start w:val="2"/>
    </w:lvl>
  </w:abstractNum>
  <w:abstractNum w:abstractNumId="129">
    <w:nsid w:val="706B674E"/>
    <w:multiLevelType w:val="hybridMultilevel"/>
    <w:lvl w:ilvl="0">
      <w:lvlJc w:val="left"/>
      <w:lvlText w:val="\ldblquote"/>
      <w:numFmt w:val="bullet"/>
      <w:start w:val="1"/>
    </w:lvl>
  </w:abstractNum>
  <w:abstractNum w:abstractNumId="130">
    <w:nsid w:val="2C106A57"/>
    <w:multiLevelType w:val="hybridMultilevel"/>
    <w:lvl w:ilvl="0">
      <w:lvlJc w:val="left"/>
      <w:lvlText w:val="\ldblquote"/>
      <w:numFmt w:val="bullet"/>
      <w:start w:val="1"/>
    </w:lvl>
  </w:abstractNum>
  <w:abstractNum w:abstractNumId="131">
    <w:nsid w:val="684EED59"/>
    <w:multiLevelType w:val="hybridMultilevel"/>
    <w:lvl w:ilvl="0">
      <w:lvlJc w:val="left"/>
      <w:lvlText w:val="(%1)"/>
      <w:numFmt w:val="lowerLetter"/>
      <w:start w:val="1"/>
    </w:lvl>
  </w:abstractNum>
  <w:abstractNum w:abstractNumId="132">
    <w:nsid w:val="545EE5D3"/>
    <w:multiLevelType w:val="hybridMultilevel"/>
    <w:lvl w:ilvl="0">
      <w:lvlJc w:val="left"/>
      <w:lvlText w:val="%1"/>
      <w:numFmt w:val="lowerLetter"/>
      <w:start w:val="1"/>
    </w:lvl>
    <w:lvl w:ilvl="1">
      <w:lvlJc w:val="left"/>
      <w:lvlText w:val="(%2)"/>
      <w:numFmt w:val="lowerLetter"/>
      <w:start w:val="7"/>
    </w:lvl>
  </w:abstractNum>
  <w:abstractNum w:abstractNumId="133">
    <w:nsid w:val="4A66051"/>
    <w:multiLevelType w:val="hybridMultilevel"/>
    <w:lvl w:ilvl="0">
      <w:lvlJc w:val="left"/>
      <w:lvlText w:val="(%1)"/>
      <w:numFmt w:val="lowerLetter"/>
      <w:start w:val="9"/>
    </w:lvl>
    <w:lvl w:ilvl="1">
      <w:lvlJc w:val="left"/>
      <w:lvlText w:val="(%2)"/>
      <w:numFmt w:val="lowerLetter"/>
      <w:start w:val="9"/>
    </w:lvl>
  </w:abstractNum>
  <w:abstractNum w:abstractNumId="134">
    <w:nsid w:val="20F4BDAD"/>
    <w:multiLevelType w:val="hybridMultilevel"/>
    <w:lvl w:ilvl="0">
      <w:lvlJc w:val="left"/>
      <w:lvlText w:val="%1"/>
      <w:numFmt w:val="upperLetter"/>
      <w:start w:val="1"/>
    </w:lvl>
    <w:lvl w:ilvl="1">
      <w:lvlJc w:val="left"/>
      <w:lvlText w:val="(%2)"/>
      <w:numFmt w:val="lowerLetter"/>
      <w:start w:val="11"/>
    </w:lvl>
  </w:abstractNum>
  <w:abstractNum w:abstractNumId="135">
    <w:nsid w:val="639DEFAC"/>
    <w:multiLevelType w:val="hybridMultilevel"/>
    <w:lvl w:ilvl="0">
      <w:lvlJc w:val="left"/>
      <w:lvlText w:val="(%1)"/>
      <w:numFmt w:val="upperLetter"/>
      <w:start w:val="1"/>
    </w:lvl>
    <w:lvl w:ilvl="1">
      <w:lvlJc w:val="left"/>
      <w:lvlText w:val="%2"/>
      <w:numFmt w:val="lowerLetter"/>
      <w:start w:val="1"/>
    </w:lvl>
  </w:abstractNum>
  <w:abstractNum w:abstractNumId="136">
    <w:nsid w:val="501F9786"/>
    <w:multiLevelType w:val="hybridMultilevel"/>
    <w:lvl w:ilvl="0">
      <w:lvlJc w:val="left"/>
      <w:lvlText w:val="(%1)"/>
      <w:numFmt w:val="lowerLetter"/>
      <w:start w:val="17"/>
    </w:lvl>
  </w:abstractNum>
  <w:abstractNum w:abstractNumId="137">
    <w:nsid w:val="6B057295"/>
    <w:multiLevelType w:val="hybridMultilevel"/>
    <w:lvl w:ilvl="0">
      <w:lvlJc w:val="left"/>
      <w:lvlText w:val="(%1)"/>
      <w:numFmt w:val="lowerLetter"/>
      <w:start w:val="19"/>
    </w:lvl>
  </w:abstractNum>
  <w:abstractNum w:abstractNumId="138">
    <w:nsid w:val="2771AC80"/>
    <w:multiLevelType w:val="hybridMultilevel"/>
    <w:lvl w:ilvl="0">
      <w:lvlJc w:val="left"/>
      <w:lvlText w:val="\ldblquote"/>
      <w:numFmt w:val="bullet"/>
      <w:start w:val="1"/>
    </w:lvl>
  </w:abstractNum>
  <w:abstractNum w:abstractNumId="139">
    <w:nsid w:val="1C4A08EC"/>
    <w:multiLevelType w:val="hybridMultilevel"/>
    <w:lvl w:ilvl="0">
      <w:lvlJc w:val="left"/>
      <w:lvlText w:val="(%1)"/>
      <w:numFmt w:val="lowerRoman"/>
      <w:start w:val="2"/>
    </w:lvl>
  </w:abstractNum>
  <w:abstractNum w:abstractNumId="140">
    <w:nsid w:val="1958BD17"/>
    <w:multiLevelType w:val="hybridMultilevel"/>
    <w:lvl w:ilvl="0">
      <w:lvlJc w:val="left"/>
      <w:lvlText w:val="(%1)"/>
      <w:numFmt w:val="lowerLetter"/>
      <w:start w:val="2"/>
    </w:lvl>
  </w:abstractNum>
  <w:abstractNum w:abstractNumId="141">
    <w:nsid w:val="4E647FE4"/>
    <w:multiLevelType w:val="hybridMultilevel"/>
    <w:lvl w:ilvl="0">
      <w:lvlJc w:val="left"/>
      <w:lvlText w:val="\ldblquote"/>
      <w:numFmt w:val="bullet"/>
      <w:start w:val="1"/>
    </w:lvl>
  </w:abstractNum>
  <w:abstractNum w:abstractNumId="142">
    <w:nsid w:val="E0BB885"/>
    <w:multiLevelType w:val="hybridMultilevel"/>
    <w:lvl w:ilvl="0">
      <w:lvlJc w:val="left"/>
      <w:lvlText w:val="\ldblquote"/>
      <w:numFmt w:val="bullet"/>
      <w:start w:val="1"/>
    </w:lvl>
  </w:abstractNum>
  <w:abstractNum w:abstractNumId="143">
    <w:nsid w:val="565976F1"/>
    <w:multiLevelType w:val="hybridMultilevel"/>
    <w:lvl w:ilvl="0">
      <w:lvlJc w:val="left"/>
      <w:lvlText w:val="\ldblquote"/>
      <w:numFmt w:val="bullet"/>
      <w:start w:val="1"/>
    </w:lvl>
  </w:abstractNum>
  <w:abstractNum w:abstractNumId="144">
    <w:nsid w:val="64212B8C"/>
    <w:multiLevelType w:val="hybridMultilevel"/>
    <w:lvl w:ilvl="0">
      <w:lvlJc w:val="left"/>
      <w:lvlText w:val="%1"/>
      <w:numFmt w:val="lowerLetter"/>
      <w:start w:val="1"/>
    </w:lvl>
    <w:lvl w:ilvl="1">
      <w:lvlJc w:val="left"/>
      <w:lvlText w:val="(%2)"/>
      <w:numFmt w:val="lowerLetter"/>
      <w:start w:val="1"/>
    </w:lvl>
  </w:abstractNum>
  <w:abstractNum w:abstractNumId="145">
    <w:nsid w:val="5C17530C"/>
    <w:multiLevelType w:val="hybridMultilevel"/>
    <w:lvl w:ilvl="0">
      <w:lvlJc w:val="left"/>
      <w:lvlText w:val="(%1)"/>
      <w:numFmt w:val="lowerLetter"/>
      <w:start w:val="9"/>
    </w:lvl>
    <w:lvl w:ilvl="1">
      <w:lvlJc w:val="left"/>
      <w:lvlText w:val="(%2)"/>
      <w:numFmt w:val="lowerLetter"/>
      <w:start w:val="7"/>
    </w:lvl>
  </w:abstractNum>
  <w:abstractNum w:abstractNumId="146">
    <w:nsid w:val="19A52566"/>
    <w:multiLevelType w:val="hybridMultilevel"/>
    <w:lvl w:ilvl="0">
      <w:lvlJc w:val="left"/>
      <w:lvlText w:val="(%1)"/>
      <w:numFmt w:val="lowerLetter"/>
      <w:start w:val="10"/>
    </w:lvl>
  </w:abstractNum>
  <w:abstractNum w:abstractNumId="147">
    <w:nsid w:val="335A1DF1"/>
    <w:multiLevelType w:val="hybridMultilevel"/>
    <w:lvl w:ilvl="0">
      <w:lvlJc w:val="left"/>
      <w:lvlText w:val="(%1)"/>
      <w:numFmt w:val="lowerLetter"/>
      <w:start w:val="1"/>
    </w:lvl>
  </w:abstractNum>
  <w:abstractNum w:abstractNumId="148">
    <w:nsid w:val="28677B7C"/>
    <w:multiLevelType w:val="hybridMultilevel"/>
    <w:lvl w:ilvl="0">
      <w:lvlJc w:val="left"/>
      <w:lvlText w:val="%1"/>
      <w:numFmt w:val="lowerLetter"/>
      <w:start w:val="1"/>
    </w:lvl>
    <w:lvl w:ilvl="1">
      <w:lvlJc w:val="left"/>
      <w:lvlText w:val="(%2)"/>
      <w:numFmt w:val="lowerLetter"/>
      <w:start w:val="4"/>
    </w:lvl>
  </w:abstractNum>
  <w:abstractNum w:abstractNumId="149">
    <w:nsid w:val="378D97C0"/>
    <w:multiLevelType w:val="hybridMultilevel"/>
    <w:lvl w:ilvl="0">
      <w:lvlJc w:val="left"/>
      <w:lvlText w:val="(%1)"/>
      <w:numFmt w:val="lowerLetter"/>
      <w:start w:val="7"/>
    </w:lvl>
    <w:lvl w:ilvl="1">
      <w:lvlJc w:val="left"/>
      <w:lvlText w:val="%2"/>
      <w:numFmt w:val="lowerLetter"/>
      <w:start w:val="1"/>
    </w:lvl>
  </w:abstractNum>
  <w:abstractNum w:abstractNumId="150">
    <w:nsid w:val="1D91467C"/>
    <w:multiLevelType w:val="hybridMultilevel"/>
    <w:lvl w:ilvl="0">
      <w:lvlJc w:val="left"/>
      <w:lvlText w:val="\ldblquote"/>
      <w:numFmt w:val="bullet"/>
      <w:start w:val="1"/>
    </w:lvl>
  </w:abstractNum>
  <w:abstractNum w:abstractNumId="151">
    <w:nsid w:val="316032BB"/>
    <w:multiLevelType w:val="hybridMultilevel"/>
    <w:lvl w:ilvl="0">
      <w:lvlJc w:val="left"/>
      <w:lvlText w:val="\ldblquote"/>
      <w:numFmt w:val="bullet"/>
      <w:start w:val="1"/>
    </w:lvl>
  </w:abstractNum>
  <w:abstractNum w:abstractNumId="152">
    <w:nsid w:val="44344C22"/>
    <w:multiLevelType w:val="hybridMultilevel"/>
    <w:lvl w:ilvl="0">
      <w:lvlJc w:val="left"/>
      <w:lvlText w:val="\ldblquote"/>
      <w:numFmt w:val="bullet"/>
      <w:start w:val="1"/>
    </w:lvl>
  </w:abstractNum>
  <w:abstractNum w:abstractNumId="153">
    <w:nsid w:val="13CDFCFC"/>
    <w:multiLevelType w:val="hybridMultilevel"/>
    <w:lvl w:ilvl="0">
      <w:lvlJc w:val="left"/>
      <w:lvlText w:val="(%1)"/>
      <w:numFmt w:val="lowerLetter"/>
      <w:start w:val="2"/>
    </w:lvl>
  </w:abstractNum>
  <w:abstractNum w:abstractNumId="154">
    <w:nsid w:val="471745E4"/>
    <w:multiLevelType w:val="hybridMultilevel"/>
    <w:lvl w:ilvl="0">
      <w:lvlJc w:val="left"/>
      <w:lvlText w:val="(%1)"/>
      <w:numFmt w:val="lowerLetter"/>
      <w:start w:val="4"/>
    </w:lvl>
  </w:abstractNum>
  <w:abstractNum w:abstractNumId="155">
    <w:nsid w:val="1DDBC66"/>
    <w:multiLevelType w:val="hybridMultilevel"/>
    <w:lvl w:ilvl="0">
      <w:lvlJc w:val="left"/>
      <w:lvlText w:val="(%1)"/>
      <w:numFmt w:val="lowerLetter"/>
      <w:start w:val="1"/>
    </w:lvl>
    <w:lvl w:ilvl="1">
      <w:lvlJc w:val="left"/>
      <w:lvlText w:val="\ldblquote"/>
      <w:numFmt w:val="bullet"/>
      <w:start w:val="1"/>
    </w:lvl>
  </w:abstractNum>
  <w:abstractNum w:abstractNumId="156">
    <w:nsid w:val="30AADFDA"/>
    <w:multiLevelType w:val="hybridMultilevel"/>
    <w:lvl w:ilvl="0">
      <w:lvlJc w:val="left"/>
      <w:lvlText w:val="\ldblquote"/>
      <w:numFmt w:val="bullet"/>
      <w:start w:val="1"/>
    </w:lvl>
  </w:abstractNum>
  <w:abstractNum w:abstractNumId="157">
    <w:nsid w:val="30EADA61"/>
    <w:multiLevelType w:val="hybridMultilevel"/>
    <w:lvl w:ilvl="0">
      <w:lvlJc w:val="left"/>
      <w:lvlText w:val="\ldblquote"/>
      <w:numFmt w:val="bullet"/>
      <w:start w:val="1"/>
    </w:lvl>
  </w:abstractNum>
  <w:abstractNum w:abstractNumId="158">
    <w:nsid w:val="27179C0B"/>
    <w:multiLevelType w:val="hybridMultilevel"/>
    <w:lvl w:ilvl="0">
      <w:lvlJc w:val="left"/>
      <w:lvlText w:val="(%1)"/>
      <w:numFmt w:val="lowerLetter"/>
      <w:start w:val="2"/>
    </w:lvl>
  </w:abstractNum>
  <w:abstractNum w:abstractNumId="159">
    <w:nsid w:val="5E636063"/>
    <w:multiLevelType w:val="hybridMultilevel"/>
    <w:lvl w:ilvl="0">
      <w:lvlJc w:val="left"/>
      <w:lvlText w:val="(%1)"/>
      <w:numFmt w:val="lowerLetter"/>
      <w:start w:val="4"/>
    </w:lvl>
  </w:abstractNum>
  <w:abstractNum w:abstractNumId="160">
    <w:nsid w:val="215641AF"/>
    <w:multiLevelType w:val="hybridMultilevel"/>
    <w:lvl w:ilvl="0">
      <w:lvlJc w:val="left"/>
      <w:lvlText w:val="(%1)"/>
      <w:numFmt w:val="upperLetter"/>
      <w:start w:val="9"/>
    </w:lvl>
  </w:abstractNum>
  <w:abstractNum w:abstractNumId="161">
    <w:nsid w:val="53280662"/>
    <w:multiLevelType w:val="hybridMultilevel"/>
    <w:lvl w:ilvl="0">
      <w:lvlJc w:val="left"/>
      <w:lvlText w:val="(%1)"/>
      <w:numFmt w:val="lowerLetter"/>
      <w:start w:val="1"/>
    </w:lvl>
  </w:abstractNum>
  <w:abstractNum w:abstractNumId="162">
    <w:nsid w:val="46B24DBC"/>
    <w:multiLevelType w:val="hybridMultilevel"/>
    <w:lvl w:ilvl="0">
      <w:lvlJc w:val="left"/>
      <w:lvlText w:val="(%1)"/>
      <w:numFmt w:val="lowerLetter"/>
      <w:start w:val="25"/>
    </w:lvl>
    <w:lvl w:ilvl="1">
      <w:lvlJc w:val="left"/>
      <w:lvlText w:val="(%2)"/>
      <w:numFmt w:val="lowerLetter"/>
      <w:start w:val="4"/>
    </w:lvl>
  </w:abstractNum>
  <w:abstractNum w:abstractNumId="163">
    <w:nsid w:val="75B52783"/>
    <w:multiLevelType w:val="hybridMultilevel"/>
    <w:lvl w:ilvl="0">
      <w:lvlJc w:val="left"/>
      <w:lvlText w:val="(%1)"/>
      <w:numFmt w:val="lowerLetter"/>
      <w:start w:val="1"/>
    </w:lvl>
  </w:abstractNum>
  <w:abstractNum w:abstractNumId="164">
    <w:nsid w:val="57CE66B4"/>
    <w:multiLevelType w:val="hybridMultilevel"/>
    <w:lvl w:ilvl="0">
      <w:lvlJc w:val="left"/>
      <w:lvlText w:val="(%1)"/>
      <w:numFmt w:val="lowerLetter"/>
      <w:start w:val="3"/>
    </w:lvl>
  </w:abstractNum>
  <w:abstractNum w:abstractNumId="165">
    <w:nsid w:val="67A70B69"/>
    <w:multiLevelType w:val="hybridMultilevel"/>
    <w:lvl w:ilvl="0">
      <w:lvlJc w:val="left"/>
      <w:lvlText w:val="(%1)"/>
      <w:numFmt w:val="lowerLetter"/>
      <w:start w:val="1"/>
    </w:lvl>
  </w:abstractNum>
  <w:abstractNum w:abstractNumId="166">
    <w:nsid w:val="5953172F"/>
    <w:multiLevelType w:val="hybridMultilevel"/>
    <w:lvl w:ilvl="0">
      <w:lvlJc w:val="left"/>
      <w:lvlText w:val="(%1)"/>
      <w:numFmt w:val="lowerLetter"/>
      <w:start w:val="1"/>
    </w:lvl>
  </w:abstractNum>
  <w:abstractNum w:abstractNumId="167">
    <w:nsid w:val="27EDFE3A"/>
    <w:multiLevelType w:val="hybridMultilevel"/>
    <w:lvl w:ilvl="0">
      <w:lvlJc w:val="left"/>
      <w:lvlText w:val="(%1)"/>
      <w:numFmt w:val="lowerLetter"/>
      <w:start w:val="2"/>
    </w:lvl>
  </w:abstractNum>
  <w:abstractNum w:abstractNumId="168">
    <w:nsid w:val="52AC7DFF"/>
    <w:multiLevelType w:val="hybridMultilevel"/>
    <w:lvl w:ilvl="0">
      <w:lvlJc w:val="left"/>
      <w:lvlText w:val="%1"/>
      <w:numFmt w:val="lowerLetter"/>
      <w:start w:val="1"/>
    </w:lvl>
    <w:lvl w:ilvl="1">
      <w:lvlJc w:val="left"/>
      <w:lvlText w:val="(%2)"/>
      <w:numFmt w:val="lowerLetter"/>
      <w:start w:val="1"/>
    </w:lvl>
  </w:abstractNum>
  <w:abstractNum w:abstractNumId="169">
    <w:nsid w:val="C4C3AF"/>
    <w:multiLevelType w:val="hybridMultilevel"/>
    <w:lvl w:ilvl="0">
      <w:lvlJc w:val="left"/>
      <w:lvlText w:val="(%1)"/>
      <w:numFmt w:val="lowerLetter"/>
      <w:start w:val="9"/>
    </w:lvl>
    <w:lvl w:ilvl="1">
      <w:lvlJc w:val="left"/>
      <w:lvlText w:val="%2"/>
      <w:numFmt w:val="lowerLetter"/>
      <w:start w:val="1"/>
    </w:lvl>
  </w:abstractNum>
  <w:abstractNum w:abstractNumId="170">
    <w:nsid w:val="44380727"/>
    <w:multiLevelType w:val="hybridMultilevel"/>
    <w:lvl w:ilvl="0">
      <w:lvlJc w:val="left"/>
      <w:lvlText w:val="(%1)"/>
      <w:numFmt w:val="lowerLetter"/>
      <w:start w:val="1"/>
    </w:lvl>
  </w:abstractNum>
  <w:abstractNum w:abstractNumId="171">
    <w:nsid w:val="6C053B16"/>
    <w:multiLevelType w:val="hybridMultilevel"/>
    <w:lvl w:ilvl="0">
      <w:lvlJc w:val="left"/>
      <w:lvlText w:val="(%1)"/>
      <w:numFmt w:val="lowerLetter"/>
      <w:start w:val="2"/>
    </w:lvl>
  </w:abstractNum>
  <w:abstractNum w:abstractNumId="172">
    <w:nsid w:val="4F294393"/>
    <w:multiLevelType w:val="hybridMultilevel"/>
    <w:lvl w:ilvl="0">
      <w:lvlJc w:val="left"/>
      <w:lvlText w:val="(%1)"/>
      <w:numFmt w:val="lowerLetter"/>
      <w:start w:val="1"/>
    </w:lvl>
  </w:abstractNum>
  <w:abstractNum w:abstractNumId="173">
    <w:nsid w:val="5243BFAC"/>
    <w:multiLevelType w:val="hybridMultilevel"/>
    <w:lvl w:ilvl="0">
      <w:lvlJc w:val="left"/>
      <w:lvlText w:val="(%1)"/>
      <w:numFmt w:val="lowerLetter"/>
      <w:start w:val="6"/>
    </w:lvl>
  </w:abstractNum>
  <w:abstractNum w:abstractNumId="174">
    <w:nsid w:val="425EB207"/>
    <w:multiLevelType w:val="hybridMultilevel"/>
    <w:lvl w:ilvl="0">
      <w:lvlJc w:val="left"/>
      <w:lvlText w:val="(%1)"/>
      <w:numFmt w:val="lowerLetter"/>
      <w:start w:val="1"/>
    </w:lvl>
  </w:abstractNum>
  <w:abstractNum w:abstractNumId="175">
    <w:nsid w:val="334A6F1F"/>
    <w:multiLevelType w:val="hybridMultilevel"/>
    <w:lvl w:ilvl="0">
      <w:lvlJc w:val="left"/>
      <w:lvlText w:val="(%1)"/>
      <w:numFmt w:val="lowerLetter"/>
      <w:start w:val="2"/>
    </w:lvl>
  </w:abstractNum>
  <w:abstractNum w:abstractNumId="176">
    <w:nsid w:val="2E5B12B8"/>
    <w:multiLevelType w:val="hybridMultilevel"/>
    <w:lvl w:ilvl="0">
      <w:lvlJc w:val="left"/>
      <w:lvlText w:val="(%1)"/>
      <w:numFmt w:val="lowerLetter"/>
      <w:start w:val="1"/>
    </w:lvl>
  </w:abstractNum>
  <w:abstractNum w:abstractNumId="177">
    <w:nsid w:val="5C03D76D"/>
    <w:multiLevelType w:val="hybridMultilevel"/>
    <w:lvl w:ilvl="0">
      <w:lvlJc w:val="left"/>
      <w:lvlText w:val="(%1)"/>
      <w:numFmt w:val="lowerLetter"/>
      <w:start w:val="2"/>
    </w:lvl>
  </w:abstractNum>
  <w:abstractNum w:abstractNumId="178">
    <w:nsid w:val="66A48D11"/>
    <w:multiLevelType w:val="hybridMultilevel"/>
    <w:lvl w:ilvl="0">
      <w:lvlJc w:val="left"/>
      <w:lvlText w:val="%1"/>
      <w:numFmt w:val="upperLetter"/>
      <w:start w:val="1"/>
    </w:lvl>
    <w:lvl w:ilvl="1">
      <w:lvlJc w:val="left"/>
      <w:lvlText w:val="(%2)"/>
      <w:numFmt w:val="lowerLetter"/>
      <w:start w:val="6"/>
    </w:lvl>
  </w:abstractNum>
  <w:abstractNum w:abstractNumId="179">
    <w:nsid w:val="56C28E34"/>
    <w:multiLevelType w:val="hybridMultilevel"/>
    <w:lvl w:ilvl="0">
      <w:lvlJc w:val="left"/>
      <w:lvlText w:val="(%1)"/>
      <w:numFmt w:val="upperLetter"/>
      <w:start w:val="2"/>
    </w:lvl>
    <w:lvl w:ilvl="1">
      <w:lvlJc w:val="left"/>
      <w:lvlText w:val="%2"/>
      <w:numFmt w:val="lowerLetter"/>
      <w:start w:val="1"/>
    </w:lvl>
  </w:abstractNum>
  <w:abstractNum w:abstractNumId="180">
    <w:nsid w:val="13916F2D"/>
    <w:multiLevelType w:val="hybridMultilevel"/>
    <w:lvl w:ilvl="0">
      <w:lvlJc w:val="left"/>
      <w:lvlText w:val="(%1)"/>
      <w:numFmt w:val="lowerLetter"/>
      <w:start w:val="1"/>
    </w:lvl>
  </w:abstractNum>
  <w:abstractNum w:abstractNumId="181">
    <w:nsid w:val="435D38D"/>
    <w:multiLevelType w:val="hybridMultilevel"/>
    <w:lvl w:ilvl="0">
      <w:lvlJc w:val="left"/>
      <w:lvlText w:val="(%1)"/>
      <w:numFmt w:val="lowerLetter"/>
      <w:start w:val="2"/>
    </w:lvl>
  </w:abstractNum>
  <w:abstractNum w:abstractNumId="182">
    <w:nsid w:val="822C0EF"/>
    <w:multiLevelType w:val="hybridMultilevel"/>
    <w:lvl w:ilvl="0">
      <w:lvlJc w:val="left"/>
      <w:lvlText w:val="(%1)"/>
      <w:numFmt w:val="lowerRoman"/>
      <w:start w:val="4"/>
    </w:lvl>
    <w:lvl w:ilvl="1">
      <w:lvlJc w:val="left"/>
      <w:lvlText w:val="(%2)"/>
      <w:numFmt w:val="lowerLetter"/>
      <w:start w:val="5"/>
    </w:lvl>
    <w:lvl w:ilvl="2">
      <w:lvlJc w:val="left"/>
      <w:lvlText w:val="(%3)"/>
      <w:numFmt w:val="lowerRoman"/>
      <w:start w:val="2"/>
    </w:lvl>
  </w:abstractNum>
  <w:abstractNum w:abstractNumId="183">
    <w:nsid w:val="57C5BB4F"/>
    <w:multiLevelType w:val="hybridMultilevel"/>
    <w:lvl w:ilvl="0">
      <w:lvlJc w:val="left"/>
      <w:lvlText w:val="(%1)"/>
      <w:numFmt w:val="lowerRoman"/>
      <w:start w:val="3"/>
    </w:lvl>
  </w:abstractNum>
  <w:abstractNum w:abstractNumId="184">
    <w:nsid w:val="1803D089"/>
    <w:multiLevelType w:val="hybridMultilevel"/>
    <w:lvl w:ilvl="0">
      <w:lvlJc w:val="left"/>
      <w:lvlText w:val="(%1)"/>
      <w:numFmt w:val="lowerRoman"/>
      <w:start w:val="1"/>
    </w:lvl>
  </w:abstractNum>
  <w:abstractNum w:abstractNumId="185">
    <w:nsid w:val="4F3A06D4"/>
    <w:multiLevelType w:val="hybridMultilevel"/>
    <w:lvl w:ilvl="0">
      <w:lvlJc w:val="left"/>
      <w:lvlText w:val="%1"/>
      <w:numFmt w:val="lowerLetter"/>
      <w:start w:val="1"/>
    </w:lvl>
    <w:lvl w:ilvl="1">
      <w:lvlJc w:val="left"/>
      <w:lvlText w:val="(%2)"/>
      <w:numFmt w:val="lowerLetter"/>
      <w:start w:val="10"/>
    </w:lvl>
    <w:lvl w:ilvl="2">
      <w:lvlJc w:val="left"/>
      <w:lvlText w:val="%3"/>
      <w:numFmt w:val="lowerLetter"/>
      <w:start w:val="1"/>
    </w:lvl>
  </w:abstractNum>
  <w:abstractNum w:abstractNumId="186">
    <w:nsid w:val="59A377B6"/>
    <w:multiLevelType w:val="hybridMultilevel"/>
    <w:lvl w:ilvl="0">
      <w:lvlJc w:val="left"/>
      <w:lvlText w:val="(%1)"/>
      <w:numFmt w:val="lowerLetter"/>
      <w:start w:val="35"/>
    </w:lvl>
    <w:lvl w:ilvl="1">
      <w:lvlJc w:val="left"/>
      <w:lvlText w:val="(%2)"/>
      <w:numFmt w:val="lowerLetter"/>
      <w:start w:val="14"/>
    </w:lvl>
    <w:lvl w:ilvl="2">
      <w:lvlJc w:val="left"/>
      <w:lvlText w:val="(%3)"/>
      <w:numFmt w:val="lowerLetter"/>
      <w:start w:val="9"/>
    </w:lvl>
  </w:abstractNum>
  <w:abstractNum w:abstractNumId="187">
    <w:nsid w:val="48AEB06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188">
    <w:nsid w:val="24E135"/>
    <w:multiLevelType w:val="hybridMultilevel"/>
    <w:lvl w:ilvl="0">
      <w:lvlJc w:val="left"/>
      <w:lvlText w:val="%1"/>
      <w:numFmt w:val="lowerLetter"/>
      <w:start w:val="1"/>
    </w:lvl>
    <w:lvl w:ilvl="1">
      <w:lvlJc w:val="left"/>
      <w:lvlText w:val="(%2)"/>
      <w:numFmt w:val="lowerLetter"/>
      <w:start w:val="16"/>
    </w:lvl>
    <w:lvl w:ilvl="2">
      <w:lvlJc w:val="left"/>
      <w:lvlText w:val="%3"/>
      <w:numFmt w:val="lowerLetter"/>
      <w:start w:val="1"/>
    </w:lvl>
    <w:lvl w:ilvl="3">
      <w:lvlJc w:val="left"/>
      <w:lvlText w:val="%4"/>
      <w:numFmt w:val="upperLetter"/>
      <w:start w:val="1"/>
    </w:lvl>
  </w:abstractNum>
  <w:abstractNum w:abstractNumId="189">
    <w:nsid w:val="BB13C1"/>
    <w:multiLevelType w:val="hybridMultilevel"/>
    <w:lvl w:ilvl="0">
      <w:lvlJc w:val="left"/>
      <w:lvlText w:val="(%1)"/>
      <w:numFmt w:val="lowerLetter"/>
      <w:start w:val="35"/>
    </w:lvl>
    <w:lvl w:ilvl="1">
      <w:lvlJc w:val="left"/>
      <w:lvlText w:val="(%2)"/>
      <w:numFmt w:val="lowerLetter"/>
      <w:start w:val="20"/>
    </w:lvl>
    <w:lvl w:ilvl="2">
      <w:lvlJc w:val="left"/>
      <w:lvlText w:val="%3"/>
      <w:numFmt w:val="lowerLetter"/>
      <w:start w:val="1"/>
    </w:lvl>
    <w:lvl w:ilvl="3">
      <w:lvlJc w:val="left"/>
      <w:lvlText w:val="%4"/>
      <w:numFmt w:val="upperLetter"/>
      <w:start w:val="1"/>
    </w:lvl>
  </w:abstractNum>
  <w:abstractNum w:abstractNumId="190">
    <w:nsid w:val="271210C7"/>
    <w:multiLevelType w:val="hybridMultilevel"/>
    <w:lvl w:ilvl="0">
      <w:lvlJc w:val="left"/>
      <w:lvlText w:val="(%1)"/>
      <w:numFmt w:val="lowerLetter"/>
      <w:start w:val="21"/>
    </w:lvl>
  </w:abstractNum>
  <w:abstractNum w:abstractNumId="191">
    <w:nsid w:val="217B22E4"/>
    <w:multiLevelType w:val="hybridMultilevel"/>
    <w:lvl w:ilvl="0">
      <w:lvlJc w:val="left"/>
      <w:lvlText w:val="(%1)"/>
      <w:numFmt w:val="lowerLetter"/>
      <w:start w:val="1"/>
    </w:lvl>
  </w:abstractNum>
  <w:abstractNum w:abstractNumId="192">
    <w:nsid w:val="53E31A24"/>
    <w:multiLevelType w:val="hybridMultilevel"/>
    <w:lvl w:ilvl="0">
      <w:lvlJc w:val="left"/>
      <w:lvlText w:val="(%1)"/>
      <w:numFmt w:val="lowerLetter"/>
      <w:start w:val="3"/>
    </w:lvl>
  </w:abstractNum>
  <w:abstractNum w:abstractNumId="193">
    <w:nsid w:val="6DC45E83"/>
    <w:multiLevelType w:val="hybridMultilevel"/>
    <w:lvl w:ilvl="0">
      <w:lvlJc w:val="left"/>
      <w:lvlText w:val="%1"/>
      <w:numFmt w:val="lowerLetter"/>
      <w:start w:val="1"/>
    </w:lvl>
    <w:lvl w:ilvl="1">
      <w:lvlJc w:val="left"/>
      <w:lvlText w:val="(%2)"/>
      <w:numFmt w:val="lowerLetter"/>
      <w:start w:val="11"/>
    </w:lvl>
  </w:abstractNum>
  <w:abstractNum w:abstractNumId="194">
    <w:nsid w:val="17304A67"/>
    <w:multiLevelType w:val="hybridMultilevel"/>
    <w:lvl w:ilvl="0">
      <w:lvlJc w:val="left"/>
      <w:lvlText w:val="(%1)"/>
      <w:numFmt w:val="lowerLetter"/>
      <w:start w:val="35"/>
    </w:lvl>
    <w:lvl w:ilvl="1">
      <w:lvlJc w:val="left"/>
      <w:lvlText w:val="(%2)"/>
      <w:numFmt w:val="lowerLetter"/>
      <w:start w:val="12"/>
    </w:lvl>
  </w:abstractNum>
  <w:abstractNum w:abstractNumId="195">
    <w:nsid w:val="2BB180D8"/>
    <w:multiLevelType w:val="hybridMultilevel"/>
    <w:lvl w:ilvl="0">
      <w:lvlJc w:val="left"/>
      <w:lvlText w:val="(%1)"/>
      <w:numFmt w:val="lowerLetter"/>
      <w:start w:val="9"/>
    </w:lvl>
    <w:lvl w:ilvl="1">
      <w:lvlJc w:val="left"/>
      <w:lvlText w:val="%2"/>
      <w:numFmt w:val="lowerLetter"/>
      <w:start w:val="1"/>
    </w:lvl>
  </w:abstractNum>
  <w:abstractNum w:abstractNumId="196">
    <w:nsid w:val="556B69ED"/>
    <w:multiLevelType w:val="hybridMultilevel"/>
    <w:lvl w:ilvl="0">
      <w:lvlJc w:val="left"/>
      <w:lvlText w:val="(%1)"/>
      <w:numFmt w:val="lowerLetter"/>
      <w:start w:val="61"/>
    </w:lvl>
    <w:lvl w:ilvl="1">
      <w:lvlJc w:val="left"/>
      <w:lvlText w:val="(%2)"/>
      <w:numFmt w:val="lowerLetter"/>
      <w:start w:val="17"/>
    </w:lvl>
  </w:abstractNum>
  <w:abstractNum w:abstractNumId="197">
    <w:nsid w:val="70836196"/>
    <w:multiLevelType w:val="hybridMultilevel"/>
    <w:lvl w:ilvl="0">
      <w:lvlJc w:val="left"/>
      <w:lvlText w:val="%1"/>
      <w:numFmt w:val="lowerLetter"/>
      <w:start w:val="1"/>
    </w:lvl>
    <w:lvl w:ilvl="1">
      <w:lvlJc w:val="left"/>
      <w:lvlText w:val="(%2)"/>
      <w:numFmt w:val="lowerLetter"/>
      <w:start w:val="19"/>
    </w:lvl>
  </w:abstractNum>
  <w:abstractNum w:abstractNumId="198">
    <w:nsid w:val="539F7F12"/>
    <w:multiLevelType w:val="hybridMultilevel"/>
    <w:lvl w:ilvl="0">
      <w:lvlJc w:val="left"/>
      <w:lvlText w:val="(%1)"/>
      <w:numFmt w:val="lowerLetter"/>
      <w:start w:val="35"/>
    </w:lvl>
    <w:lvl w:ilvl="1">
      <w:lvlJc w:val="left"/>
      <w:lvlText w:val="(%2)"/>
      <w:numFmt w:val="lowerLetter"/>
      <w:start w:val="21"/>
    </w:lvl>
  </w:abstractNum>
  <w:abstractNum w:abstractNumId="199">
    <w:nsid w:val="2817E7EC"/>
    <w:multiLevelType w:val="hybridMultilevel"/>
    <w:lvl w:ilvl="0">
      <w:lvlJc w:val="left"/>
      <w:lvlText w:val="(%1)"/>
      <w:numFmt w:val="lowerLetter"/>
      <w:start w:val="35"/>
    </w:lvl>
    <w:lvl w:ilvl="1">
      <w:lvlJc w:val="left"/>
      <w:lvlText w:val="(%2)"/>
      <w:numFmt w:val="lowerLetter"/>
      <w:start w:val="23"/>
    </w:lvl>
  </w:abstractNum>
  <w:abstractNum w:abstractNumId="200">
    <w:nsid w:val="71482545"/>
    <w:multiLevelType w:val="hybridMultilevel"/>
    <w:lvl w:ilvl="0">
      <w:lvlJc w:val="left"/>
      <w:lvlText w:val="(%1)"/>
      <w:numFmt w:val="lowerLetter"/>
      <w:start w:val="1"/>
    </w:lvl>
  </w:abstractNum>
  <w:abstractNum w:abstractNumId="201">
    <w:nsid w:val="17D78639"/>
    <w:multiLevelType w:val="hybridMultilevel"/>
    <w:lvl w:ilvl="0">
      <w:lvlJc w:val="left"/>
      <w:lvlText w:val="%1"/>
      <w:numFmt w:val="lowerLetter"/>
      <w:start w:val="1"/>
    </w:lvl>
    <w:lvl w:ilvl="1">
      <w:lvlJc w:val="left"/>
      <w:lvlText w:val="(%2)"/>
      <w:numFmt w:val="lowerLetter"/>
      <w:start w:val="12"/>
    </w:lvl>
  </w:abstractNum>
  <w:abstractNum w:abstractNumId="202">
    <w:nsid w:val="141D2302"/>
    <w:multiLevelType w:val="hybridMultilevel"/>
    <w:lvl w:ilvl="0">
      <w:lvlJc w:val="left"/>
      <w:lvlText w:val="(%1)"/>
      <w:numFmt w:val="lowerLetter"/>
      <w:start w:val="9"/>
    </w:lvl>
    <w:lvl w:ilvl="1">
      <w:lvlJc w:val="left"/>
      <w:lvlText w:val="%2"/>
      <w:numFmt w:val="lowerLetter"/>
      <w:start w:val="1"/>
    </w:lvl>
  </w:abstractNum>
  <w:abstractNum w:abstractNumId="203">
    <w:nsid w:val="407168D8"/>
    <w:multiLevelType w:val="hybridMultilevel"/>
    <w:lvl w:ilvl="0">
      <w:lvlJc w:val="left"/>
      <w:lvlText w:val="(%1)"/>
      <w:numFmt w:val="lowerLetter"/>
      <w:start w:val="25"/>
    </w:lvl>
    <w:lvl w:ilvl="1">
      <w:lvlJc w:val="left"/>
      <w:lvlText w:val="(%2)"/>
      <w:numFmt w:val="lowerLetter"/>
      <w:start w:val="14"/>
    </w:lvl>
  </w:abstractNum>
  <w:abstractNum w:abstractNumId="204">
    <w:nsid w:val="6A1B45E5"/>
    <w:multiLevelType w:val="hybridMultilevel"/>
    <w:lvl w:ilvl="0">
      <w:lvlJc w:val="left"/>
      <w:lvlText w:val="(%1)"/>
      <w:numFmt w:val="lowerLetter"/>
      <w:start w:val="17"/>
    </w:lvl>
  </w:abstractNum>
  <w:abstractNum w:abstractNumId="205">
    <w:nsid w:val="567BD50A"/>
    <w:multiLevelType w:val="hybridMultilevel"/>
    <w:lvl w:ilvl="0">
      <w:lvlJc w:val="left"/>
      <w:lvlText w:val="(%1)"/>
      <w:numFmt w:val="lowerLetter"/>
      <w:start w:val="21"/>
    </w:lvl>
  </w:abstractNum>
  <w:abstractNum w:abstractNumId="206">
    <w:nsid w:val="73BBD7F8"/>
    <w:multiLevelType w:val="hybridMultilevel"/>
    <w:lvl w:ilvl="0">
      <w:lvlJc w:val="left"/>
      <w:lvlText w:val="(%1)"/>
      <w:numFmt w:val="lowerLetter"/>
      <w:start w:val="27"/>
    </w:lvl>
  </w:abstractNum>
  <w:abstractNum w:abstractNumId="207">
    <w:nsid w:val="1876589D"/>
    <w:multiLevelType w:val="hybridMultilevel"/>
    <w:lvl w:ilvl="0">
      <w:lvlJc w:val="left"/>
      <w:lvlText w:val="(%1)"/>
      <w:numFmt w:val="lowerLetter"/>
      <w:start w:val="1"/>
    </w:lvl>
  </w:abstractNum>
  <w:abstractNum w:abstractNumId="208">
    <w:nsid w:val="327FAC77"/>
    <w:multiLevelType w:val="hybridMultilevel"/>
    <w:lvl w:ilvl="0">
      <w:lvlJc w:val="left"/>
      <w:lvlText w:val="%1"/>
      <w:numFmt w:val="lowerLetter"/>
      <w:start w:val="1"/>
    </w:lvl>
    <w:lvl w:ilvl="1">
      <w:lvlJc w:val="left"/>
      <w:lvlText w:val="(%2)"/>
      <w:numFmt w:val="lowerLetter"/>
      <w:start w:val="10"/>
    </w:lvl>
  </w:abstractNum>
  <w:abstractNum w:abstractNumId="209">
    <w:nsid w:val="5A606509"/>
    <w:multiLevelType w:val="hybridMultilevel"/>
    <w:lvl w:ilvl="0">
      <w:lvlJc w:val="left"/>
      <w:lvlText w:val="(%1)"/>
      <w:numFmt w:val="lowerLetter"/>
      <w:start w:val="35"/>
    </w:lvl>
    <w:lvl w:ilvl="1">
      <w:lvlJc w:val="left"/>
      <w:lvlText w:val="%2"/>
      <w:numFmt w:val="lowerLetter"/>
      <w:start w:val="1"/>
    </w:lvl>
  </w:abstractNum>
  <w:abstractNum w:abstractNumId="210">
    <w:nsid w:val="6F38E6D1"/>
    <w:multiLevelType w:val="hybridMultilevel"/>
    <w:lvl w:ilvl="0">
      <w:lvlJc w:val="left"/>
      <w:lvlText w:val="(%1)"/>
      <w:numFmt w:val="lowerLetter"/>
      <w:start w:val="2"/>
    </w:lvl>
    <w:lvl w:ilvl="1">
      <w:lvlJc w:val="left"/>
      <w:lvlText w:val="(%2)"/>
      <w:numFmt w:val="upperLetter"/>
      <w:start w:val="1"/>
    </w:lvl>
  </w:abstractNum>
  <w:abstractNum w:abstractNumId="211">
    <w:nsid w:val="46111BA5"/>
    <w:multiLevelType w:val="hybridMultilevel"/>
    <w:lvl w:ilvl="0">
      <w:lvlJc w:val="left"/>
      <w:lvlText w:val="(%1)"/>
      <w:numFmt w:val="lowerLetter"/>
      <w:start w:val="4"/>
    </w:lvl>
  </w:abstractNum>
  <w:abstractNum w:abstractNumId="212">
    <w:nsid w:val="5E963896"/>
    <w:multiLevelType w:val="hybridMultilevel"/>
    <w:lvl w:ilvl="0">
      <w:lvlJc w:val="left"/>
      <w:lvlText w:val="(%1)"/>
      <w:numFmt w:val="lowerLetter"/>
      <w:start w:val="10"/>
    </w:lvl>
  </w:abstractNum>
  <w:abstractNum w:abstractNumId="213">
    <w:nsid w:val="775BA7C1"/>
    <w:multiLevelType w:val="hybridMultilevel"/>
    <w:lvl w:ilvl="0">
      <w:lvlJc w:val="left"/>
      <w:lvlText w:val="(%1)"/>
      <w:numFmt w:val="lowerLetter"/>
      <w:start w:val="1"/>
    </w:lvl>
  </w:abstractNum>
  <w:abstractNum w:abstractNumId="214">
    <w:nsid w:val="1DD6D6F4"/>
    <w:multiLevelType w:val="hybridMultilevel"/>
    <w:lvl w:ilvl="0">
      <w:lvlJc w:val="left"/>
      <w:lvlText w:val="(%1)"/>
      <w:numFmt w:val="lowerLetter"/>
      <w:start w:val="3"/>
    </w:lvl>
  </w:abstractNum>
  <w:abstractNum w:abstractNumId="215">
    <w:nsid w:val="769A091F"/>
    <w:multiLevelType w:val="hybridMultilevel"/>
    <w:lvl w:ilvl="0">
      <w:lvlJc w:val="left"/>
      <w:lvlText w:val="(%1)"/>
      <w:numFmt w:val="lowerLetter"/>
      <w:start w:val="1"/>
    </w:lvl>
  </w:abstractNum>
  <w:abstractNum w:abstractNumId="216">
    <w:nsid w:val="4695AE95"/>
    <w:multiLevelType w:val="hybridMultilevel"/>
    <w:lvl w:ilvl="0">
      <w:lvlJc w:val="left"/>
      <w:lvlText w:val="%1"/>
      <w:numFmt w:val="lowerLetter"/>
      <w:start w:val="1"/>
    </w:lvl>
    <w:lvl w:ilvl="1">
      <w:lvlJc w:val="left"/>
      <w:lvlText w:val="(%2)"/>
      <w:numFmt w:val="lowerLetter"/>
      <w:start w:val="6"/>
    </w:lvl>
  </w:abstractNum>
  <w:abstractNum w:abstractNumId="217">
    <w:nsid w:val="777A4EAA"/>
    <w:multiLevelType w:val="hybridMultilevel"/>
    <w:lvl w:ilvl="0">
      <w:lvlJc w:val="left"/>
      <w:lvlText w:val="(%1)"/>
      <w:numFmt w:val="lowerLetter"/>
      <w:start w:val="35"/>
    </w:lvl>
    <w:lvl w:ilvl="1">
      <w:lvlJc w:val="left"/>
      <w:lvlText w:val="(%2)"/>
      <w:numFmt w:val="lowerLetter"/>
      <w:start w:val="11"/>
    </w:lvl>
  </w:abstractNum>
  <w:abstractNum w:abstractNumId="218">
    <w:nsid w:val="3F48B982"/>
    <w:multiLevelType w:val="hybridMultilevel"/>
    <w:lvl w:ilvl="0">
      <w:lvlJc w:val="left"/>
      <w:lvlText w:val="%1"/>
      <w:numFmt w:val="lowerLetter"/>
      <w:start w:val="1"/>
    </w:lvl>
    <w:lvl w:ilvl="1">
      <w:lvlJc w:val="left"/>
      <w:lvlText w:val="(%2)"/>
      <w:numFmt w:val="lowerLetter"/>
      <w:start w:val="1"/>
    </w:lvl>
  </w:abstractNum>
  <w:abstractNum w:abstractNumId="219">
    <w:nsid w:val="46BA8FCA"/>
    <w:multiLevelType w:val="hybridMultilevel"/>
    <w:lvl w:ilvl="0">
      <w:lvlJc w:val="left"/>
      <w:lvlText w:val="(%1)"/>
      <w:numFmt w:val="lowerLetter"/>
      <w:start w:val="2"/>
    </w:lvl>
    <w:lvl w:ilvl="1">
      <w:lvlJc w:val="left"/>
      <w:lvlText w:val="(%2)"/>
      <w:numFmt w:val="lowerLetter"/>
      <w:start w:val="2"/>
    </w:lvl>
  </w:abstractNum>
  <w:abstractNum w:abstractNumId="220">
    <w:nsid w:val="7835626C"/>
    <w:multiLevelType w:val="hybridMultilevel"/>
    <w:lvl w:ilvl="0">
      <w:lvlJc w:val="left"/>
      <w:lvlText w:val="(%1)"/>
      <w:numFmt w:val="lowerLetter"/>
      <w:start w:val="1"/>
    </w:lvl>
  </w:abstractNum>
  <w:abstractNum w:abstractNumId="221">
    <w:nsid w:val="665ACA49"/>
    <w:multiLevelType w:val="hybridMultilevel"/>
    <w:lvl w:ilvl="0">
      <w:lvlJc w:val="left"/>
      <w:lvlText w:val="(%1)"/>
      <w:numFmt w:val="lowerLetter"/>
      <w:start w:val="8"/>
    </w:lvl>
  </w:abstractNum>
  <w:abstractNum w:abstractNumId="222">
    <w:nsid w:val="6835B2AE"/>
    <w:multiLevelType w:val="hybridMultilevel"/>
    <w:lvl w:ilvl="0">
      <w:lvlJc w:val="left"/>
      <w:lvlText w:val="(%1)"/>
      <w:numFmt w:val="lowerLetter"/>
      <w:start w:val="1"/>
    </w:lvl>
  </w:abstractNum>
  <w:abstractNum w:abstractNumId="223">
    <w:nsid w:val="4C187C90"/>
    <w:multiLevelType w:val="hybridMultilevel"/>
    <w:lvl w:ilvl="0">
      <w:lvlJc w:val="left"/>
      <w:lvlText w:val="(%1)"/>
      <w:numFmt w:val="lowerLetter"/>
      <w:start w:val="3"/>
    </w:lvl>
  </w:abstractNum>
  <w:abstractNum w:abstractNumId="224">
    <w:nsid w:val="541F28CD"/>
    <w:multiLevelType w:val="hybridMultilevel"/>
    <w:lvl w:ilvl="0">
      <w:lvlJc w:val="left"/>
      <w:lvlText w:val="(%1)"/>
      <w:numFmt w:val="lowerLetter"/>
      <w:start w:val="1"/>
    </w:lvl>
  </w:abstractNum>
  <w:abstractNum w:abstractNumId="225">
    <w:nsid w:val="7F65FD16"/>
    <w:multiLevelType w:val="hybridMultilevel"/>
    <w:lvl w:ilvl="0">
      <w:lvlJc w:val="left"/>
      <w:lvlText w:val="%1"/>
      <w:numFmt w:val="decimal"/>
      <w:start w:val="1"/>
    </w:lvl>
    <w:lvl w:ilvl="1">
      <w:lvlJc w:val="left"/>
      <w:lvlText w:val="(%2)"/>
      <w:numFmt w:val="lowerLetter"/>
      <w:start w:val="1"/>
    </w:lvl>
  </w:abstractNum>
  <w:abstractNum w:abstractNumId="226">
    <w:nsid w:val="77C9FD68"/>
    <w:multiLevelType w:val="hybridMultilevel"/>
    <w:lvl w:ilvl="0">
      <w:lvlJc w:val="left"/>
      <w:lvlText w:val="(%1)"/>
      <w:numFmt w:val="decimal"/>
      <w:start w:val="2"/>
    </w:lvl>
    <w:lvl w:ilvl="1">
      <w:lvlJc w:val="left"/>
      <w:lvlText w:val="(%2)"/>
      <w:numFmt w:val="lowerLetter"/>
      <w:start w:val="3"/>
    </w:lvl>
  </w:abstractNum>
  <w:abstractNum w:abstractNumId="227">
    <w:nsid w:val="298A92BA"/>
    <w:multiLevelType w:val="hybridMultilevel"/>
    <w:lvl w:ilvl="0">
      <w:lvlJc w:val="left"/>
      <w:lvlText w:val="%1"/>
      <w:numFmt w:val="decimal"/>
      <w:start w:val="1"/>
    </w:lvl>
    <w:lvl w:ilvl="1">
      <w:lvlJc w:val="left"/>
      <w:lvlText w:val="(%2)"/>
      <w:numFmt w:val="lowerLetter"/>
      <w:start w:val="6"/>
    </w:lvl>
  </w:abstractNum>
  <w:abstractNum w:abstractNumId="228">
    <w:nsid w:val="6FE95EAC"/>
    <w:multiLevelType w:val="hybridMultilevel"/>
    <w:lvl w:ilvl="0">
      <w:lvlJc w:val="left"/>
      <w:lvlText w:val="(%1)"/>
      <w:numFmt w:val="decimal"/>
      <w:start w:val="30"/>
    </w:lvl>
    <w:lvl w:ilvl="1">
      <w:lvlJc w:val="left"/>
      <w:lvlText w:val="(%2)"/>
      <w:numFmt w:val="lowerLetter"/>
      <w:start w:val="9"/>
    </w:lvl>
  </w:abstractNum>
  <w:abstractNum w:abstractNumId="229">
    <w:nsid w:val="4B697C7A"/>
    <w:multiLevelType w:val="hybridMultilevel"/>
    <w:lvl w:ilvl="0">
      <w:lvlJc w:val="left"/>
      <w:lvlText w:val="%1"/>
      <w:numFmt w:val="decimal"/>
      <w:start w:val="1"/>
    </w:lvl>
    <w:lvl w:ilvl="1">
      <w:lvlJc w:val="left"/>
      <w:lvlText w:val="(%2)"/>
      <w:numFmt w:val="lowerLetter"/>
      <w:start w:val="11"/>
    </w:lvl>
  </w:abstractNum>
  <w:abstractNum w:abstractNumId="230">
    <w:nsid w:val="51A27AA6"/>
    <w:multiLevelType w:val="hybridMultilevel"/>
    <w:lvl w:ilvl="0">
      <w:lvlJc w:val="left"/>
      <w:lvlText w:val="(%1)"/>
      <w:numFmt w:val="decimal"/>
      <w:start w:val="60"/>
    </w:lvl>
    <w:lvl w:ilvl="1">
      <w:lvlJc w:val="left"/>
      <w:lvlText w:val="%2"/>
      <w:numFmt w:val="lowerLetter"/>
      <w:start w:val="1"/>
    </w:lvl>
  </w:abstractNum>
  <w:abstractNum w:abstractNumId="231">
    <w:nsid w:val="613183F2"/>
    <w:multiLevelType w:val="hybridMultilevel"/>
    <w:lvl w:ilvl="0">
      <w:lvlJc w:val="left"/>
      <w:lvlText w:val="(%1)"/>
      <w:numFmt w:val="lowerLetter"/>
      <w:start w:val="1"/>
    </w:lvl>
  </w:abstractNum>
  <w:abstractNum w:abstractNumId="232">
    <w:nsid w:val="634102B4"/>
    <w:multiLevelType w:val="hybridMultilevel"/>
    <w:lvl w:ilvl="0">
      <w:lvlJc w:val="left"/>
      <w:lvlText w:val="(%1)"/>
      <w:numFmt w:val="lowerLetter"/>
      <w:start w:val="2"/>
    </w:lvl>
  </w:abstractNum>
  <w:abstractNum w:abstractNumId="233">
    <w:nsid w:val="65BF9DA8"/>
    <w:multiLevelType w:val="hybridMultilevel"/>
    <w:lvl w:ilvl="0">
      <w:lvlJc w:val="left"/>
      <w:lvlText w:val="(%1)"/>
      <w:numFmt w:val="lowerLetter"/>
      <w:start w:val="1"/>
    </w:lvl>
  </w:abstractNum>
  <w:abstractNum w:abstractNumId="234">
    <w:nsid w:val="21A2ECCA"/>
    <w:multiLevelType w:val="hybridMultilevel"/>
    <w:lvl w:ilvl="0">
      <w:lvlJc w:val="left"/>
      <w:lvlText w:val="(%1)"/>
      <w:numFmt w:val="lowerLetter"/>
      <w:start w:val="1"/>
    </w:lvl>
  </w:abstractNum>
  <w:abstractNum w:abstractNumId="235">
    <w:nsid w:val="4D5C4899"/>
    <w:multiLevelType w:val="hybridMultilevel"/>
    <w:lvl w:ilvl="0">
      <w:lvlJc w:val="left"/>
      <w:lvlText w:val="(%1)"/>
      <w:numFmt w:val="lowerLetter"/>
      <w:start w:val="2"/>
    </w:lvl>
    <w:lvl w:ilvl="1">
      <w:lvlJc w:val="left"/>
      <w:lvlText w:val="(%2)"/>
      <w:numFmt w:val="lowerLetter"/>
      <w:start w:val="9"/>
    </w:lvl>
  </w:abstractNum>
  <w:abstractNum w:abstractNumId="236">
    <w:nsid w:val="3C3B72B2"/>
    <w:multiLevelType w:val="hybridMultilevel"/>
    <w:lvl w:ilvl="0">
      <w:lvlJc w:val="left"/>
      <w:lvlText w:val="(%1)"/>
      <w:numFmt w:val="lowerRoman"/>
      <w:start w:val="3"/>
    </w:lvl>
  </w:abstractNum>
  <w:abstractNum w:abstractNumId="237">
    <w:nsid w:val="155EC4C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238">
    <w:nsid w:val="65D2A13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39">
    <w:nsid w:val="6EBB1F2A"/>
    <w:multiLevelType w:val="hybridMultilevel"/>
    <w:lvl w:ilvl="0">
      <w:lvlJc w:val="left"/>
      <w:lvlText w:val="(%1)"/>
      <w:numFmt w:val="lowerLetter"/>
      <w:start w:val="2"/>
    </w:lvl>
  </w:abstractNum>
  <w:abstractNum w:abstractNumId="240">
    <w:nsid w:val="6FBF29CB"/>
    <w:multiLevelType w:val="hybridMultilevel"/>
    <w:lvl w:ilvl="0">
      <w:lvlJc w:val="left"/>
      <w:lvlText w:val="(%1)"/>
      <w:numFmt w:val="lowerLetter"/>
      <w:start w:val="1"/>
    </w:lvl>
  </w:abstractNum>
  <w:abstractNum w:abstractNumId="241">
    <w:nsid w:val="550B8808"/>
    <w:multiLevelType w:val="hybridMultilevel"/>
    <w:lvl w:ilvl="0">
      <w:lvlJc w:val="left"/>
      <w:lvlText w:val="%1"/>
      <w:numFmt w:val="lowerLetter"/>
      <w:start w:val="1"/>
    </w:lvl>
    <w:lvl w:ilvl="1">
      <w:lvlJc w:val="left"/>
      <w:lvlText w:val="(%2)"/>
      <w:numFmt w:val="lowerLetter"/>
      <w:start w:val="2"/>
    </w:lvl>
  </w:abstractNum>
  <w:abstractNum w:abstractNumId="242">
    <w:nsid w:val="34CC3ACF"/>
    <w:multiLevelType w:val="hybridMultilevel"/>
    <w:lvl w:ilvl="0">
      <w:lvlJc w:val="left"/>
      <w:lvlText w:val="(%1)"/>
      <w:numFmt w:val="lowerLetter"/>
      <w:start w:val="9"/>
    </w:lvl>
    <w:lvl w:ilvl="1">
      <w:lvlJc w:val="left"/>
      <w:lvlText w:val="%2"/>
      <w:numFmt w:val="lowerLetter"/>
      <w:start w:val="1"/>
    </w:lvl>
  </w:abstractNum>
  <w:abstractNum w:abstractNumId="243">
    <w:nsid w:val="4E556261"/>
    <w:multiLevelType w:val="hybridMultilevel"/>
    <w:lvl w:ilvl="0">
      <w:lvlJc w:val="left"/>
      <w:lvlText w:val="%1"/>
      <w:numFmt w:val="lowerLetter"/>
      <w:start w:val="1"/>
    </w:lvl>
    <w:lvl w:ilvl="1">
      <w:lvlJc w:val="left"/>
      <w:lvlText w:val="(%2)"/>
      <w:numFmt w:val="lowerLetter"/>
      <w:start w:val="1"/>
    </w:lvl>
  </w:abstractNum>
  <w:abstractNum w:abstractNumId="244">
    <w:nsid w:val="4C672FC9"/>
    <w:multiLevelType w:val="hybridMultilevel"/>
    <w:lvl w:ilvl="0">
      <w:lvlJc w:val="left"/>
      <w:lvlText w:val="(%1)"/>
      <w:numFmt w:val="lowerLetter"/>
      <w:start w:val="25"/>
    </w:lvl>
    <w:lvl w:ilvl="1">
      <w:lvlJc w:val="left"/>
      <w:lvlText w:val="%2"/>
      <w:numFmt w:val="lowerLetter"/>
      <w:start w:val="1"/>
    </w:lvl>
  </w:abstractNum>
  <w:abstractNum w:abstractNumId="245">
    <w:nsid w:val="52A311C3"/>
    <w:multiLevelType w:val="hybridMultilevel"/>
    <w:lvl w:ilvl="0">
      <w:lvlJc w:val="left"/>
      <w:lvlText w:val="(%1)"/>
      <w:numFmt w:val="decimal"/>
      <w:start w:val="30"/>
    </w:lvl>
    <w:lvl w:ilvl="1">
      <w:lvlJc w:val="left"/>
      <w:lvlText w:val="(%2)"/>
      <w:numFmt w:val="lowerLetter"/>
      <w:start w:val="2"/>
    </w:lvl>
  </w:abstractNum>
  <w:abstractNum w:abstractNumId="246">
    <w:nsid w:val="44EF6B80"/>
    <w:multiLevelType w:val="hybridMultilevel"/>
    <w:lvl w:ilvl="0">
      <w:lvlJc w:val="left"/>
      <w:lvlText w:val="(%1)"/>
      <w:numFmt w:val="lowerLetter"/>
      <w:start w:val="1"/>
    </w:lvl>
  </w:abstractNum>
  <w:abstractNum w:abstractNumId="247">
    <w:nsid w:val="12FCDE5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48">
    <w:nsid w:val="4A1D606E"/>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9"/>
    </w:lvl>
  </w:abstractNum>
  <w:abstractNum w:abstractNumId="249">
    <w:nsid w:val="4382503"/>
    <w:multiLevelType w:val="hybridMultilevel"/>
    <w:lvl w:ilvl="0">
      <w:lvlJc w:val="left"/>
      <w:lvlText w:val="(%1)"/>
      <w:numFmt w:val="lowerRoman"/>
      <w:start w:val="2"/>
    </w:lvl>
  </w:abstractNum>
  <w:abstractNum w:abstractNumId="250">
    <w:nsid w:val="59B76E28"/>
    <w:multiLevelType w:val="hybridMultilevel"/>
    <w:lvl w:ilvl="0">
      <w:lvlJc w:val="left"/>
      <w:lvlText w:val="(%1)"/>
      <w:numFmt w:val="lowerLetter"/>
      <w:start w:val="4"/>
    </w:lvl>
  </w:abstractNum>
  <w:abstractNum w:abstractNumId="251">
    <w:nsid w:val="4252C2DA"/>
    <w:multiLevelType w:val="hybridMultilevel"/>
    <w:lvl w:ilvl="0">
      <w:lvlJc w:val="left"/>
      <w:lvlText w:val="(%1)"/>
      <w:numFmt w:val="lowerLetter"/>
      <w:start w:val="1"/>
    </w:lvl>
  </w:abstractNum>
  <w:abstractNum w:abstractNumId="252">
    <w:nsid w:val="6A92EF4C"/>
    <w:multiLevelType w:val="hybridMultilevel"/>
    <w:lvl w:ilvl="0">
      <w:lvlJc w:val="left"/>
      <w:lvlText w:val="(%1)"/>
      <w:numFmt w:val="lowerLetter"/>
      <w:start w:val="2"/>
    </w:lvl>
  </w:abstractNum>
  <w:abstractNum w:abstractNumId="253">
    <w:nsid w:val="41ED20D7"/>
    <w:multiLevelType w:val="hybridMultilevel"/>
    <w:lvl w:ilvl="0">
      <w:lvlJc w:val="left"/>
      <w:lvlText w:val="(%1)"/>
      <w:numFmt w:val="lowerLetter"/>
      <w:start w:val="1"/>
    </w:lvl>
    <w:lvl w:ilvl="1">
      <w:lvlJc w:val="left"/>
      <w:lvlText w:val="(%2)"/>
      <w:numFmt w:val="lowerRoman"/>
      <w:start w:val="1"/>
    </w:lvl>
  </w:abstractNum>
  <w:abstractNum w:abstractNumId="254">
    <w:nsid w:val="E6B3F6A"/>
    <w:multiLevelType w:val="hybridMultilevel"/>
    <w:lvl w:ilvl="0">
      <w:lvlJc w:val="left"/>
      <w:lvlText w:val="%1"/>
      <w:numFmt w:val="lowerLetter"/>
      <w:start w:val="1"/>
    </w:lvl>
    <w:lvl w:ilvl="1">
      <w:lvlJc w:val="left"/>
      <w:lvlText w:val="(%2)"/>
      <w:numFmt w:val="lowerLetter"/>
      <w:start w:val="61"/>
    </w:lvl>
  </w:abstractNum>
  <w:abstractNum w:abstractNumId="255">
    <w:nsid w:val="3EB21819"/>
    <w:multiLevelType w:val="hybridMultilevel"/>
    <w:lvl w:ilvl="0">
      <w:lvlJc w:val="left"/>
      <w:lvlText w:val="(%1)"/>
      <w:numFmt w:val="lowerLetter"/>
      <w:start w:val="2"/>
    </w:lvl>
    <w:lvl w:ilvl="1">
      <w:lvlJc w:val="left"/>
      <w:lvlText w:val="%2"/>
      <w:numFmt w:val="lowerLetter"/>
      <w:start w:val="1"/>
    </w:lvl>
  </w:abstractNum>
  <w:abstractNum w:abstractNumId="256">
    <w:nsid w:val="41531DED"/>
    <w:multiLevelType w:val="hybridMultilevel"/>
    <w:lvl w:ilvl="0">
      <w:lvlJc w:val="left"/>
      <w:lvlText w:val="(%1)"/>
      <w:numFmt w:val="lowerLetter"/>
      <w:start w:val="1"/>
    </w:lvl>
  </w:abstractNum>
  <w:abstractNum w:abstractNumId="257">
    <w:nsid w:val="6353CD2"/>
    <w:multiLevelType w:val="hybridMultilevel"/>
    <w:lvl w:ilvl="0">
      <w:lvlJc w:val="left"/>
      <w:lvlText w:val="(%1)"/>
      <w:numFmt w:val="lowerLetter"/>
      <w:start w:val="8"/>
    </w:lvl>
  </w:abstractNum>
  <w:abstractNum w:abstractNumId="258">
    <w:nsid w:val="683CAAD3"/>
    <w:multiLevelType w:val="hybridMultilevel"/>
    <w:lvl w:ilvl="0">
      <w:lvlJc w:val="left"/>
      <w:lvlText w:val="(%1)"/>
      <w:numFmt w:val="lowerLetter"/>
      <w:start w:val="1"/>
    </w:lvl>
  </w:abstractNum>
  <w:abstractNum w:abstractNumId="259">
    <w:nsid w:val="313C7C99"/>
    <w:multiLevelType w:val="hybridMultilevel"/>
    <w:lvl w:ilvl="0">
      <w:lvlJc w:val="left"/>
      <w:lvlText w:val="(%1)"/>
      <w:numFmt w:val="lowerLetter"/>
      <w:start w:val="2"/>
    </w:lvl>
  </w:abstractNum>
  <w:abstractNum w:abstractNumId="260">
    <w:nsid w:val="519EB94C"/>
    <w:multiLevelType w:val="hybridMultilevel"/>
    <w:lvl w:ilvl="0">
      <w:lvlJc w:val="left"/>
      <w:lvlText w:val="%1"/>
      <w:numFmt w:val="lowerLetter"/>
      <w:start w:val="1"/>
    </w:lvl>
    <w:lvl w:ilvl="1">
      <w:lvlJc w:val="left"/>
      <w:lvlText w:val="(%2)"/>
      <w:numFmt w:val="lowerLetter"/>
      <w:start w:val="3"/>
    </w:lvl>
  </w:abstractNum>
  <w:abstractNum w:abstractNumId="261">
    <w:nsid w:val="39DF2579"/>
    <w:multiLevelType w:val="hybridMultilevel"/>
    <w:lvl w:ilvl="0">
      <w:lvlJc w:val="left"/>
      <w:lvlText w:val="(%1)"/>
      <w:numFmt w:val="lowerLetter"/>
      <w:start w:val="7"/>
    </w:lvl>
    <w:lvl w:ilvl="1">
      <w:lvlJc w:val="left"/>
      <w:lvlText w:val="(%2)"/>
      <w:numFmt w:val="lowerLetter"/>
      <w:start w:val="7"/>
    </w:lvl>
  </w:abstractNum>
  <w:abstractNum w:abstractNumId="262">
    <w:nsid w:val="126E008B"/>
    <w:multiLevelType w:val="hybridMultilevel"/>
    <w:lvl w:ilvl="0">
      <w:lvlJc w:val="left"/>
      <w:lvlText w:val="(%1)"/>
      <w:numFmt w:val="lowerLetter"/>
      <w:start w:val="1"/>
    </w:lvl>
  </w:abstractNum>
  <w:abstractNum w:abstractNumId="263">
    <w:nsid w:val="34DFBC00"/>
    <w:multiLevelType w:val="hybridMultilevel"/>
    <w:lvl w:ilvl="0">
      <w:lvlJc w:val="left"/>
      <w:lvlText w:val="(%1)"/>
      <w:numFmt w:val="lowerLetter"/>
      <w:start w:val="1"/>
    </w:lvl>
  </w:abstractNum>
  <w:abstractNum w:abstractNumId="264">
    <w:nsid w:val="1F9EC322"/>
    <w:multiLevelType w:val="hybridMultilevel"/>
    <w:lvl w:ilvl="0">
      <w:lvlJc w:val="left"/>
      <w:lvlText w:val="%1"/>
      <w:numFmt w:val="lowerLetter"/>
      <w:start w:val="1"/>
    </w:lvl>
    <w:lvl w:ilvl="1">
      <w:lvlJc w:val="left"/>
      <w:lvlText w:val="(%2)"/>
      <w:numFmt w:val="lowerLetter"/>
      <w:start w:val="1"/>
    </w:lvl>
  </w:abstractNum>
  <w:abstractNum w:abstractNumId="265">
    <w:nsid w:val="3410ED56"/>
    <w:multiLevelType w:val="hybridMultilevel"/>
    <w:lvl w:ilvl="0">
      <w:lvlJc w:val="left"/>
      <w:lvlText w:val="(%1)"/>
      <w:numFmt w:val="lowerLetter"/>
      <w:start w:val="2"/>
    </w:lvl>
    <w:lvl w:ilvl="1">
      <w:lvlJc w:val="left"/>
      <w:lvlText w:val="(%2)"/>
      <w:numFmt w:val="lowerLetter"/>
      <w:start w:val="2"/>
    </w:lvl>
  </w:abstractNum>
  <w:abstractNum w:abstractNumId="266">
    <w:nsid w:val="23C049A"/>
    <w:multiLevelType w:val="hybridMultilevel"/>
    <w:lvl w:ilvl="0">
      <w:lvlJc w:val="left"/>
      <w:lvlText w:val="(%1)"/>
      <w:numFmt w:val="lowerLetter"/>
      <w:start w:val="4"/>
    </w:lvl>
  </w:abstractNum>
  <w:abstractNum w:abstractNumId="267">
    <w:nsid w:val="5BDA35D4"/>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268">
    <w:nsid w:val="496FB218"/>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269">
    <w:nsid w:val="680EA5D1"/>
    <w:multiLevelType w:val="hybridMultilevel"/>
    <w:lvl w:ilvl="0">
      <w:lvlJc w:val="left"/>
      <w:lvlText w:val="%1"/>
      <w:numFmt w:val="lowerRoman"/>
      <w:start w:val="1"/>
    </w:lvl>
    <w:lvl w:ilvl="1">
      <w:lvlJc w:val="left"/>
      <w:lvlText w:val="(%2)"/>
      <w:numFmt w:val="upperLetter"/>
      <w:start w:val="3"/>
    </w:lvl>
  </w:abstractNum>
  <w:abstractNum w:abstractNumId="270">
    <w:nsid w:val="4A9554FE"/>
    <w:multiLevelType w:val="hybridMultilevel"/>
    <w:lvl w:ilvl="0">
      <w:lvlJc w:val="left"/>
      <w:lvlText w:val="(%1)"/>
      <w:numFmt w:val="lowerRoman"/>
      <w:start w:val="5"/>
    </w:lvl>
    <w:lvl w:ilvl="1">
      <w:lvlJc w:val="left"/>
      <w:lvlText w:val="%2"/>
      <w:numFmt w:val="upperLetter"/>
      <w:start w:val="1"/>
    </w:lvl>
  </w:abstractNum>
  <w:abstractNum w:abstractNumId="271">
    <w:nsid w:val="392EDBE4"/>
    <w:multiLevelType w:val="hybridMultilevel"/>
    <w:lvl w:ilvl="0">
      <w:lvlJc w:val="left"/>
      <w:lvlText w:val="(%1)"/>
      <w:numFmt w:val="lowerLetter"/>
      <w:start w:val="2"/>
    </w:lvl>
  </w:abstractNum>
  <w:abstractNum w:abstractNumId="272">
    <w:nsid w:val="3D1A2DD9"/>
    <w:multiLevelType w:val="hybridMultilevel"/>
    <w:lvl w:ilvl="0">
      <w:lvlJc w:val="left"/>
      <w:lvlText w:val="(%1)"/>
      <w:numFmt w:val="lowerLetter"/>
      <w:start w:val="4"/>
    </w:lvl>
  </w:abstractNum>
  <w:abstractNum w:abstractNumId="273">
    <w:nsid w:val="7F618FCD"/>
    <w:multiLevelType w:val="hybridMultilevel"/>
    <w:lvl w:ilvl="0">
      <w:lvlJc w:val="left"/>
      <w:lvlText w:val="%1"/>
      <w:numFmt w:val="upperLetter"/>
      <w:start w:val="1"/>
    </w:lvl>
    <w:lvl w:ilvl="1">
      <w:lvlJc w:val="left"/>
      <w:lvlText w:val="(%2)"/>
      <w:numFmt w:val="lowerRoman"/>
      <w:start w:val="1"/>
    </w:lvl>
  </w:abstractNum>
  <w:abstractNum w:abstractNumId="274">
    <w:nsid w:val="7843E45"/>
    <w:multiLevelType w:val="hybridMultilevel"/>
    <w:lvl w:ilvl="0">
      <w:lvlJc w:val="left"/>
      <w:lvlText w:val="(%1)"/>
      <w:numFmt w:val="upperLetter"/>
      <w:start w:val="3"/>
    </w:lvl>
    <w:lvl w:ilvl="1">
      <w:lvlJc w:val="left"/>
      <w:lvlText w:val="(%2)"/>
      <w:numFmt w:val="lowerRoman"/>
      <w:start w:val="2"/>
    </w:lvl>
  </w:abstractNum>
  <w:abstractNum w:abstractNumId="275">
    <w:nsid w:val="9815DA3"/>
    <w:multiLevelType w:val="hybridMultilevel"/>
    <w:lvl w:ilvl="0">
      <w:lvlJc w:val="left"/>
      <w:lvlText w:val="(%1)"/>
      <w:numFmt w:val="lowerRoman"/>
      <w:start w:val="3"/>
    </w:lvl>
  </w:abstractNum>
  <w:abstractNum w:abstractNumId="276">
    <w:nsid w:val="5204A191"/>
    <w:multiLevelType w:val="hybridMultilevel"/>
    <w:lvl w:ilvl="0">
      <w:lvlJc w:val="left"/>
      <w:lvlText w:val="(%1)"/>
      <w:numFmt w:val="lowerLetter"/>
      <w:start w:val="2"/>
    </w:lvl>
    <w:lvl w:ilvl="1">
      <w:lvlJc w:val="left"/>
      <w:lvlText w:val="(%2)"/>
      <w:numFmt w:val="decimal"/>
      <w:start w:val="1"/>
    </w:lvl>
  </w:abstractNum>
  <w:abstractNum w:abstractNumId="277">
    <w:nsid w:val="4C73A9C6"/>
    <w:multiLevelType w:val="hybridMultilevel"/>
    <w:lvl w:ilvl="0">
      <w:lvlJc w:val="left"/>
      <w:lvlText w:val="(%1)"/>
      <w:numFmt w:val="decimal"/>
      <w:start w:val="2"/>
    </w:lvl>
  </w:abstractNum>
  <w:abstractNum w:abstractNumId="278">
    <w:nsid w:val="1C7E3C01"/>
    <w:multiLevelType w:val="hybridMultilevel"/>
    <w:lvl w:ilvl="0">
      <w:lvlJc w:val="left"/>
      <w:lvlText w:val="(%1)"/>
      <w:numFmt w:val="lowerLetter"/>
      <w:start w:val="1"/>
    </w:lvl>
  </w:abstractNum>
  <w:abstractNum w:abstractNumId="279">
    <w:nsid w:val="1C2201FF"/>
    <w:multiLevelType w:val="hybridMultilevel"/>
    <w:lvl w:ilvl="0">
      <w:lvlJc w:val="left"/>
      <w:lvlText w:val="(%1)"/>
      <w:numFmt w:val="lowerLetter"/>
      <w:start w:val="2"/>
    </w:lvl>
  </w:abstractNum>
  <w:abstractNum w:abstractNumId="280">
    <w:nsid w:val="50ABCEC9"/>
    <w:multiLevelType w:val="hybridMultilevel"/>
    <w:lvl w:ilvl="0">
      <w:lvlJc w:val="left"/>
      <w:lvlText w:val="(%1)"/>
      <w:numFmt w:val="lowerLetter"/>
      <w:start w:val="4"/>
    </w:lvl>
  </w:abstractNum>
  <w:abstractNum w:abstractNumId="281">
    <w:nsid w:val="7635AA2A"/>
    <w:multiLevelType w:val="hybridMultilevel"/>
    <w:lvl w:ilvl="0">
      <w:lvlJc w:val="left"/>
      <w:lvlText w:val="(%1)"/>
      <w:numFmt w:val="lowerLetter"/>
      <w:start w:val="1"/>
    </w:lvl>
  </w:abstractNum>
  <w:abstractNum w:abstractNumId="282">
    <w:nsid w:val="5E74C4D9"/>
    <w:multiLevelType w:val="hybridMultilevel"/>
    <w:lvl w:ilvl="0">
      <w:lvlJc w:val="left"/>
      <w:lvlText w:val="(%1)"/>
      <w:numFmt w:val="lowerLetter"/>
      <w:start w:val="1"/>
    </w:lvl>
  </w:abstractNum>
  <w:abstractNum w:abstractNumId="283">
    <w:nsid w:val="3B3EBE15"/>
    <w:multiLevelType w:val="hybridMultilevel"/>
    <w:lvl w:ilvl="0">
      <w:lvlJc w:val="left"/>
      <w:lvlText w:val="%1"/>
      <w:numFmt w:val="upperLetter"/>
      <w:start w:val="1"/>
    </w:lvl>
    <w:lvl w:ilvl="1">
      <w:lvlJc w:val="left"/>
      <w:lvlText w:val="(%2)"/>
      <w:numFmt w:val="lowerLetter"/>
      <w:start w:val="1"/>
    </w:lvl>
  </w:abstractNum>
  <w:abstractNum w:abstractNumId="284">
    <w:nsid w:val="3822CB01"/>
    <w:multiLevelType w:val="hybridMultilevel"/>
    <w:lvl w:ilvl="0">
      <w:lvlJc w:val="left"/>
      <w:lvlText w:val="(%1)"/>
      <w:numFmt w:val="upperLetter"/>
      <w:start w:val="1"/>
    </w:lvl>
    <w:lvl w:ilvl="1">
      <w:lvlJc w:val="left"/>
      <w:lvlText w:val="(%2)"/>
      <w:numFmt w:val="lowerLetter"/>
      <w:start w:val="3"/>
    </w:lvl>
  </w:abstractNum>
  <w:abstractNum w:abstractNumId="285">
    <w:nsid w:val="6CE00443"/>
    <w:multiLevelType w:val="hybridMultilevel"/>
    <w:lvl w:ilvl="0">
      <w:lvlJc w:val="left"/>
      <w:lvlText w:val="(%1)"/>
      <w:numFmt w:val="lowerLetter"/>
      <w:start w:val="11"/>
    </w:lvl>
  </w:abstractNum>
  <w:abstractNum w:abstractNumId="286">
    <w:nsid w:val="79F0D62F"/>
    <w:multiLevelType w:val="hybridMultilevel"/>
    <w:lvl w:ilvl="0">
      <w:lvlJc w:val="left"/>
      <w:lvlText w:val="(%1)"/>
      <w:numFmt w:val="upperLetter"/>
      <w:start w:val="3"/>
    </w:lvl>
  </w:abstractNum>
  <w:abstractNum w:abstractNumId="287">
    <w:nsid w:val="7975E8EE"/>
    <w:multiLevelType w:val="hybridMultilevel"/>
    <w:lvl w:ilvl="0">
      <w:lvlJc w:val="left"/>
      <w:lvlText w:val="(%1)"/>
      <w:numFmt w:val="lowerLetter"/>
      <w:start w:val="1"/>
    </w:lvl>
    <w:lvl w:ilvl="1">
      <w:lvlJc w:val="left"/>
      <w:lvlText w:val="(%2)"/>
      <w:numFmt w:val="lowerRoman"/>
      <w:start w:val="1"/>
    </w:lvl>
  </w:abstractNum>
  <w:abstractNum w:abstractNumId="288">
    <w:nsid w:val="73154115"/>
    <w:multiLevelType w:val="hybridMultilevel"/>
    <w:lvl w:ilvl="0">
      <w:lvlJc w:val="left"/>
      <w:lvlText w:val="(%1)"/>
      <w:numFmt w:val="lowerLetter"/>
      <w:start w:val="1"/>
    </w:lvl>
  </w:abstractNum>
  <w:abstractNum w:abstractNumId="289">
    <w:nsid w:val="622D8102"/>
    <w:multiLevelType w:val="hybridMultilevel"/>
    <w:lvl w:ilvl="0">
      <w:lvlJc w:val="left"/>
      <w:lvlText w:val="(%1)"/>
      <w:numFmt w:val="lowerLetter"/>
      <w:start w:val="35"/>
    </w:lvl>
    <w:lvl w:ilvl="1">
      <w:lvlJc w:val="left"/>
      <w:lvlText w:val="(%2)"/>
      <w:numFmt w:val="lowerLetter"/>
      <w:start w:val="1"/>
    </w:lvl>
  </w:abstractNum>
  <w:abstractNum w:abstractNumId="290">
    <w:nsid w:val="2AB26587"/>
    <w:multiLevelType w:val="hybridMultilevel"/>
    <w:lvl w:ilvl="0">
      <w:lvlJc w:val="left"/>
      <w:lvlText w:val="(%1)"/>
      <w:numFmt w:val="lowerLetter"/>
      <w:start w:val="1"/>
    </w:lvl>
  </w:abstractNum>
  <w:abstractNum w:abstractNumId="291">
    <w:nsid w:val="44B3FA61"/>
    <w:multiLevelType w:val="hybridMultilevel"/>
    <w:lvl w:ilvl="0">
      <w:lvlJc w:val="left"/>
      <w:lvlText w:val="(%1)"/>
      <w:numFmt w:val="lowerLetter"/>
      <w:start w:val="3"/>
    </w:lvl>
  </w:abstractNum>
  <w:abstractNum w:abstractNumId="292">
    <w:nsid w:val="1C0CA67C"/>
    <w:multiLevelType w:val="hybridMultilevel"/>
    <w:lvl w:ilvl="0">
      <w:lvlJc w:val="left"/>
      <w:lvlText w:val="%1."/>
      <w:numFmt w:val="decimal"/>
      <w:start w:val="1"/>
    </w:lvl>
    <w:lvl w:ilvl="1">
      <w:lvlJc w:val="left"/>
      <w:lvlText w:val="%2)"/>
      <w:numFmt w:val="lowerLetter"/>
      <w:start w:val="1"/>
    </w:lvl>
  </w:abstractNum>
  <w:abstractNum w:abstractNumId="293">
    <w:nsid w:val="3D206613"/>
    <w:multiLevelType w:val="hybridMultilevel"/>
    <w:lvl w:ilvl="0">
      <w:lvlJc w:val="left"/>
      <w:lvlText w:val="%1."/>
      <w:numFmt w:val="decimal"/>
      <w:start w:val="1"/>
    </w:lvl>
    <w:lvl w:ilvl="1">
      <w:lvlJc w:val="left"/>
      <w:lvlText w:val="%2)"/>
      <w:numFmt w:val="lowerLetter"/>
      <w:start w:val="1"/>
    </w:lvl>
  </w:abstractNum>
  <w:abstractNum w:abstractNumId="294">
    <w:nsid w:val="7993B662"/>
    <w:multiLevelType w:val="hybridMultilevel"/>
    <w:lvl w:ilvl="0">
      <w:lvlJc w:val="left"/>
      <w:lvlText w:val="(%1)"/>
      <w:numFmt w:val="decimal"/>
      <w:start w:val="1"/>
    </w:lvl>
  </w:abstractNum>
  <w:abstractNum w:abstractNumId="295">
    <w:nsid w:val="3BAB69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2020-06-11T16:16:52Z</dcterms:created>
  <dcterms:modified xsi:type="dcterms:W3CDTF">2020-06-11T16:16:52Z</dcterms:modified>
</cp:coreProperties>
</file>