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216535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259715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130810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FOR THE FISCAL YEAR ENDED February 3, 2019</w:t>
      </w:r>
    </w:p>
    <w:p>
      <w:pPr>
        <w:spacing w:after="0" w:line="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ind w:left="3040"/>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3863975</wp:posOffset>
            </wp:positionH>
            <wp:positionV relativeFrom="paragraph">
              <wp:posOffset>-3810</wp:posOffset>
            </wp:positionV>
            <wp:extent cx="1458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pacing w:after="0" w:line="3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6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103505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5"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1880" w:type="dxa"/>
            <w:vAlign w:val="bottom"/>
          </w:tcPr>
          <w:p>
            <w:pPr>
              <w:spacing w:after="0"/>
              <w:rPr>
                <w:sz w:val="18"/>
                <w:szCs w:val="18"/>
                <w:color w:val="auto"/>
              </w:rPr>
            </w:pPr>
          </w:p>
        </w:tc>
        <w:tc>
          <w:tcPr>
            <w:tcW w:w="4980" w:type="dxa"/>
            <w:vAlign w:val="bottom"/>
            <w:gridSpan w:val="4"/>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35-2382255</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60" w:type="dxa"/>
            <w:vAlign w:val="bottom"/>
            <w:gridSpan w:val="5"/>
          </w:tcPr>
          <w:p>
            <w:pPr>
              <w:jc w:val="center"/>
              <w:ind w:right="20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860" w:type="dxa"/>
            <w:vAlign w:val="bottom"/>
            <w:gridSpan w:val="5"/>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9"/>
        </w:trPr>
        <w:tc>
          <w:tcPr>
            <w:tcW w:w="6860" w:type="dxa"/>
            <w:vAlign w:val="bottom"/>
            <w:gridSpan w:val="5"/>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2481 Mañana Drive,</w:t>
            </w: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4980" w:type="dxa"/>
            <w:vAlign w:val="bottom"/>
            <w:gridSpan w:val="4"/>
          </w:tcPr>
          <w:p>
            <w:pPr>
              <w:jc w:val="center"/>
              <w:ind w:right="3900"/>
              <w:spacing w:after="0"/>
              <w:rPr>
                <w:sz w:val="20"/>
                <w:szCs w:val="20"/>
                <w:color w:val="auto"/>
              </w:rPr>
            </w:pPr>
            <w:r>
              <w:rPr>
                <w:rFonts w:ascii="Times New Roman" w:cs="Times New Roman" w:eastAsia="Times New Roman" w:hAnsi="Times New Roman"/>
                <w:sz w:val="16"/>
                <w:szCs w:val="16"/>
                <w:b w:val="1"/>
                <w:bCs w:val="1"/>
                <w:color w:val="auto"/>
              </w:rPr>
              <w:t>Dallas, Texas</w:t>
            </w:r>
          </w:p>
        </w:tc>
        <w:tc>
          <w:tcPr>
            <w:tcW w:w="168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75220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860" w:type="dxa"/>
            <w:vAlign w:val="bottom"/>
            <w:gridSpan w:val="5"/>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80" w:type="dxa"/>
            <w:vAlign w:val="bottom"/>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80" w:type="dxa"/>
            <w:vAlign w:val="bottom"/>
          </w:tcPr>
          <w:p>
            <w:pPr>
              <w:spacing w:after="0"/>
              <w:rPr>
                <w:sz w:val="19"/>
                <w:szCs w:val="19"/>
                <w:color w:val="auto"/>
              </w:rPr>
            </w:pPr>
          </w:p>
        </w:tc>
        <w:tc>
          <w:tcPr>
            <w:tcW w:w="66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357-9588</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4"/>
          </w:tcPr>
          <w:p>
            <w:pPr>
              <w:jc w:val="center"/>
              <w:ind w:right="106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880" w:type="dxa"/>
            <w:vAlign w:val="bottom"/>
            <w:vMerge w:val="restart"/>
          </w:tcPr>
          <w:p>
            <w:pPr>
              <w:ind w:left="1340"/>
              <w:spacing w:after="0"/>
              <w:rPr>
                <w:sz w:val="20"/>
                <w:szCs w:val="20"/>
                <w:color w:val="auto"/>
              </w:rPr>
            </w:pPr>
            <w:r>
              <w:rPr>
                <w:rFonts w:ascii="Times New Roman" w:cs="Times New Roman" w:eastAsia="Times New Roman" w:hAnsi="Times New Roman"/>
                <w:sz w:val="16"/>
                <w:szCs w:val="16"/>
                <w:b w:val="1"/>
                <w:bCs w:val="1"/>
                <w:color w:val="auto"/>
                <w:w w:val="82"/>
              </w:rPr>
              <w:t>Common</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00" w:type="dxa"/>
            <w:vAlign w:val="bottom"/>
            <w:gridSpan w:val="3"/>
          </w:tcPr>
          <w:p>
            <w:pPr>
              <w:spacing w:after="0"/>
              <w:rPr>
                <w:sz w:val="16"/>
                <w:szCs w:val="16"/>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vMerge w:val="continue"/>
          </w:tcPr>
          <w:p>
            <w:pPr>
              <w:spacing w:after="0"/>
              <w:rPr>
                <w:sz w:val="17"/>
                <w:szCs w:val="17"/>
                <w:color w:val="auto"/>
              </w:rPr>
            </w:pPr>
          </w:p>
        </w:tc>
        <w:tc>
          <w:tcPr>
            <w:tcW w:w="49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Stock $0.01 par value</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Stock Market LLC</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4"/>
          </w:tcPr>
          <w:p>
            <w:pPr>
              <w:jc w:val="center"/>
              <w:ind w:right="106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20" w:type="dxa"/>
            <w:vAlign w:val="bottom"/>
            <w:gridSpan w:val="3"/>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2220" w:type="dxa"/>
            <w:vAlign w:val="bottom"/>
            <w:gridSpan w:val="2"/>
          </w:tcPr>
          <w:p>
            <w:pPr>
              <w:spacing w:after="0"/>
              <w:rPr>
                <w:sz w:val="13"/>
                <w:szCs w:val="13"/>
                <w:color w:val="auto"/>
              </w:rPr>
            </w:pPr>
          </w:p>
        </w:tc>
        <w:tc>
          <w:tcPr>
            <w:tcW w:w="106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7"/>
        </w:trPr>
        <w:tc>
          <w:tcPr>
            <w:tcW w:w="854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5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checkmark if the registrant is not required to file reports pursuant to Section 13 or Section 15(d) of the Exchange Act.</w:t>
            </w:r>
          </w:p>
        </w:tc>
        <w:tc>
          <w:tcPr>
            <w:tcW w:w="106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ind w:left="200" w:right="180" w:firstLine="33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left="200" w:right="140" w:firstLine="331"/>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left="200" w:right="40" w:firstLine="33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checkmark if disclosure of delinquent filers pursuant to Item 405 of Regulation S-K (§ 229.405 of this chapter) is not contained herein, and will not be contained, to the best of registrant’s knowledge in definitive proxy or informational statements incorporated by reference in Part III of this Form 10-K or any amendment to this Form 10-K. </w:t>
      </w:r>
      <w:r>
        <w:rPr>
          <w:rFonts w:ascii="MS PGothic" w:cs="MS PGothic" w:eastAsia="MS PGothic" w:hAnsi="MS PGothic"/>
          <w:sz w:val="16"/>
          <w:szCs w:val="16"/>
          <w:color w:val="auto"/>
        </w:rPr>
        <w:t>☒</w:t>
      </w:r>
    </w:p>
    <w:p>
      <w:pPr>
        <w:spacing w:after="0" w:line="2" w:lineRule="exact"/>
        <w:rPr>
          <w:sz w:val="24"/>
          <w:szCs w:val="24"/>
          <w:color w:val="auto"/>
        </w:rPr>
      </w:pPr>
    </w:p>
    <w:p>
      <w:pPr>
        <w:ind w:left="200" w:right="80" w:firstLine="331"/>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15" w:lineRule="exact"/>
        <w:rPr>
          <w:sz w:val="24"/>
          <w:szCs w:val="24"/>
          <w:color w:val="auto"/>
        </w:rPr>
      </w:pPr>
    </w:p>
    <w:p>
      <w:pPr>
        <w:ind w:left="200" w:right="40" w:firstLine="331"/>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4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6"/>
          <w:szCs w:val="16"/>
          <w:color w:val="auto"/>
        </w:rPr>
        <w:t>As of August 5, 2018, the aggregate market value of the registrant’s outstanding common equity held by non-affiliates was $1,920,871,669.</w:t>
      </w:r>
    </w:p>
    <w:p>
      <w:pPr>
        <w:spacing w:after="0" w:line="5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6"/>
          <w:szCs w:val="16"/>
          <w:color w:val="auto"/>
        </w:rPr>
        <w:t>The number of shares of the Issuer’s common stock, $0.01 par value, outstanding as of March 26, 2019, was 36,604,531 shares.</w:t>
      </w:r>
    </w:p>
    <w:p>
      <w:pPr>
        <w:spacing w:after="0" w:line="5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left="200" w:right="60" w:firstLine="331"/>
        <w:spacing w:after="0" w:line="298" w:lineRule="auto"/>
        <w:rPr>
          <w:sz w:val="20"/>
          <w:szCs w:val="20"/>
          <w:color w:val="auto"/>
        </w:rPr>
      </w:pPr>
      <w:r>
        <w:rPr>
          <w:rFonts w:ascii="Times New Roman" w:cs="Times New Roman" w:eastAsia="Times New Roman" w:hAnsi="Times New Roman"/>
          <w:sz w:val="16"/>
          <w:szCs w:val="16"/>
          <w:color w:val="auto"/>
        </w:rPr>
        <w:t>Part III hereof incorporates certain information by reference from the registrant’s definitive proxy statement for its 2019 annual meeting of shareholders, which will be filed with the Securities and Exchange Commission not later than 120 days after the close of the registrant’s fiscal year ended February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FISCAL YEAR ENDED FEBRUARY 3, 2019</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0" w:type="dxa"/>
            <w:vAlign w:val="bottom"/>
            <w:gridSpan w:val="14"/>
          </w:tcPr>
          <w:p>
            <w:pPr>
              <w:jc w:val="center"/>
              <w:ind w:right="462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320" w:type="dxa"/>
            <w:vAlign w:val="bottom"/>
          </w:tcPr>
          <w:p>
            <w:pPr>
              <w:spacing w:after="0"/>
              <w:rPr>
                <w:sz w:val="22"/>
                <w:szCs w:val="22"/>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38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462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UNRESOLVED STAFF COMMENTS</w:t>
              </w:r>
            </w:hyperlink>
          </w:p>
        </w:tc>
        <w:tc>
          <w:tcPr>
            <w:tcW w:w="67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PROPERTIES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LEGAL PROCEEDINGS</w:t>
              </w:r>
            </w:hyperlink>
          </w:p>
        </w:tc>
        <w:tc>
          <w:tcPr>
            <w:tcW w:w="770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304"/>
        </w:trPr>
        <w:tc>
          <w:tcPr>
            <w:tcW w:w="10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5"/>
          </w:tcPr>
          <w:p>
            <w:pPr>
              <w:jc w:val="center"/>
              <w:ind w:right="4580"/>
              <w:spacing w:after="0"/>
              <w:rPr>
                <w:rFonts w:ascii="Times New Roman" w:cs="Times New Roman" w:eastAsia="Times New Roman" w:hAnsi="Times New Roman"/>
                <w:sz w:val="18"/>
                <w:szCs w:val="18"/>
                <w:b w:val="1"/>
                <w:bCs w:val="1"/>
                <w:color w:val="0000EE"/>
                <w:w w:val="97"/>
              </w:rPr>
            </w:pPr>
            <w:hyperlink w:anchor="page29">
              <w:r>
                <w:rPr>
                  <w:rFonts w:ascii="Times New Roman" w:cs="Times New Roman" w:eastAsia="Times New Roman" w:hAnsi="Times New Roman"/>
                  <w:sz w:val="18"/>
                  <w:szCs w:val="18"/>
                  <w:b w:val="1"/>
                  <w:bCs w:val="1"/>
                  <w:color w:val="0000EE"/>
                  <w:w w:val="97"/>
                </w:rPr>
                <w:t>PART II</w:t>
              </w:r>
            </w:hyperlink>
          </w:p>
        </w:tc>
        <w:tc>
          <w:tcPr>
            <w:tcW w:w="32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2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MARKET FOR REGISTRANT’S COMMON EQUITY, RELATED STOCKHOLDER MATTERS AND ISSUER PURCHASES</w:t>
              </w:r>
            </w:hyperlink>
          </w:p>
        </w:tc>
        <w:tc>
          <w:tcPr>
            <w:tcW w:w="3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1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OF EQUITY SECURITIES</w:t>
              </w:r>
            </w:hyperlink>
          </w:p>
        </w:tc>
        <w:tc>
          <w:tcPr>
            <w:tcW w:w="2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06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9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6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QUANTITATIVE AND QUALITATIVE DISCLOSURES ABOUT MARKET RISK</w:t>
              </w:r>
            </w:hyperlink>
          </w:p>
        </w:tc>
        <w:tc>
          <w:tcPr>
            <w:tcW w:w="34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FINANCIAL STATEMENTS AND SUPPLEMENTARY DATA</w:t>
              </w:r>
            </w:hyperlink>
          </w:p>
        </w:tc>
        <w:tc>
          <w:tcPr>
            <w:tcW w:w="49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4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CONTROLS AND PROCEDURES</w:t>
              </w:r>
            </w:hyperlink>
          </w:p>
        </w:tc>
        <w:tc>
          <w:tcPr>
            <w:tcW w:w="698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304"/>
        </w:trPr>
        <w:tc>
          <w:tcPr>
            <w:tcW w:w="10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6"/>
              </w:rPr>
            </w:pPr>
            <w:hyperlink w:anchor="page50">
              <w:r>
                <w:rPr>
                  <w:rFonts w:ascii="Times New Roman" w:cs="Times New Roman" w:eastAsia="Times New Roman" w:hAnsi="Times New Roman"/>
                  <w:sz w:val="18"/>
                  <w:szCs w:val="18"/>
                  <w:b w:val="1"/>
                  <w:bCs w:val="1"/>
                  <w:color w:val="0000EE"/>
                  <w:w w:val="96"/>
                </w:rPr>
                <w:t>PART III</w:t>
              </w:r>
            </w:hyperlink>
          </w:p>
        </w:tc>
        <w:tc>
          <w:tcPr>
            <w:tcW w:w="452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DIRECTORS, EXECUTIVE OFFICERS AND CORPORATE GOVERNANCE</w:t>
              </w:r>
            </w:hyperlink>
          </w:p>
        </w:tc>
        <w:tc>
          <w:tcPr>
            <w:tcW w:w="37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06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1540" w:type="dxa"/>
            <w:vAlign w:val="bottom"/>
            <w:tcBorders>
              <w:left w:val="single" w:sz="8" w:color="0000EE"/>
            </w:tcBorders>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SECURITY OWNERSHIP OF CERTAIN BENEFICIAL OWNERS AND MANAGEMENT AND RELATED</w:t>
              </w:r>
            </w:hyperlink>
          </w:p>
        </w:tc>
        <w:tc>
          <w:tcPr>
            <w:tcW w:w="3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STOCKHOLDER MATTERS</w:t>
              </w:r>
            </w:hyperlink>
          </w:p>
        </w:tc>
        <w:tc>
          <w:tcPr>
            <w:tcW w:w="5580" w:type="dxa"/>
            <w:vAlign w:val="bottom"/>
            <w:tcBorders>
              <w:top w:val="single" w:sz="8" w:color="0000EE"/>
            </w:tcBorders>
            <w:gridSpan w:val="16"/>
          </w:tcPr>
          <w:p>
            <w:pPr>
              <w:spacing w:after="0"/>
              <w:rPr>
                <w:sz w:val="17"/>
                <w:szCs w:val="17"/>
                <w:color w:val="auto"/>
              </w:rPr>
            </w:pPr>
          </w:p>
        </w:tc>
        <w:tc>
          <w:tcPr>
            <w:tcW w:w="15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CERTAIN RELATIONSHIPS AND RELATED TRANSACTIONS, AND DIRECTOR INDEPENDENCE</w:t>
              </w:r>
            </w:hyperlink>
          </w:p>
        </w:tc>
        <w:tc>
          <w:tcPr>
            <w:tcW w:w="18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304"/>
        </w:trPr>
        <w:tc>
          <w:tcPr>
            <w:tcW w:w="10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5"/>
              </w:rPr>
            </w:pPr>
            <w:hyperlink w:anchor="page51">
              <w:r>
                <w:rPr>
                  <w:rFonts w:ascii="Times New Roman" w:cs="Times New Roman" w:eastAsia="Times New Roman" w:hAnsi="Times New Roman"/>
                  <w:sz w:val="18"/>
                  <w:szCs w:val="18"/>
                  <w:b w:val="1"/>
                  <w:bCs w:val="1"/>
                  <w:color w:val="0000EE"/>
                  <w:w w:val="95"/>
                </w:rPr>
                <w:t>PART IV</w:t>
              </w:r>
            </w:hyperlink>
          </w:p>
        </w:tc>
        <w:tc>
          <w:tcPr>
            <w:tcW w:w="454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EXHIBITS AND FINANCIAL STATEMENT SCHEDULES</w:t>
              </w:r>
            </w:hyperlink>
          </w:p>
        </w:tc>
        <w:tc>
          <w:tcPr>
            <w:tcW w:w="514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96"/>
        </w:trPr>
        <w:tc>
          <w:tcPr>
            <w:tcW w:w="106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SIGNATURE PAGE</w:t>
              </w:r>
            </w:hyperlink>
          </w:p>
        </w:tc>
        <w:tc>
          <w:tcPr>
            <w:tcW w:w="80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385"/>
        </w:trPr>
        <w:tc>
          <w:tcPr>
            <w:tcW w:w="1060" w:type="dxa"/>
            <w:vAlign w:val="bottom"/>
          </w:tcPr>
          <w:p>
            <w:pPr>
              <w:spacing w:after="0"/>
              <w:rPr>
                <w:sz w:val="24"/>
                <w:szCs w:val="24"/>
                <w:color w:val="auto"/>
              </w:rPr>
            </w:pPr>
          </w:p>
        </w:tc>
        <w:tc>
          <w:tcPr>
            <w:tcW w:w="466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74"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Dave &amp; Buster’s Entertainment, Inc. (“D&amp;B Entertainment”) is a leading owner and operator of high-volume entertainment and dining venues (“stores”) that operate under the name “Dave &amp; Buster’s”. The core of our concept is to offer our customers the opportunity to “Eat Drink Play and Watch” all in one location, providing a fun, upbeat atmosphere with interactive entertainment options for adults and families, while serving high-quality food and beverages. We opened the first Dave &amp; Buster’s store in Dallas, Texas in 1982, and as of February 3, 2019 (the last day of fiscal 2018), we owned and operated 121 stores located in 39 states, Puerto Rico and one Canadian province. Subsequent to the end of fiscal 2018, we closed our store in Duluth (Atlanta), Georgia on March 3, 2019. Unless otherwise provided in this Annual Report on Form 10-K, references to “Dave &amp; Buster’s,” “we,” “us,” “our” or the “Company” refer to D&amp;B Entertainment and its wholly-owned subsidiaries and any predecessor entities.</w:t>
      </w:r>
    </w:p>
    <w:p>
      <w:pPr>
        <w:spacing w:after="0" w:line="189"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Our fiscal year consists of 52 or 53 weeks ending on the Sunday after the Saturday closest to January 31. Each quarterly period has 13 weeks, except in a 53-week year when the fourth quarter has 14 weeks. Fiscal 2017 contained 53 weeks. Fiscal 2018, 2016, 2015, and 2014, each contained 52 weeks. We refer to our fiscal years as 2018, 2017, 2016, 2015, and 2014 throughout this Annual Report on Form 10-K. All dollar amounts are presented in thousands, unless otherwise noted, except share and per share amounts.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Eat Drink Play and Watch - All Under One Roof</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have developed a distinctive brand based on our customer value proposition: “Eat Drink Play and Watch.” The interaction between playing games, watching sports, dining and enjoying our full-service bar areas is the defining feature of the Dave &amp; Buster’s customer experience, and the layout of each store is designed to promote crossover between these activities. We believe this combination creates an experience at a single location that cannot be easily replicated elsewhere. Our stores are also designed to accommodate premium sports viewing events, private parties, business functions and other corporate-sponsored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Eat</w:t>
      </w:r>
    </w:p>
    <w:p>
      <w:pPr>
        <w:spacing w:after="0" w:line="121"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strive to differentiate our food from other casual dining concepts with our new “Crafting Craveability” strategy. This was developed to help us serve quality, flavorful and craveable food offerings. We have made improvements to many of our food items, including upgrading to all-natural chicken breasts and 100% Angus butcher’s blend burgers. In addition, there has been a renewed focus on cooking technique and execution. We have also significantly reduced the number of menu items to enable better execution.</w:t>
      </w:r>
    </w:p>
    <w:p>
      <w:pPr>
        <w:spacing w:after="0" w:line="180"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While our menu appeals to a broad spectrum of customers, we continue to evolve it to reflect the changing tastes of our 21-39 year-old primary target guests, with options for full meals as well as grabbing an appetizer to share with friends. We deliver high-quality offerings, including a wide variety of starters, one-of-a-kind burgers, choice-grade steaks, and health-conscious options comparable to those of other higher-end casual dining operators. We believe our broad menu offers something for everyone and is appropriate for many different occasions. To ensure that we stay on-trend with societal shifts, we roll out menus that feature new food items two times a year.</w:t>
      </w:r>
    </w:p>
    <w:p>
      <w:pPr>
        <w:spacing w:after="0" w:line="184" w:lineRule="exact"/>
        <w:rPr>
          <w:sz w:val="20"/>
          <w:szCs w:val="20"/>
          <w:color w:val="auto"/>
        </w:rPr>
      </w:pPr>
    </w:p>
    <w:p>
      <w:pPr>
        <w:ind w:left="200" w:right="960" w:firstLine="441"/>
        <w:spacing w:after="0" w:line="282" w:lineRule="auto"/>
        <w:rPr>
          <w:sz w:val="20"/>
          <w:szCs w:val="20"/>
          <w:color w:val="auto"/>
        </w:rPr>
      </w:pPr>
      <w:r>
        <w:rPr>
          <w:rFonts w:ascii="Times New Roman" w:cs="Times New Roman" w:eastAsia="Times New Roman" w:hAnsi="Times New Roman"/>
          <w:sz w:val="18"/>
          <w:szCs w:val="18"/>
          <w:color w:val="auto"/>
        </w:rPr>
        <w:t>Our food revenues, which include non-alcoholic beverages, accounted for approximately 68% of our food and beverage revenues and approximately 29% of our total revenues during fiscal 2018.</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Drink</w:t>
      </w:r>
    </w:p>
    <w:p>
      <w:pPr>
        <w:spacing w:after="0" w:line="12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Each of our locations also offers full bar service, including a variety of beers, hand-crafted cocktails, and premium spirits. We are executing the “Crafting Craveability” strategy in beverage as well. We have re-crafted recipes, switched to more fresh juices and purees and house-made mixers. We have also reduced the number of featured cocktails in our beverage menu to improve focus and execution by our bartender staff. Beverage service is typically available throughout the entire store, allowing for multiple point of sale opportunities. We believe that our high margin beverage offering is complementary to each of the Eat, Play and Watch aspects of our brand. Our alcoholic beverage revenues accounted for approximately 32% of our total food and beverage revenues and approximately 13% of our total revenues during fiscal 2018.</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Play</w:t>
      </w:r>
    </w:p>
    <w:p>
      <w:pPr>
        <w:spacing w:after="0" w:line="121" w:lineRule="exact"/>
        <w:rPr>
          <w:sz w:val="20"/>
          <w:szCs w:val="20"/>
          <w:color w:val="auto"/>
        </w:rPr>
      </w:pPr>
    </w:p>
    <w:p>
      <w:pPr>
        <w:ind w:left="200" w:right="80" w:firstLine="441"/>
        <w:spacing w:after="0" w:line="253" w:lineRule="auto"/>
        <w:rPr>
          <w:sz w:val="20"/>
          <w:szCs w:val="20"/>
          <w:color w:val="auto"/>
        </w:rPr>
      </w:pPr>
      <w:r>
        <w:rPr>
          <w:rFonts w:ascii="Times New Roman" w:cs="Times New Roman" w:eastAsia="Times New Roman" w:hAnsi="Times New Roman"/>
          <w:sz w:val="18"/>
          <w:szCs w:val="18"/>
          <w:color w:val="auto"/>
        </w:rPr>
        <w:t>The games in our Midway are a key aspect of the Dave &amp; Buster’s entertainment experience, which we believe is the core differentiating feature of our brand. The Midway in each of our stores is an area where we offer a wide array of amusement and entertainment options, some of which are exclusive to Dave &amp; Buster’s on a permanent or temporary basis. Each of our stores typically has 150 redemption and simulation games as well as our proprietary virtual reality platform that we introduced in fiscal 2018. Most of our games are activated by game play credits on cards or other RFID devices (collectively, “Power Cards”). A customer purchases the game play credits or “chips” at an automated kiosk, through a mobile application or from an employee. Our amusement and other revenues accounted for approximately 58% of our total revenues during fiscal 2018. Redemption games, which represented approximately 74% of our amusement and other revenues in fiscal 2018, offer our customers the opportunity to win tickets that are redeemable at a retail-style space in our stores that we have branded WIN!, with prizes ranging from branded novelty items to high-end electronics. We believe this “opportunity to win” creates a fun and highly energized social experience that is an important aspect of the Dave &amp; Buster’s in-store experience and cannot be easily replicated at home. Many of our non-redemption games, which include our virtual reality, video and simulation offerings, can be played by multiple customers simultaneously and include some of the latest high-tech games that are commercially available. These games represented approximately 23% of our amusement and other revenues in fiscal 2018. Other traditional amusements, such as billiards and bowling, represented the remainder of our amusement revenues in fiscal 2018.</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Watch</w:t>
      </w:r>
    </w:p>
    <w:p>
      <w:pPr>
        <w:spacing w:after="0" w:line="121" w:lineRule="exact"/>
        <w:rPr>
          <w:sz w:val="20"/>
          <w:szCs w:val="20"/>
          <w:color w:val="auto"/>
        </w:rPr>
      </w:pPr>
    </w:p>
    <w:p>
      <w:pPr>
        <w:ind w:left="200" w:right="200" w:firstLine="441"/>
        <w:spacing w:after="0" w:line="255" w:lineRule="auto"/>
        <w:rPr>
          <w:sz w:val="20"/>
          <w:szCs w:val="20"/>
          <w:color w:val="auto"/>
        </w:rPr>
      </w:pPr>
      <w:r>
        <w:rPr>
          <w:rFonts w:ascii="Times New Roman" w:cs="Times New Roman" w:eastAsia="Times New Roman" w:hAnsi="Times New Roman"/>
          <w:sz w:val="18"/>
          <w:szCs w:val="18"/>
          <w:color w:val="auto"/>
        </w:rPr>
        <w:t>Sports-viewing is another key component of the entertainment experience at Dave &amp; Buster’s. All of our stores have multiple large screen televisions and high-quality audio systems providing customers with a venue for watching live sports and other televised events. Our “D&amp;B Sports” areas provide an immersive viewing environment that provides customers with an average of 40 televisions, including 100+ inch high definition televisions, to watch televised events and enjoy our full bar and extensive food menu. We believe that we have created an attractive and comfortable environment that includes a differentiated and interactive viewing experience that offers a reason for customers to visit Dave &amp; Buster’s. Through continued development of the D&amp;B Sports concept in new stores and additional renovations of existing stores, our goal is to build awareness of D&amp;B Sports as “the best place to watch sports” and the “only place to watch the games and play the games.”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Company’s Core Strengths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we benefit from the following strengths:</w:t>
      </w:r>
    </w:p>
    <w:p>
      <w:pPr>
        <w:spacing w:after="0" w:line="221" w:lineRule="exact"/>
        <w:rPr>
          <w:sz w:val="20"/>
          <w:szCs w:val="20"/>
          <w:color w:val="auto"/>
        </w:rPr>
      </w:pPr>
    </w:p>
    <w:p>
      <w:pPr>
        <w:ind w:left="20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Strong, distinctive brand with broad customer appeal</w:t>
      </w:r>
      <w:r>
        <w:rPr>
          <w:rFonts w:ascii="Times New Roman" w:cs="Times New Roman" w:eastAsia="Times New Roman" w:hAnsi="Times New Roman"/>
          <w:sz w:val="18"/>
          <w:szCs w:val="18"/>
          <w:color w:val="auto"/>
        </w:rPr>
        <w:t>. We believe that the multi-faceted customer experience of “Eat Drink Play and Watch”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Dave &amp; Buster’s, supported by our national marketing, has helped us create a widely recognized brand with no direct national competitor that combines all four elements in the same way. Nationally, over 80% of casual dining customers stated that they are aware of our brand as a dining and entertainment venue. Our customer research shows that our brand appeals to a relatively balanced mix of</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24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6" w:lineRule="auto"/>
        <w:rPr>
          <w:sz w:val="20"/>
          <w:szCs w:val="20"/>
          <w:color w:val="auto"/>
        </w:rPr>
      </w:pPr>
      <w:r>
        <w:rPr>
          <w:rFonts w:ascii="Times New Roman" w:cs="Times New Roman" w:eastAsia="Times New Roman" w:hAnsi="Times New Roman"/>
          <w:sz w:val="18"/>
          <w:szCs w:val="18"/>
          <w:color w:val="auto"/>
        </w:rPr>
        <w:t>male and female adults, which is moderately skewed to males, primarily between the ages of 21 and 39, as well as families and teenagers. Based on customer survey results, we also believe that the average annual household income of our customers is approximately $75, which we believe represents an attractive demographic.</w:t>
      </w:r>
    </w:p>
    <w:p>
      <w:pPr>
        <w:spacing w:after="0" w:line="172"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Multi-faceted customer experience highlights our value proposition. </w:t>
      </w:r>
      <w:r>
        <w:rPr>
          <w:rFonts w:ascii="Times New Roman" w:cs="Times New Roman" w:eastAsia="Times New Roman" w:hAnsi="Times New Roman"/>
          <w:sz w:val="18"/>
          <w:szCs w:val="18"/>
          <w:color w:val="auto"/>
        </w:rPr>
        <w:t>We believe that our combination of interactive games, attractive television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viewing areas, high-quality dining and full-service beverage offerings, delivered in a highly-energized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that is exclusively available at Dave &amp; Buster’s on a permanent or temporary basis. Our new games in combination with new food and beverage offerings and focused attention to the customer experience help us to retain and generate customer traffic. Our value proposition is enhanced by marketing initiatives, including free game play that often features the introduction of our new games, Super Charge Power Card offerings (when purchasing or adding value to a Power Card, the customer is given the opportunity to add more chips to the Power Card at a lower cost per chip amount), and Half-Price Game Play (every Wednesday, from open to close, we reduce the price of every game in the Midway by one-half). In addition, we expanded the “All You Can Eat” wings limited time promotional offer in fiscal 2018. We believe these initiatives have helped increase customer visits and encourage customers to participate more fully across our broad range of food, beverage and entertainment offerings.</w:t>
      </w:r>
    </w:p>
    <w:p>
      <w:pPr>
        <w:spacing w:after="0" w:line="191"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Vibrant, contemporary store design that integrates entertainment and dining. </w:t>
      </w:r>
      <w:r>
        <w:rPr>
          <w:rFonts w:ascii="Times New Roman" w:cs="Times New Roman" w:eastAsia="Times New Roman" w:hAnsi="Times New Roman"/>
          <w:sz w:val="18"/>
          <w:szCs w:val="18"/>
          <w:color w:val="auto"/>
        </w:rPr>
        <w:t>We continue to enhance the Dave &amp; Buster’s brand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 design, including our D&amp;B Sports concept. Our core store design provides a contemporary, engaging atmosphere for our customers with clearly differentiated spaces designed to convey the components of our customer value proposition: “Eat Drink Play and Watch.” During fiscal 2017, we developed a new store design that we refer to as the “17K”. The 17K format will allow us to enter smaller markets than our traditional stores. During fiscal 2018 we opened two stores utilizing the 17K format. The 17K format retains the Play components of our large and small formats, combines the Eat and Watch elements in an expanded sports viewing area and maintains the ability to Drink throughout the facility. This new design will be utilized in addition to our large and small formats in future expansion. Our core store design in all our formats includes a modern approach to the finishes and layout of the store, which we believe encourages participation across each of the store’s elements. The oversized graphics and images throughout the store are intended to communicate our brand personality by being fun, contemporary and larger-than-life. The dining room décor includes booth and table seating and colorful artwork, often featuring local landmarks. Our WIN! area provides a retail-like environment where customers can redeem their tickets for prizes. We believe our D&amp;B Sports area provides an attractive opportunity to market our broader platform to new and existing customers through a year-round calendar of programming and promotions tied to popular sporting events and sport-related activities. The large television screens, comfortable seating, a full menu of food and beverages and artwork often featuring images of local sports teams and sports icons help create what we believe to be an exciting environment for watching sports programming.</w:t>
      </w:r>
    </w:p>
    <w:p>
      <w:pPr>
        <w:spacing w:after="0" w:line="187"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history of growth. </w:t>
      </w:r>
      <w:r>
        <w:rPr>
          <w:rFonts w:ascii="Times New Roman" w:cs="Times New Roman" w:eastAsia="Times New Roman" w:hAnsi="Times New Roman"/>
          <w:sz w:val="18"/>
          <w:szCs w:val="18"/>
          <w:color w:val="auto"/>
        </w:rPr>
        <w:t>We have a proven track record of improving operating results and expanding the footprint of our brand and over the past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five fiscal years, we have increased our net income by $115,052, EBITDA margins by approximately 370 basis points and our Adjusted EBITDA Margins (both defined in Item 7. “Management’s Discussion and Analysis of Financial Condition and Results of Operations—Non-GAAP Financial Measures”) by approximately 430 basis points. We expect our continued focus on operating performance at individual stores and leveraging general and administrative expense and advertising expense will positively impact operating margins and will partially offset pressure from wage inflation and occupancy costs, although there is no guarantee that our efforts will be successful.</w:t>
      </w:r>
    </w:p>
    <w:p>
      <w:pPr>
        <w:spacing w:after="0" w:line="183" w:lineRule="exact"/>
        <w:rPr>
          <w:sz w:val="20"/>
          <w:szCs w:val="20"/>
          <w:color w:val="auto"/>
        </w:rPr>
      </w:pPr>
    </w:p>
    <w:p>
      <w:pPr>
        <w:ind w:left="200" w:right="3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model generates favorable store economics and strong returns. </w:t>
      </w:r>
      <w:r>
        <w:rPr>
          <w:rFonts w:ascii="Times New Roman" w:cs="Times New Roman" w:eastAsia="Times New Roman" w:hAnsi="Times New Roman"/>
          <w:sz w:val="18"/>
          <w:szCs w:val="18"/>
          <w:color w:val="auto"/>
        </w:rPr>
        <w:t>We believe our store model offering entertainment, food and beverages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certain benefits in comparison to traditional restaurant concepts, as</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6" w:lineRule="auto"/>
        <w:rPr>
          <w:sz w:val="20"/>
          <w:szCs w:val="20"/>
          <w:color w:val="auto"/>
        </w:rPr>
      </w:pPr>
      <w:r>
        <w:rPr>
          <w:rFonts w:ascii="Times New Roman" w:cs="Times New Roman" w:eastAsia="Times New Roman" w:hAnsi="Times New Roman"/>
          <w:sz w:val="18"/>
          <w:szCs w:val="18"/>
          <w:color w:val="auto"/>
        </w:rPr>
        <w:t>reflected by our fiscal 2018 average annual comparable store revenues of $11,100, average comparable store operating income margins of 21.7% and comparable Store Operating Income Before Depreciation and Amortization Margins (defined in Item 7. “Management’s Discussion and Analysis of Financial Condition and Results of Operations—Non-GAAP Financial Measures”) of 30.4%.</w:t>
      </w:r>
    </w:p>
    <w:p>
      <w:pPr>
        <w:spacing w:after="0" w:line="176"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Our entertainment offerings have low variable costs and produced gross margins of 88.9% for fiscal 2018. With approximately 58% of our revenues from entertainment, we have less exposure than traditional restaurant concepts to food costs, which represented only 8% of our total revenues in fiscal 2018.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our targeted average year one cash-on-cash returns of approximately 35% and five-year average cash-on-cash returns in excess of 25% for both our large format and small format store openings, however there is no guarantee such results will occur with future store openings. The 62 stores that we have opened since the beginning of 2008 (that have been open for more than 12 months as of February 3, 2019) have generated average year one cash-on-cash returns of approximately 53%. The 54 stores that opened subsequent to fiscal 2010 have generated average year one cash-on-cash returns of approximately 56%. We define and calculate cash-on-cash returns for an individual store as (a) Store Operating Income Before Depreciation and Amortization, excluding pre-opening expenses, national marketing expense allocation, non-cash charges related to asset disposals, currency transactions and changes in non-cash deferred amusement revenue and ticket liability, divided by (b) our net development costs. Net development costs include equipment, building, leaseholds and site costs, net of tenant improvement allowances and other landlord payments, excluding pre-opening costs and capitalized interest.</w:t>
      </w:r>
    </w:p>
    <w:p>
      <w:pPr>
        <w:spacing w:after="0" w:line="185"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customer satisfaction. </w:t>
      </w:r>
      <w:r>
        <w:rPr>
          <w:rFonts w:ascii="Times New Roman" w:cs="Times New Roman" w:eastAsia="Times New Roman" w:hAnsi="Times New Roman"/>
          <w:sz w:val="18"/>
          <w:szCs w:val="18"/>
          <w:color w:val="auto"/>
        </w:rPr>
        <w:t>We aim to enhance our combination of food, beverage and entertainment offerings through our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philosophy of providing a high quality and consistent customer experience through dedicated training and development of our team members and a corporate culture that encourages employee engagement. In 2018, 85.7% of respondents to our Guest Satisfaction Survey rated us “Top Box” (score of 5 out of a possible 5) in “Overall Experience” and 86.7% of respondents rated us “Top Box” in “Intent to Recommend.” By comparison, in 2012, 80.6% of respondents rated us “Top Box” in “Overall Experience” and 83.6% of respondents rated us “Top Box” in “Intent to Recommend.” We utilize our loyalty program to market directly to members with promotional emails and location-based marketing. Through our loyalty program, we email offers and coupons to members and notify them of new games, food, drinks and local events. In addition, members can earn game play credits based on the dollar amount of qualifying purchases at our stores. We expect that as our loyalty program grows it will be an important method of maintaining customers’ connection with our brand and further drive customer satisfaction.</w:t>
      </w:r>
    </w:p>
    <w:p>
      <w:pPr>
        <w:spacing w:after="0" w:line="182" w:lineRule="exact"/>
        <w:rPr>
          <w:sz w:val="20"/>
          <w:szCs w:val="20"/>
          <w:color w:val="auto"/>
        </w:rPr>
      </w:pPr>
    </w:p>
    <w:p>
      <w:pPr>
        <w:ind w:left="20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We believe we are led by a strong senior management team averaging over 20 years of experience with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brands in all aspects of casual dining, entertainment and other consumer centric operations. We believe that our management team’s prior experience combined with its experience at Dave &amp; Buster’s provides us with insights into our customer base and enables us to create the dynamic environment that is core to our brand.</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operating strategy that underlies the growth of our concept is built on the following key components:</w:t>
      </w:r>
    </w:p>
    <w:p>
      <w:pPr>
        <w:spacing w:after="0" w:line="221" w:lineRule="exact"/>
        <w:rPr>
          <w:sz w:val="20"/>
          <w:szCs w:val="20"/>
          <w:color w:val="auto"/>
        </w:rPr>
      </w:pPr>
    </w:p>
    <w:p>
      <w:pPr>
        <w:ind w:left="200" w:right="2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Drive our comparable store sales. </w:t>
      </w:r>
      <w:r>
        <w:rPr>
          <w:rFonts w:ascii="Times New Roman" w:cs="Times New Roman" w:eastAsia="Times New Roman" w:hAnsi="Times New Roman"/>
          <w:sz w:val="18"/>
          <w:szCs w:val="18"/>
          <w:color w:val="auto"/>
        </w:rPr>
        <w:t>We intend to grow our comparable store sales in the highly competitive dining and entertainment segment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seeking to differentiate the Dave &amp; Buster’s brand from other food and entertainment alternatives, through the following strategies:</w:t>
      </w:r>
    </w:p>
    <w:p>
      <w:pPr>
        <w:spacing w:after="0" w:line="62" w:lineRule="exact"/>
        <w:rPr>
          <w:sz w:val="20"/>
          <w:szCs w:val="20"/>
          <w:color w:val="auto"/>
        </w:rPr>
      </w:pPr>
    </w:p>
    <w:p>
      <w:pPr>
        <w:ind w:left="1060" w:right="420" w:hanging="316"/>
        <w:spacing w:after="0" w:line="284"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Introduce compelling content in our amusements. </w:t>
      </w:r>
      <w:r>
        <w:rPr>
          <w:rFonts w:ascii="Times New Roman" w:cs="Times New Roman" w:eastAsia="Times New Roman" w:hAnsi="Times New Roman"/>
          <w:sz w:val="18"/>
          <w:szCs w:val="18"/>
          <w:color w:val="auto"/>
        </w:rPr>
        <w:t>We believe that our Midway games are the core differentiating feature of the Dave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Buster’s brand and staying current with the latest offerings creates</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56" w:lineRule="auto"/>
        <w:rPr>
          <w:sz w:val="20"/>
          <w:szCs w:val="20"/>
          <w:color w:val="auto"/>
        </w:rPr>
      </w:pPr>
      <w:r>
        <w:rPr>
          <w:rFonts w:ascii="Times New Roman" w:cs="Times New Roman" w:eastAsia="Times New Roman" w:hAnsi="Times New Roman"/>
          <w:sz w:val="18"/>
          <w:szCs w:val="18"/>
          <w:color w:val="auto"/>
        </w:rPr>
        <w:t>new content and excitement to drive repeat visits and increase length of customer stay. We plan to continually update our games each year through development of innovative and proprietary games and the purchase of new games that will resonate with our customers and drive brand relevance due to a variety of factors, including their large scale, eye-catching appearance, virtual reality features, association with recognizable brands or the fact that they cannot be easily replicated at home. We aim to leverage our investment in games by featuring exclusive game offerings in our marketing initiatives. We also plan to continually elevate the redemption experience in our WIN! area with prizes that we believe customers will find more attractive, which we expect will favorably impact customer visitation and game play.</w:t>
      </w:r>
    </w:p>
    <w:p>
      <w:pPr>
        <w:spacing w:after="0" w:line="91" w:lineRule="exact"/>
        <w:rPr>
          <w:sz w:val="20"/>
          <w:szCs w:val="20"/>
          <w:color w:val="auto"/>
        </w:rPr>
      </w:pPr>
    </w:p>
    <w:p>
      <w:pPr>
        <w:jc w:val="both"/>
        <w:ind w:left="1060" w:hanging="316"/>
        <w:spacing w:after="0" w:line="267"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D&amp;B Sports. </w:t>
      </w:r>
      <w:r>
        <w:rPr>
          <w:rFonts w:ascii="Times New Roman" w:cs="Times New Roman" w:eastAsia="Times New Roman" w:hAnsi="Times New Roman"/>
          <w:sz w:val="18"/>
          <w:szCs w:val="18"/>
          <w:color w:val="auto"/>
        </w:rPr>
        <w:t>We intend to continue leveraging our investments in D&amp;B Sports by building awareness of Dave &amp; Buster’s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place to watch the games and play the games” through national cable advertising. In addition, we are strategically optimizing our year-round sporting and pay-per-view content to drive increased traffic and capture a higher share of the sports-viewing customer base.</w:t>
      </w:r>
    </w:p>
    <w:p>
      <w:pPr>
        <w:spacing w:after="0" w:line="78" w:lineRule="exact"/>
        <w:rPr>
          <w:rFonts w:ascii="Times New Roman" w:cs="Times New Roman" w:eastAsia="Times New Roman" w:hAnsi="Times New Roman"/>
          <w:sz w:val="18"/>
          <w:szCs w:val="18"/>
          <w:color w:val="auto"/>
        </w:rPr>
      </w:pPr>
    </w:p>
    <w:p>
      <w:pPr>
        <w:ind w:left="1060" w:right="80" w:hanging="316"/>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Continually enhance our food and beverage offerings. </w:t>
      </w:r>
      <w:r>
        <w:rPr>
          <w:rFonts w:ascii="Times New Roman" w:cs="Times New Roman" w:eastAsia="Times New Roman" w:hAnsi="Times New Roman"/>
          <w:sz w:val="18"/>
          <w:szCs w:val="18"/>
          <w:color w:val="auto"/>
        </w:rPr>
        <w:t>Our menu has a variety of items, from hamburgers to steaks to salads that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“Crafting Craveability” mantra. We aim to ensure a pipeline for two new menu launches each year, as well as two to three limited time offers. This strategy has been well received by our customers as the percentage of customers rating our food quality as “Excellent” was 85.5% in fiscal 2018. Similarly, the percentage of customers rating our beverage quality as “Excellent” in fiscal 2018 was 89.1%.</w:t>
      </w:r>
    </w:p>
    <w:p>
      <w:pPr>
        <w:spacing w:after="0" w:line="85" w:lineRule="exact"/>
        <w:rPr>
          <w:rFonts w:ascii="Times New Roman" w:cs="Times New Roman" w:eastAsia="Times New Roman" w:hAnsi="Times New Roman"/>
          <w:sz w:val="18"/>
          <w:szCs w:val="18"/>
          <w:color w:val="auto"/>
        </w:rPr>
      </w:pPr>
    </w:p>
    <w:p>
      <w:pPr>
        <w:ind w:left="1060" w:hanging="316"/>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our special events usage. </w:t>
      </w:r>
      <w:r>
        <w:rPr>
          <w:rFonts w:ascii="Times New Roman" w:cs="Times New Roman" w:eastAsia="Times New Roman" w:hAnsi="Times New Roman"/>
          <w:sz w:val="18"/>
          <w:szCs w:val="18"/>
          <w:color w:val="auto"/>
        </w:rPr>
        <w:t>The special events portion of our business represented 9.8% of our total revenues in fiscal 2018.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special events business is an important sampling and promotional opportunity for our customers because many customers are experiencing Dave &amp; Buster’s for the first time. We plan to leverage our existing special events sales force and call center to attract new corporate customers. In addition, we will continue to expand our online booking capability beyond strictly social events.</w:t>
      </w:r>
    </w:p>
    <w:p>
      <w:pPr>
        <w:spacing w:after="0" w:line="85" w:lineRule="exact"/>
        <w:rPr>
          <w:rFonts w:ascii="Times New Roman" w:cs="Times New Roman" w:eastAsia="Times New Roman" w:hAnsi="Times New Roman"/>
          <w:sz w:val="18"/>
          <w:szCs w:val="18"/>
          <w:color w:val="auto"/>
        </w:rPr>
      </w:pPr>
    </w:p>
    <w:p>
      <w:pPr>
        <w:ind w:left="1060" w:right="40" w:hanging="316"/>
        <w:spacing w:after="0" w:line="255"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brand awareness and generate additional visits to our stores through marketing and promotions. </w:t>
      </w:r>
      <w:r>
        <w:rPr>
          <w:rFonts w:ascii="Times New Roman" w:cs="Times New Roman" w:eastAsia="Times New Roman" w:hAnsi="Times New Roman"/>
          <w:sz w:val="18"/>
          <w:szCs w:val="18"/>
          <w:color w:val="auto"/>
        </w:rPr>
        <w:t>We believe offering new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each of the “Eat Drink Play and Watch” pillars will keep the brand relevant to customers and drive traffic and frequency. We typically have seven-to-nine key promotional periods each year when we feature this “New News” in national advertising. To increase national awareness of our brand, we plan to continue to invest a significant portion of our marketing expenditures in national cable television advertising, while also increasing our investment in digital media. Our messaging focuses on promoting our capital investments in new games, and new food and beverage offerings. We also have customized local store marketing programs to increase new visits and repeat visits to individual locations. We will continue to utilize our loyalty program and digital efforts to communicate promotional offers directly to our most passionate brand fans, and we are aggressively optimizing our search engine and social marketing efforts.</w:t>
      </w:r>
    </w:p>
    <w:p>
      <w:pPr>
        <w:spacing w:after="0" w:line="90" w:lineRule="exact"/>
        <w:rPr>
          <w:rFonts w:ascii="Times New Roman" w:cs="Times New Roman" w:eastAsia="Times New Roman" w:hAnsi="Times New Roman"/>
          <w:sz w:val="18"/>
          <w:szCs w:val="18"/>
          <w:color w:val="auto"/>
        </w:rPr>
      </w:pPr>
    </w:p>
    <w:p>
      <w:pPr>
        <w:ind w:left="1060" w:right="20" w:hanging="316"/>
        <w:spacing w:after="0" w:line="259"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customer frequency through greater digital and mobile connectivity. </w:t>
      </w:r>
      <w:r>
        <w:rPr>
          <w:rFonts w:ascii="Times New Roman" w:cs="Times New Roman" w:eastAsia="Times New Roman" w:hAnsi="Times New Roman"/>
          <w:sz w:val="18"/>
          <w:szCs w:val="18"/>
          <w:color w:val="auto"/>
        </w:rPr>
        <w:t>We believe that there is potential to increase customer frequency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enhancing the in-store and out-of-store customer experience via digital and mobile strategic initiatives. We continue to optimize our search, programmatic media and paid social media to create customer engagement and drive recurring customer visitation. In addition, we will continue to leverage our customer relationship management program and our growing loyalty database, by delivering more targeted individualized offers and creative content.</w:t>
      </w:r>
    </w:p>
    <w:p>
      <w:pPr>
        <w:spacing w:after="0" w:line="178" w:lineRule="exact"/>
        <w:rPr>
          <w:sz w:val="20"/>
          <w:szCs w:val="20"/>
          <w:color w:val="auto"/>
        </w:rPr>
      </w:pPr>
    </w:p>
    <w:p>
      <w:pPr>
        <w:ind w:left="200" w:firstLine="44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Build great new stores. </w:t>
      </w:r>
      <w:r>
        <w:rPr>
          <w:rFonts w:ascii="Times New Roman" w:cs="Times New Roman" w:eastAsia="Times New Roman" w:hAnsi="Times New Roman"/>
          <w:sz w:val="17"/>
          <w:szCs w:val="17"/>
          <w:color w:val="auto"/>
        </w:rPr>
        <w:t>We will continue to pursue what we believe to be a disciplined new store growth strategy in both new and existing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where we feel we are capable of achieving targeted revenue levels, operating income margins and Store Operating Income Before Depreciation and Amortization Margins as well as strong cash-on-cash returns. We believe that the Dave &amp; Buster’s brand has significant growth opportunities, as</w:t>
      </w:r>
    </w:p>
    <w:p>
      <w:pPr>
        <w:spacing w:after="0" w:line="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240" w:top="455" w:right="5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8" w:lineRule="auto"/>
        <w:rPr>
          <w:sz w:val="20"/>
          <w:szCs w:val="20"/>
          <w:color w:val="auto"/>
        </w:rPr>
      </w:pPr>
      <w:r>
        <w:rPr>
          <w:rFonts w:ascii="Times New Roman" w:cs="Times New Roman" w:eastAsia="Times New Roman" w:hAnsi="Times New Roman"/>
          <w:sz w:val="18"/>
          <w:szCs w:val="18"/>
          <w:color w:val="auto"/>
        </w:rPr>
        <w:t>internal studies and third-party research suggests a total store potential in the United States and Canada in excess of 230 stores (including our 121 stores as of the end of fiscal 2018). We anticipate that approximately 25% of our future new store openings will utilize our new 17K design and that the balance of our future openings will be fairly evenly split between our traditional large and small formats. We opened fifteen stores in fiscal 2018. Store openings during the past six fiscal years were primarily financed with available cash and operating cash flows. In 2019 and the near future, we believe that we can continue opening new stores at an annual growth rate of 10% or more of our then existing store base.</w:t>
      </w:r>
    </w:p>
    <w:p>
      <w:pPr>
        <w:spacing w:after="0" w:line="184" w:lineRule="exact"/>
        <w:rPr>
          <w:sz w:val="20"/>
          <w:szCs w:val="20"/>
          <w:color w:val="auto"/>
        </w:rPr>
      </w:pPr>
    </w:p>
    <w:p>
      <w:pPr>
        <w:ind w:left="200" w:right="60" w:firstLine="441"/>
        <w:spacing w:after="0" w:line="252" w:lineRule="auto"/>
        <w:rPr>
          <w:sz w:val="20"/>
          <w:szCs w:val="20"/>
          <w:color w:val="auto"/>
        </w:rPr>
      </w:pPr>
      <w:r>
        <w:rPr>
          <w:rFonts w:ascii="Times New Roman" w:cs="Times New Roman" w:eastAsia="Times New Roman" w:hAnsi="Times New Roman"/>
          <w:sz w:val="18"/>
          <w:szCs w:val="18"/>
          <w:color w:val="auto"/>
        </w:rPr>
        <w:t>Our store expansion strategy is driven by a site selection process that allows us to evaluate and select the location, size and design of our stores based on consumer research and analysis of operating data from sales in our existing stores. Our site selection process and flexible store design enable us to customize each store with the objective of maximizing return on capital given the characteristics of the market and the location. Our current store large formats are 30,001 to 45,000 square feet in size and our current store small formats span 25,000 to 30,000 square feet. Our small and 17K formats provide us the flexibility to enter new smaller markets and further penetrate existing markets. Our various store formats also provide us with the ability to strategically choose between building new stores and converting existing space, which can be more cost efficient for certain locations. We are targeting average year one cash-on-cash returns of approximately 35% for both our large format and small format stores and approximately 25% for the 17K format. To achieve this return for large format stores, we target average net development costs of approximately $8,300 to $8,800 and first-year store revenues of approximately $10,000 to $12,200. For small format stores, we target average net development costs of approximately $6,800 and average first year store revenues of approximately $8,700. For 17K format stores, we target average net development costs of approximately $5,000 and first-year store revenues of approximately $5,000. Additionally, for both large format and small format stores, we target average year one margins on operating income (excluding allocated national marketing costs) of approximately 18%, and Store Operating Income Before Depreciation and Amortization (excluding allocated national marketing costs) of approximately 29%. For our 17K format store, we target average year one margins on operating income (excluding allocated national marketing costs) of approximately 12% and Store Operating Income Before Depreciation and Amortization (excluding allocated national marketing costs) of approximately 25%.</w:t>
      </w:r>
    </w:p>
    <w:p>
      <w:pPr>
        <w:spacing w:after="0" w:line="193"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the Dave &amp; Buster’s brand internationally. </w:t>
      </w:r>
      <w:r>
        <w:rPr>
          <w:rFonts w:ascii="Times New Roman" w:cs="Times New Roman" w:eastAsia="Times New Roman" w:hAnsi="Times New Roman"/>
          <w:sz w:val="18"/>
          <w:szCs w:val="18"/>
          <w:color w:val="auto"/>
        </w:rPr>
        <w:t>We believe that in addition to the growth potential that exists in North America, the Dave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Buster’s brand can also have significant appeal in certain international markets. We are currently assessing these opportunities while maintaining a conservative and disciplined approach towards the execution of our international development strategy. As such, we have retained the services of a third-party consultant to assist in identifying and prioritizing potential markets for expansion as well as potential franchise or joint venture partners. Thus far, we have identified our international market priorities and begun the process of identifying potential international partners.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Site Selection</w:t>
      </w:r>
    </w:p>
    <w:p>
      <w:pPr>
        <w:spacing w:after="0" w:line="121"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We believe that the location of stores is critical to our long-term success.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 We devote significant time and resources to strategically analyze each prospective market, trade area and site. We continually identify, evaluate and update our database of potential locations for expansion. We base new site selection on an analytical evaluation of a set of drivers we believe increase the probability of successful, high-volume stores.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Store Formats</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We currently operate stores varying in size from 16,000 to 66,000 square feet. To optimize sales per square foot and further enhance our store economics, the target size of our future large format stores is expected to be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between 30,001 and 45,000 square feet while our small format stores span 25,000 to 30,000 square feet. Additionally, our newly-developed 17K design which will span 15,000 to 20,000 square feet, should allow us to enter markets with store size requirements less than our traditional large and small store formats. Our initial stores with this new design opened in fiscal 2018 in Rogers, Arkansas and Corpus Christi, Texas.</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utilize smaller format stores to penetrate less densely populated markets and backfill existing markets. The smaller format has reduced the back-of-house space and optimized the sales area dedicated to video and redemption games. We believe that the smaller format maintains the dynamic customer experience that is the foundation of our brand and allows us flexibility in our site selection process. We also believe that the smaller store format allows us to take less capital investment risk per store. As a result, we expect these smaller format stores to enable us to expand into additional markets. We anticipate that approximately 25% of our future new store openings will utilize our new 17K design and that the balance of our future openings will be fairly evenly split between our traditional large and small formats. At February 3, 2019, 23 of our 121 operating stores were the small store format and two were the new 17K format. Our fiscal 2018 new store openings included eleven large format stores, two small format stores and two 17K format stores.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Marketing, Advertising and Promotion</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Our corporate marketing department manages all consumer-focused initiatives for the Dave &amp; Buster’s brand. In order to drive sales and expand our customer base, we focus our efforts in three key areas:</w:t>
      </w:r>
    </w:p>
    <w:p>
      <w:pPr>
        <w:spacing w:after="0" w:line="63" w:lineRule="exact"/>
        <w:rPr>
          <w:sz w:val="20"/>
          <w:szCs w:val="20"/>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Marketing: </w:t>
      </w:r>
      <w:r>
        <w:rPr>
          <w:rFonts w:ascii="Times New Roman" w:cs="Times New Roman" w:eastAsia="Times New Roman" w:hAnsi="Times New Roman"/>
          <w:sz w:val="18"/>
          <w:szCs w:val="18"/>
          <w:color w:val="auto"/>
        </w:rPr>
        <w:t>national advertising, media (linear and digital), promotions, in-store merchandising, pricing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Food and beverage: </w:t>
      </w:r>
      <w:r>
        <w:rPr>
          <w:rFonts w:ascii="Times New Roman" w:cs="Times New Roman" w:eastAsia="Times New Roman" w:hAnsi="Times New Roman"/>
          <w:sz w:val="18"/>
          <w:szCs w:val="18"/>
          <w:color w:val="auto"/>
        </w:rPr>
        <w:t>menu and product development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insights: </w:t>
      </w:r>
      <w:r>
        <w:rPr>
          <w:rFonts w:ascii="Times New Roman" w:cs="Times New Roman" w:eastAsia="Times New Roman" w:hAnsi="Times New Roman"/>
          <w:sz w:val="18"/>
          <w:szCs w:val="18"/>
          <w:color w:val="auto"/>
        </w:rPr>
        <w:t>research, brand health and tracking</w:t>
      </w:r>
    </w:p>
    <w:p>
      <w:pPr>
        <w:spacing w:after="0" w:line="229"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We spent approximately $40,767 in marketing efforts in fiscal 2018, $37,876 in fiscal 2017, and $33,795 in fiscal 2016. Our annual marketing expenditures include the cost of national television and radio advertising totaling $30,437, $30,003, and $25,845, in fiscal years 2018, 2017, and 2016, respectively.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continually seek to improve our marketing effectiveness through a number of initiatives, including:</w:t>
      </w:r>
    </w:p>
    <w:p>
      <w:pPr>
        <w:spacing w:after="0" w:line="131" w:lineRule="exact"/>
        <w:rPr>
          <w:sz w:val="20"/>
          <w:szCs w:val="20"/>
          <w:color w:val="auto"/>
        </w:rPr>
      </w:pPr>
    </w:p>
    <w:p>
      <w:pPr>
        <w:ind w:left="1060" w:hanging="42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our marketing strategy to better reach both young adults and families;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new advertising campaigns;</w:t>
      </w:r>
    </w:p>
    <w:p>
      <w:pPr>
        <w:spacing w:after="0" w:line="130" w:lineRule="exact"/>
        <w:rPr>
          <w:rFonts w:ascii="Times New Roman" w:cs="Times New Roman" w:eastAsia="Times New Roman" w:hAnsi="Times New Roman"/>
          <w:sz w:val="18"/>
          <w:szCs w:val="18"/>
          <w:color w:val="auto"/>
        </w:rPr>
      </w:pPr>
    </w:p>
    <w:p>
      <w:pPr>
        <w:ind w:left="1060" w:right="320" w:hanging="424"/>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menu research and development to differentiate our food offerings from our competition and improve key product attributes (quality, consistency, value and overall customer satisfaction) and execution;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product/promotional strategies to attract new customers and increase spending/length of stay;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loyalty database to create stronger relationships with consumers to engage and motivate them to visit;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a consistent brand identity that represents our positioning and commitment to quality.</w:t>
      </w:r>
    </w:p>
    <w:p>
      <w:pPr>
        <w:spacing w:after="0" w:line="225"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To drive traffic and increase visit frequency and average check size, the bulk of our marketing budget is allocated to national cable television media. To enhance that effort, we also:</w:t>
      </w:r>
    </w:p>
    <w:p>
      <w:pPr>
        <w:spacing w:after="0" w:line="67" w:lineRule="exact"/>
        <w:rPr>
          <w:sz w:val="20"/>
          <w:szCs w:val="20"/>
          <w:color w:val="auto"/>
        </w:rPr>
      </w:pPr>
    </w:p>
    <w:p>
      <w:pPr>
        <w:ind w:left="1060" w:hanging="42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digital initiatives including search engine marketing, mobile campaigns, programmatic marketing and social media;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optimize the website for search;</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in-store promotions and create point-of-purchase materials;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customer loyalty program, including promotional and trigger emails;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local marketing plans to address specific objectives in individual stores or markets.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work with external advertising, digital, media and design agencies in the development and execution of these programs.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Special Event Marketing</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corporate and group sales programs are managed by our sales department, which provides direction, training, and support to the special events managers and their teams within each store. They are supported by a special events call center located at our corporate office, targeted print and online media plans, as well as promotional incentives at appropriate times during the year. In addition, we have online booking for social parties in order to provide additional convenience in booking events for our customers.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2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Our typical store team consists of a General Manager supported by an average of nine additional management positions. There is a defined structure of development and progression of job responsibilities from Area Operations Manager through various positions up to the General Manager role. This structure ensures that an adequate succession plan exists within each store. Each management member handles various departments within the store including responsibility for hourly employees. A typical store employs approximately 120 hourly employees, most of whom work part time. The General Manager and the management team are responsible for the day-to-day operation of that store, including the hiring, training and development of team members, as well as financial and operational performance. Each store is overseen by a Regional Operations Manager, Regional Operations Director or Vice President of Operations (collectively, “Regional Management”) who directly or indirectly report to our Chief Operating Officer. Our stores are generally open seven days a week, from 11:30 a.m. to midnight on Sunday through Thursday and 11:30 a.m. to 2:00 a.m. on Friday and Saturday.</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Operational Tools and Programs</w:t>
      </w:r>
    </w:p>
    <w:p>
      <w:pPr>
        <w:spacing w:after="0" w:line="121" w:lineRule="exact"/>
        <w:rPr>
          <w:sz w:val="20"/>
          <w:szCs w:val="20"/>
          <w:color w:val="auto"/>
        </w:rPr>
      </w:pPr>
    </w:p>
    <w:p>
      <w:pPr>
        <w:ind w:left="200" w:right="100" w:firstLine="441"/>
        <w:spacing w:after="0" w:line="253" w:lineRule="auto"/>
        <w:rPr>
          <w:sz w:val="20"/>
          <w:szCs w:val="20"/>
          <w:color w:val="auto"/>
        </w:rPr>
      </w:pPr>
      <w:r>
        <w:rPr>
          <w:rFonts w:ascii="Times New Roman" w:cs="Times New Roman" w:eastAsia="Times New Roman" w:hAnsi="Times New Roman"/>
          <w:sz w:val="18"/>
          <w:szCs w:val="18"/>
          <w:color w:val="auto"/>
        </w:rPr>
        <w:t>Our managers have daily routines focused on driving consistent execution in food, beverage and gaming. We utilize a customized food and beverage analysis program that determines the theoretical food and beverage costs for each store and provides additional tools and reports to help us identify opportunities, including waste management. In addition to our own routines, we leverage a third-party vendor to help ensure quality beverage operations, responsible alcohol service and loss prevention. A mobile salesmanship application with daily sales contests is used by our management team to evaluate sales performance by shift and to drive staff engagement. We have developed tools to forecast sales and schedule labor to assist our managers in optimizing hourly labor based on anticipated sales volumes. This program was enhanced during fiscal 2018 with the introduction of a new workforce management platform which offers real time data that allows management to quickly add or reduce labor based on business needs. Our amusement team uses a proprietary system that is supported by a mobile application that identifies gaming issues and needed repairs to help ensure our games are operational and meeting our ideal playing standard. Complementing this program is our routine preventative maintenance program, designed to prevent game failure and extend the functionality of our midway games. To maximize the performance of our new store openings, we have a “New Store Gold Card” process that defines a clear path and timeline to bring each new store in line with our established store efficiencies. Consolidated reporting tools for the key drivers of our business are provided to our Regional Management to identify and troubleshoot any systemic issues.</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121" w:lineRule="exact"/>
        <w:rPr>
          <w:sz w:val="20"/>
          <w:szCs w:val="20"/>
          <w:color w:val="auto"/>
        </w:rPr>
      </w:pPr>
    </w:p>
    <w:p>
      <w:pPr>
        <w:ind w:left="200" w:right="860" w:firstLine="441"/>
        <w:spacing w:after="0" w:line="282" w:lineRule="auto"/>
        <w:rPr>
          <w:sz w:val="20"/>
          <w:szCs w:val="20"/>
          <w:color w:val="auto"/>
        </w:rPr>
      </w:pPr>
      <w:r>
        <w:rPr>
          <w:rFonts w:ascii="Times New Roman" w:cs="Times New Roman" w:eastAsia="Times New Roman" w:hAnsi="Times New Roman"/>
          <w:sz w:val="18"/>
          <w:szCs w:val="18"/>
          <w:color w:val="auto"/>
        </w:rPr>
        <w:t>We utilize a number of proprietary and third-party management information systems. These systems are designed to enable our games’ functionality, improve operating efficiencies, provide us with timely access to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82" w:lineRule="auto"/>
        <w:rPr>
          <w:sz w:val="20"/>
          <w:szCs w:val="20"/>
          <w:color w:val="auto"/>
        </w:rPr>
      </w:pPr>
      <w:r>
        <w:rPr>
          <w:rFonts w:ascii="Times New Roman" w:cs="Times New Roman" w:eastAsia="Times New Roman" w:hAnsi="Times New Roman"/>
          <w:sz w:val="18"/>
          <w:szCs w:val="18"/>
          <w:color w:val="auto"/>
        </w:rPr>
        <w:t>financial and marketing data and reduce store and corporate administrative time and expense. We believe our management information systems are sufficient to support our store expansion plans.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121" w:lineRule="exact"/>
        <w:rPr>
          <w:sz w:val="20"/>
          <w:szCs w:val="20"/>
          <w:color w:val="auto"/>
        </w:rPr>
      </w:pPr>
    </w:p>
    <w:p>
      <w:pPr>
        <w:ind w:left="200" w:right="80" w:firstLine="441"/>
        <w:spacing w:after="0" w:line="277" w:lineRule="auto"/>
        <w:rPr>
          <w:sz w:val="20"/>
          <w:szCs w:val="20"/>
          <w:color w:val="auto"/>
        </w:rPr>
      </w:pPr>
      <w:r>
        <w:rPr>
          <w:rFonts w:ascii="Times New Roman" w:cs="Times New Roman" w:eastAsia="Times New Roman" w:hAnsi="Times New Roman"/>
          <w:sz w:val="17"/>
          <w:szCs w:val="17"/>
          <w:color w:val="auto"/>
        </w:rPr>
        <w:t>We strive to maintain quality and consistency in each of our stores through the careful training and supervision of our team members and the establishment of, and adherence to, high standards relating to personnel performance, food and beverage preparation, game playability and maintenance of our stores. We provide all new team members with complete orientation and one-on-one training for their positions to help ensure they are able to meet our high standards. All of our new team members are trained by partnering with a certified trainer to assure that the training and information they receive is complete and accurate. Team members are certified for their positions by passing a series of tests, including alcohol awareness training.</w:t>
      </w:r>
    </w:p>
    <w:p>
      <w:pPr>
        <w:spacing w:after="0" w:line="168"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We require our new store managers to complete an eight-week training program that includes front-of-house service, kitchen, amusements and management responsibilities. Newly trained managers are then assigned to their home store where they receive additional training with their General Manager. We place a high priority on our continuing management development programs in order to ensure that qualified managers are available for our future openings. We conduct semi-annual evaluations with each manager to discuss prior performance and future performance goals. We hold an annual General Manager conference in which our General Managers share best practices and also receive an update on our business plan.</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prepare for an intensive two-week training program for all team members hired for the new store opening. Part of the training team stays on site during the first week of operation. We believe this additional investment in our new stores is important, because it helps us provide our customers with a quality experience from day one.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After a store has been opened and is operating smoothly, the store managers supervise the training of new team members.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Recruiting and Retention</w:t>
      </w:r>
    </w:p>
    <w:p>
      <w:pPr>
        <w:spacing w:after="0" w:line="12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We seek to hire experienced managers and team members and offer competitive wage and benefit programs. Our store managers all participate in a performance-based incentive program that is based on sales and profit goals. In addition, our salaried and hourly employees are also eligible to participate in a 401(k) plan, medical/dental/vision insurance plans and receive vacation/paid time off based on tenure. Additionally, General Managers are eligible for long-term incentive awards depending upon operating performance.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Food Preparation, Quality Control and Purchasing</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We own and operate two stores outside of the United States, in the Canadian province of Ontario, including one that opened during the fourth quarter of fiscal 2016. These stores generated revenues of approximately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82" w:lineRule="auto"/>
        <w:rPr>
          <w:sz w:val="20"/>
          <w:szCs w:val="20"/>
          <w:color w:val="auto"/>
        </w:rPr>
      </w:pPr>
      <w:r>
        <w:rPr>
          <w:rFonts w:ascii="Times New Roman" w:cs="Times New Roman" w:eastAsia="Times New Roman" w:hAnsi="Times New Roman"/>
          <w:sz w:val="18"/>
          <w:szCs w:val="18"/>
          <w:color w:val="auto"/>
        </w:rPr>
        <w:t>$18,848, $20,075 and $13,369 in fiscal 2018, 2017 and 2016, respectively, representing approximately 1.5%, 1.8%, and 1.3%, respectively, of our consolidated revenues. As of February 3, 2019, less than 2.0% of our long-lived assets were located outside of the United States.</w:t>
      </w:r>
    </w:p>
    <w:p>
      <w:pPr>
        <w:spacing w:after="0" w:line="162"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foreign activities of these stores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Store-Level Quarterly Fluctuations and Seasonality</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as a result of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121"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The principal goods used by us are redemption game prizes and food and beverage products, which are available from a number of suppliers. We currently purchase a significant amount of our amusement merchandise through a direct import program, a program in which we purchase WIN! merchandise and certain glassware, plateware and furniture directly from offshore manufacturers. We are a large buyer of traditional and amusement games and as a result believe we receive discounted pricing arrangements. Federal and state health care mandates and mandated increases in the minimum wage and other macro-economic pressures could have the repercussion of increasing expenses, as suppliers may be adversely impacted and seek to pass on higher costs to us.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200" w:right="160" w:firstLine="441"/>
        <w:spacing w:after="0" w:line="255" w:lineRule="auto"/>
        <w:rPr>
          <w:sz w:val="20"/>
          <w:szCs w:val="20"/>
          <w:color w:val="auto"/>
        </w:rPr>
      </w:pPr>
      <w:r>
        <w:rPr>
          <w:rFonts w:ascii="Times New Roman" w:cs="Times New Roman" w:eastAsia="Times New Roman" w:hAnsi="Times New Roman"/>
          <w:sz w:val="18"/>
          <w:szCs w:val="18"/>
          <w:color w:val="auto"/>
        </w:rPr>
        <w:t>The out-of-home entertainment market is highly competitive. We compete for customers’ discretionary entertainment dollars with providers of out-of-home entertainment, including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entertainment experiences similar to ours and restaurants that are highly competitive with respect to price, quality of service, location, ambience and type and quality of food. Some of these establishments may exist in multiple locations, and we may also face competition on a national basis in the future from other concepts that are similar to ours. We also face competition from increasingly sophisticated home-based forms of entertainment, such as internet and video gaming and home movie streaming and delivery.</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have registered the trademarks Dave &amp; Buster’s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Power Card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Eat &amp; Play Combo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Eat Drink Play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Eat Drink Play Watch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have registered or applied to register certain additional trademarks with the United States Patent and Trademark Office and in various foreign countries. We consider our tradename and our logo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As of February 3, 2019, we employed 16,098 persons, 285 of whom served at our corporate headquarters, 1,219 of whom served as management personnel and the remainder of whom were hourly personnel.</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None of our employees are covered by collective bargaining agreements and we have never experienced an organized work stoppage, strike or labor dispute. We believe working conditions and compensation packages are competitive with those offered by competitors and consider our relations with our employees to be good.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 13(a) or 15(d) of the Securities Exchange Act of 1934 (“Exchange Act”) are available free of charge through our internet website, at </w:t>
      </w:r>
      <w:r>
        <w:rPr>
          <w:rFonts w:ascii="Times New Roman" w:cs="Times New Roman" w:eastAsia="Times New Roman" w:hAnsi="Times New Roman"/>
          <w:sz w:val="18"/>
          <w:szCs w:val="18"/>
          <w:u w:val="single" w:color="auto"/>
          <w:color w:val="auto"/>
        </w:rPr>
        <w:t>www.daveandbusters.com</w:t>
      </w:r>
      <w:r>
        <w:rPr>
          <w:rFonts w:ascii="Times New Roman" w:cs="Times New Roman" w:eastAsia="Times New Roman" w:hAnsi="Times New Roman"/>
          <w:sz w:val="18"/>
          <w:szCs w:val="18"/>
          <w:color w:val="auto"/>
        </w:rPr>
        <w:t xml:space="preserve">, as soon as reasonably practicable after they are electronically filed with or furnished to the Securities and Exchange Commission (“SEC”). Such reports may also be obtained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Information on our corporate governance principles and practices can also be found on our website.</w:t>
      </w:r>
    </w:p>
    <w:p>
      <w:pPr>
        <w:spacing w:after="0" w:line="1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240" w:top="455" w:right="5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risk and uncertainties. In addition to the information contained elsewhere in this Report and other filings that we make with the SEC, the following risk factors should be carefully considered in evaluating our business or making an investment decision involving our common stock. The occurrence of any of the following risks could harm our business, financial conditions and results of operations, cash flows and/or the trading price of our common stock. In addition, our actual performance could differ materially from any results expressed or implied by forward-looking statements contained in this Report, in any of our other filings with the SEC and other communications by us, both written and oral, depending on a variety of factors, including the risks and uncertainties described below. Our business is also subject to general risks and uncertainties that affect many other companies, including, but not limited to, overall economic and industry conditions, and additional risks and uncertainties that are currently not known or believed by us to be immaterial may also have a material negative impact on our business, financial condition and results of operations.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our ability to open new stores and operate them profitably.</w:t>
      </w:r>
    </w:p>
    <w:p>
      <w:pPr>
        <w:spacing w:after="0" w:line="121"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A key element of our growth strategy is to open additional stores in locations that we believe will provide attractive returns on investment. Our ability to open new stores on a timely and cost-effective basis, or at all, is dependent on numerous factors, many of which are beyond our control, including our ability to:</w:t>
      </w:r>
    </w:p>
    <w:p>
      <w:pPr>
        <w:spacing w:after="0" w:line="82" w:lineRule="exact"/>
        <w:rPr>
          <w:sz w:val="20"/>
          <w:szCs w:val="20"/>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quality locations;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acceptable agreements regarding the lease or purchase of locations;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zoning, licensing, land use and environmental regulations;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or have available an adequate amount of cash or currently available financing for construction and opening costs;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hire, train and retain the skilled management and other employees necessary to meet staffing needs;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for acceptable cost, required permits and approvals, including liquor and amusement licenses;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manage the amount of time and money used to build and open each new store.</w:t>
      </w:r>
    </w:p>
    <w:p>
      <w:pPr>
        <w:spacing w:after="0" w:line="225"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If we succeed in opening new stores on a timely and cost-effective basis, we may nonetheless be unable to attract enough customers to new stores because potential customers may be unfamiliar with our stores or concept, or our entertainment and menu options might not appeal to them. Our new stores may not meet or exceed the performance of our existing stores or meet or exceed our performance targets, including target cash-on-cash returns. New stores may even operate at a loss, which could have a significant adverse effect on our overall operating results. If the expected future cash flows for a store are less than the asset carrying amount (an indication that the carrying amount may not be recoverable), we may recognize an impairment loss in an amount equal to the excess of the asset carrying amount over the fair value. Opening a new store in an existing market could reduce the revenue at our existing stores in that market. In addition, historically, new stores experience a decline in revenues after their first year of operation. Typically, this decline has been temporary and has been followed by changes in comparative store revenue in line with the rest of our comparable store base, but there can be no assurance that this will be the case in the future or that a new store will succeed in the long term.</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markets may present increased risks due to our unfamiliarity with the area.</w:t>
      </w:r>
    </w:p>
    <w:p>
      <w:pPr>
        <w:spacing w:after="0" w:line="121" w:lineRule="exact"/>
        <w:rPr>
          <w:sz w:val="20"/>
          <w:szCs w:val="20"/>
          <w:color w:val="auto"/>
        </w:r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Some of our new stores will be in areas where we have little or no meaningful experience. Those markets may have different competitive conditions, local regulatory requirements, consumer tastes and discretionary spending patterns than our existing markets, which may cause our new stores to be less successful than stores in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our existing markets. In addition, our national advertising program may not be successful in generating brand awareness in all local markets, and the lack of market awareness of the Dave &amp; Buster’s brand can pose an additional risk in expanding into new markets. Stores opened in new markets may open at lower average weekly revenues than stores opened in existing markets and may have higher store-level operating expense ratios than stores in existing markets. Sales at stores opened in new markets may take longer to reach average store revenues, if at all, thereby adversely affecting our overall profitability.</w:t>
      </w:r>
    </w:p>
    <w:p>
      <w:pPr>
        <w:spacing w:after="0" w:line="184"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addition, we intend to establish stores outside of the United States and Canada. In addition to the risks posed by new markets generally, the operating conditions in overseas markets may vary significantly from those we have experienced in the past, including in relation to consumer preferences, regulatory environment, currency risk, the presence and cooperation of suitable local partners and availability of vendors or commercial and physical infrastructure, among others. There is no guarantee that we will be successful in integrating these new stores into our operations, achieving market acceptance, operating these stores profitably, and maintaining compliance with the rapidly changing business and regulatory requirements of new markets. If we are unable to do so, we could suffer a material adverse effect on our business, financial condition and results of operations.</w:t>
      </w:r>
    </w:p>
    <w:p>
      <w:pPr>
        <w:spacing w:after="0" w:line="292" w:lineRule="exact"/>
        <w:rPr>
          <w:sz w:val="20"/>
          <w:szCs w:val="20"/>
          <w:color w:val="auto"/>
        </w:rPr>
      </w:pPr>
    </w:p>
    <w:p>
      <w:pPr>
        <w:ind w:left="20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highly competitive out-of-home and home-based entertainment and restaurant markets, which could have a material adverse effect on our business, results of operations or financial condition.</w:t>
      </w:r>
    </w:p>
    <w:p>
      <w:pPr>
        <w:spacing w:after="0" w:line="51"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The out-of-home entertainment market is highly competitive. We compete for customers’ discretionary entertainment dollars with providers of out-of-home entertainment, including localized attraction facilities such as movie theatres, sporting events, bowling alleys, sports activity centers, arcades and entertainment centers, nightclubs and restaurants as well as theme parks. Many of the entities operating these businesses are larger and have significantly greater financial resources, a greater number of stores, have been in business longer, have greater name recognition and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would create the possibility for entertainment alternatives, which could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 the competitive out-of-home and home-based entertainment and restaurant markets could have a material adverse effect on our business, results of operations and financial condition.</w:t>
      </w:r>
    </w:p>
    <w:p>
      <w:pPr>
        <w:spacing w:after="0" w:line="295" w:lineRule="exact"/>
        <w:rPr>
          <w:sz w:val="20"/>
          <w:szCs w:val="20"/>
          <w:color w:val="auto"/>
        </w:rPr>
      </w:pPr>
    </w:p>
    <w:p>
      <w:pPr>
        <w:ind w:left="20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growth and ability to achieve profitability are impacted by our comparable store sales, and there are material risks to our ability to increase such sales.</w:t>
      </w:r>
    </w:p>
    <w:p>
      <w:pPr>
        <w:spacing w:after="0" w:line="5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Comparable store sales are a year-over-year comparison of sales at stores open at the end of the period which have been open for at least 18 months as of the beginning of each of the fiscal years. It is a key performance indicator used within the industry and is indicative of acceptance of our initiatives as well as local economic and consumer trends. The level of comparable store sales will affect our sales growth and will continue to be a critical factor affecting our ability to generate profits because the profit margin on comparable store sales is generally higher than the profit margin on new store sales. Our ability to increase comparable store sales depends on many factors, including perceptions of our brand, competition, our ability to increase menu or game prices without adversely impacting traffic counts, executing our marketing strategies effectively, changes in consumer preferences and discretionary spending for multiple reasons including an economic downturn or slower growth, transfer sales from new store openings, weather and changes in government regulations, among others. Many of these factors are beyond our control, and there is no guarantee that management initiatives to increase comparable store sales will be successful.</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revenues generally fluctuate due to the seasonality of our business and other events.</w:t>
      </w:r>
    </w:p>
    <w:p>
      <w:pPr>
        <w:spacing w:after="0" w:line="121"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Our operating results may fluctuate significantly due to seasonal factors. Typically, we have higher revenues associated with the spring and year-end holidays. Our third quarter, which encompasses the back-to-school fall season, has historically had lower revenues as compared to other quarters. As a result, factors affecting peak seasons could have a disproportionate effect on our results. For example, the number of days between Thanksgiving and New Year’s Day and the days of the week on which Christmas and New Year’s Eve fall affect the volume of business we generate during the December holiday season and can affect our results for the full fiscal year. In addition, unfavorable weather conditions during the winter and spring seasons could have a significant impact on our results.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fluctuations due to the timing of new store openings.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timing of new store openings may result in significant fluctuations in our quarterly performance. We typically incur most cash pre-opening costs for a new store within the two months immediately preceding, and the month of, the store’s opening. In addition, the labor and operating costs for a newly opened store during the first three to six months of operation are materially greater than what can be expected after that time, both in aggregate dollars and as a percentage of revenues. Additionally, a portion of a current fiscal year new store capital expenditures is related to stores that are not expected to open until the following fiscal year. Due to these substantial up-front financial requirements to open new stores, the investment risk related to any single store is much larger than that associated with many other restaurants or entertainment venues.</w:t>
      </w:r>
    </w:p>
    <w:p>
      <w:pPr>
        <w:spacing w:after="0" w:line="292" w:lineRule="exact"/>
        <w:rPr>
          <w:sz w:val="20"/>
          <w:szCs w:val="20"/>
          <w:color w:val="auto"/>
        </w:rPr>
      </w:pPr>
    </w:p>
    <w:p>
      <w:pPr>
        <w:ind w:left="20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Slow economic growth or a recession could have a material adverse impact on our landlords or other tenants in shopping centers in which we are located, which in turn could negatively affect our financial results.</w:t>
      </w:r>
    </w:p>
    <w:p>
      <w:pPr>
        <w:spacing w:after="0" w:line="51"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If we experience an economic downturn in the future, our landlords may be unable to obtain financing or remain in good standing under their existing financing arrangements, resulting in failures to pay required tenant improvement allowances or satisfy other lease covenants to us. In addition, tenants at shopping centers in which we are located or have executed leases, or to which our stores are near, may fail to open or may cease operations. Decreases in total tenant occupancy in shopping centers in which we are located, or to which our stores are near, may affect traffic at our stores. All these factors could have a material adverse impact on our operations.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or reputation could adversely affect our business.</w:t>
      </w:r>
    </w:p>
    <w:p>
      <w:pPr>
        <w:spacing w:after="0" w:line="12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Our brand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illness or health concerns, or a variety of other operating issues stemming from one or a limited number of stores. The speed at which negative publicity (whether or not accurate) can be disseminated has increased dramatically with the capabilities of electronic communication. Adverse publicity involving any of these factors could make our stores less appealing, reduce our customer traffic and/or impose practical limits on pricing. In the future, our stores may be operated by franchisees. Any such franchisees will be independent third parties that we do not control. Although our franchisees will be contractually obligated to operate the store in accordance with our standards, we would not oversee their daily operations. If one or more of our stores were the subject of unfavorable publicity and we are unable to quickly and effectively respond to such reports, our overall brand could be adversely affected, which could have a material adverse effect on our business, results of operations and financial condition.</w:t>
      </w:r>
    </w:p>
    <w:p>
      <w:pPr>
        <w:spacing w:after="0" w:line="290" w:lineRule="exact"/>
        <w:rPr>
          <w:sz w:val="20"/>
          <w:szCs w:val="20"/>
          <w:color w:val="auto"/>
        </w:rPr>
      </w:pPr>
    </w:p>
    <w:p>
      <w:pPr>
        <w:ind w:left="2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could materially adversely impact our business.</w:t>
      </w:r>
    </w:p>
    <w:p>
      <w:pPr>
        <w:spacing w:after="0" w:line="51" w:lineRule="exact"/>
        <w:rPr>
          <w:sz w:val="20"/>
          <w:szCs w:val="20"/>
          <w:color w:val="auto"/>
        </w:rPr>
      </w:pPr>
    </w:p>
    <w:p>
      <w:pPr>
        <w:ind w:left="200" w:right="760" w:firstLine="441"/>
        <w:spacing w:after="0" w:line="282"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and similar platforms which allow individuals access to a broad audience of consumers and other interested persons. Many social media platforms immediately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publish the content their subscribers and participants’ post, often without filters or checks on accuracy of the content posted. Information posted on such platforms at any time may harm our interests, performance, or prospects of business, regardless of the information’s accuracy.</w:t>
      </w:r>
    </w:p>
    <w:p>
      <w:pPr>
        <w:spacing w:after="0" w:line="162"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As a part of our marketing strategy, we rely on search engine marketing, social media and new digital platforms to attract and retain our customers and maintain brand relevance. Our strategy and initiatives may not be successful, resulting in expenses incurred without improvement in traffic or relevance. In addition, a variety of risks are associated with the use of social media, including improper disclosure of proprietary information, negative comments about us, exposure of personally identifiable information, fraud and out-of-date information. The inappropriate use of social media vehicles by our customers or employees could increase our costs, lead to litigation or result in negative publicity that could damage our operating results, brand or reputation</w:t>
      </w:r>
      <w:r>
        <w:rPr>
          <w:rFonts w:ascii="Times New Roman" w:cs="Times New Roman" w:eastAsia="Times New Roman" w:hAnsi="Times New Roman"/>
          <w:sz w:val="18"/>
          <w:szCs w:val="18"/>
          <w:b w:val="1"/>
          <w:bCs w:val="1"/>
          <w:i w:val="1"/>
          <w:iCs w:val="1"/>
          <w:color w:val="auto"/>
        </w:rPr>
        <w: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procurement of games and amusement offerings is dependent upon a few suppliers.</w:t>
      </w:r>
    </w:p>
    <w:p>
      <w:pPr>
        <w:spacing w:after="0" w:line="121"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Our ability to continue to procure new games, amusement offerings, and other entertainment-related equipment is important to our business strategy. The number of suppliers from which we can purchase games, amusement offerings and other entertainment-related equipment is limited. To the extent that the number of suppliers declines, we could be subject to the risk of distribution delays, pricing pressure, lack of innovation and other associated risks.</w:t>
      </w:r>
    </w:p>
    <w:p>
      <w:pPr>
        <w:spacing w:after="0" w:line="180"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In addition, any increase in cost or decrease in availability of new amusement offerings that appeal to customers could adversely impact our revenues as well as the cost to acquire and operate new amusements, either of which could have a material adverse effect on our operating results and could also lead to decreases in revenues as customers negatively react to lack of new game options. We may not be able to anticipate and react to changing amusement offerings cost by adjusting purchasing practices or game prices, and a failure to do so could have a material adverse effect on our operating results.</w:t>
      </w:r>
    </w:p>
    <w:p>
      <w:pPr>
        <w:spacing w:after="0" w:line="184"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have successfully developed several proprietary amusement offerings that are not available to operations outside the Company. Our ability to develop future offerings is dependent on, among other things, obtaining rights to compelling game content and developing new amusement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w:t>
      </w:r>
    </w:p>
    <w:p>
      <w:pPr>
        <w:spacing w:after="0" w:line="288" w:lineRule="exact"/>
        <w:rPr>
          <w:sz w:val="20"/>
          <w:szCs w:val="20"/>
          <w:color w:val="auto"/>
        </w:rPr>
      </w:pPr>
    </w:p>
    <w:p>
      <w:pPr>
        <w:ind w:left="20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susceptible to changes in the availability and the cost of food and other supplies, in most cases from a limited number of suppliers, which could negatively affect our operating results.</w:t>
      </w:r>
    </w:p>
    <w:p>
      <w:pPr>
        <w:spacing w:after="0" w:line="5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food and other supply costs. Various factors beyond our control, including adverse weather conditions, governmental regulation and monetary policy, product availability, recalls of food products, and seasonality, as well as the effects of the current macroeconomic environment on our suppliers, may affect our commodity costs or cause a disruption in our supply chain. In an effort to mitigate some of this risk,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which could increase our costs, cause shortages of food and other items at our stores and cause us to remove certain items from our menu. Changes in the price or availability of commodities for which we do not have short-term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other supplies. Also, the unplanned loss of a major distributor could adversely affect our business by disrupting our operations as we seek out and</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6" w:lineRule="auto"/>
        <w:rPr>
          <w:sz w:val="20"/>
          <w:szCs w:val="20"/>
          <w:color w:val="auto"/>
        </w:rPr>
      </w:pPr>
      <w:r>
        <w:rPr>
          <w:rFonts w:ascii="Times New Roman" w:cs="Times New Roman" w:eastAsia="Times New Roman" w:hAnsi="Times New Roman"/>
          <w:sz w:val="18"/>
          <w:szCs w:val="18"/>
          <w:color w:val="auto"/>
        </w:rPr>
        <w:t>negotiate a new distribution contract. If we have to pay higher prices for food or other supplies, our operating costs may increase, and, if we are unable to adjust our purchasing practices or pass such cost increases on to our customers by changing menu or game prices, our operating results could be adversely affected.</w:t>
      </w:r>
    </w:p>
    <w:p>
      <w:pPr>
        <w:spacing w:after="0" w:line="280" w:lineRule="exact"/>
        <w:rPr>
          <w:sz w:val="20"/>
          <w:szCs w:val="20"/>
          <w:color w:val="auto"/>
        </w:rPr>
      </w:pPr>
    </w:p>
    <w:p>
      <w:pPr>
        <w:ind w:left="2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susceptible to the availability of systems and services provided by third-parties, which subject us to possible risk of shortages and interruptions.</w:t>
      </w:r>
    </w:p>
    <w:p>
      <w:pPr>
        <w:spacing w:after="0" w:line="51"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rely on third-party service providers for certain key elements of our operations including credit card processing, telecommunications and utilities. The unplanned loss of services from a major provider could adversely affect our business as we seek out and negotiate for alternate sources of service. We may be unable to replace service providers in a short period of time on acceptable terms, which could limit our operations and increase our costs. If our cost of services increases, we may be unable to pass such cost increases on to our customers, and our operating results could be adversely affected.</w:t>
      </w:r>
    </w:p>
    <w:p>
      <w:pPr>
        <w:spacing w:after="0" w:line="288" w:lineRule="exact"/>
        <w:rPr>
          <w:sz w:val="20"/>
          <w:szCs w:val="20"/>
          <w:color w:val="auto"/>
        </w:rPr>
      </w:pPr>
    </w:p>
    <w:p>
      <w:pPr>
        <w:ind w:left="20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Food safety incidents at our stores or in our industry or supply chain may adversely affect customer perception of our brands or industry and result in declines in sales and profits.</w:t>
      </w:r>
    </w:p>
    <w:p>
      <w:pPr>
        <w:spacing w:after="0" w:line="5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We cannot guarantee that our supply chain and food safety controls and training will be fully effective in preventing all food safety issues at our stores, including any occurrences of foodborne illnesses such as salmonella, E. coli, Norovirus, or hepatitis A. In addition, we rely on third-party vendors, making it difficult to monitor food safety compliance and increasing the risk that foodborne illness would affect multiple locations rather than a single store. Some foodborne illness incidents could be caused by third-party vendors and distributors outside of our control. New illnesses resistant to our current precautions may develop in the future, or diseases with long incubation periods could arise, that could give rise to claims or allegations on a retroactive basis. One or more instances of foodborne illness in any of our stores or markets or related to food products we sell could negatively affect our store sales nationwide if highly publicized on national media outlets or through social media. This risk exists even if it were later determined that the illness was wrongly attributed to us or one of our stores. Other restaurant chains have experienced incidents related to foodborne illnesses that have had a material adverse effect on their operations. The occurrence of a similar incident at one or more of our stores, or negative publicity or public speculation about an incident, could reduce customer visits to our stores and negatively impact demand for our menu or game offerings.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space subject to long-term, non-cancelable leases.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typically do not own any real property. Payments under our non-cancelable, operating leases account for a significant portion of our operating expenses and we expect the new stores we open in the future will also be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which would have a material adverse effect on us.</w:t>
      </w:r>
    </w:p>
    <w:p>
      <w:pPr>
        <w:spacing w:after="0" w:line="185"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In addition, as each of our leases expires, we may choose not to renew, or may not be able to renew, such existing leases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operate our stores or obtain and maintain licenses and permits necessary for such operation, in compliance with laws, regulations and other requirements, which could adversely affect our business, results of operations or financial condition.</w:t>
      </w:r>
    </w:p>
    <w:p>
      <w:pPr>
        <w:spacing w:after="0" w:line="5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Each store is subject to licensing and regulation by alcoholic beverage control, amusement, health, sanitation, safety, building code and fire agencies in the state, county and/or municipality in which the store is located.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w:t>
      </w:r>
    </w:p>
    <w:p>
      <w:pPr>
        <w:spacing w:after="0" w:line="193"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We are subject to amusement licensing and regulation by the states, counties and municipalities in which our stores are located, as a result of operating certain entertainment games and attractions, including skill-based 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WIN!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w:t>
      </w:r>
    </w:p>
    <w:p>
      <w:pPr>
        <w:spacing w:after="0" w:line="297" w:lineRule="exact"/>
        <w:rPr>
          <w:sz w:val="20"/>
          <w:szCs w:val="20"/>
          <w:color w:val="auto"/>
        </w:rPr>
      </w:pPr>
    </w:p>
    <w:p>
      <w:pPr>
        <w:ind w:left="20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of doing business could increase due to changes in, expanded enforcement of, or adoption of new federal, state or local laws and regulations.</w:t>
      </w:r>
    </w:p>
    <w:p>
      <w:pPr>
        <w:spacing w:after="0" w:line="5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that govern numerous aspects of our business. Changes in, expanded enforcement of, or adoption of new federal, state or local laws and regulations governing minimum wage or living wage requirements; other wage, labor or workplace regulations; taxes; or environmental matters could increase our costs of doing business or impact our operations. In addition, recent healthcare reform legislation could adversely impact our labor costs.</w:t>
      </w:r>
    </w:p>
    <w:p>
      <w:pPr>
        <w:spacing w:after="0" w:line="180"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We are subject to the Fair Labor Standards Act (which governs such matters as minimum wages, gratuities and overtime), along with the Americans with Disabilities Act, various family leave mandates and other federal, state and local laws and regulations that govern working conditions. We have a substantial number of hourly employees who are paid wage rates at or based on the applicable federal, state or local minimum wage. Further, we operate in many states and localities where the minimum wage is significantly higher than the federal minimum wage. We expect continued increases in payroll expenses due to federal, state and local mandated increases in the minimum wage, and we are uncertain of the repercussions, if any, of increased minimum wages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on other expenses. For example, our suppliers may be more severely impacted by higher minimum wage standards, which could result in increased costs to us. In general, we have been able to partially offset cost increases resulting from changes in minimum wage rates by increasing menu or game prices, improving productivity, or through other adjustments, but there can be no assurance that we will be able to continue to do so in the future, and our business, results of operations and financial condition could be adversely affected. Moreover, although none of our employees have been or are now represented by any unions, labor organizations may seek to represent certain of our employees in the future, and if they are successful, our payroll expenses and other labor costs may be increased in the course of collective bargaining, and/or there may be strikes or other work disruptions that may adversely affect our business.</w:t>
      </w:r>
    </w:p>
    <w:p>
      <w:pPr>
        <w:spacing w:after="0" w:line="18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Uncertainty continues to exist with respect to the future of the Patient Protection and Affordable Care Act as amended by the Health Care and Education Affordability Reconciliation Act of 2010 (“PPACA”) and such uncertainty makes planning difficult year over year. Any significant changes to the healthcare insurance system, including a dismantling of PPACA in whole or in part and/or implementation of a supplementary and/or replacement healthcare insurance system, could impact our healthcare costs. Additionally, our distributors and suppliers also may be affected by higher health care-related costs, which could result in higher costs for goods and services supplied to us. There are no assurances that a combination of cost management and price increases can accommodate the costs associated with compliance.</w:t>
      </w:r>
    </w:p>
    <w:p>
      <w:pPr>
        <w:spacing w:after="0" w:line="188"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In May 2018, federal disclosure requirements went into effect under PPACA requiring new menu nutritional labeling requirements, including the requirement to publish the total number of calories of standard menu items on menus, along with a statement that puts this calorie information in the context of a total daily calorie intake. The PPACA also requires us to provide to consumers, upon request, a written summary of detailed nutritional information for each standard menu item, and to provide a statement on menus about the availability of this information. The PPACA also permits the Food and Drug Administration to require us to make additional nutrient disclosures, such as disclosure of trans-fat content. An unfavorable report on, or reaction to, our menu ingredients, the size of our portions, or the nutritional content of our menu items could negatively influence the demand for our offerings. We cannot make any assurances regarding our ability to effectively respond to changes in consumer health perceptions or our ability to successfully implement the nutrient content disclosure requirements and to adapt our menu offerings to trends and eating habits.</w:t>
      </w:r>
    </w:p>
    <w:p>
      <w:pPr>
        <w:spacing w:after="0" w:line="185"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Immigration reform continues to attract significant attention in the public arena and the U.S. Congress. If new immigration legislation is enacted, such laws may contain provisions that could increase our costs in recruiting, training and retaining employees. Also, although our hiring practices comply with the requirements of federal law in reviewing employees’ citizenship or authority to work in the United States, increased enforcement efforts with respect to existing immigration laws by governmental authorities may disrupt a portion of our workforce or our operations at one or more of our stores, thereby negatively impacting our business.</w:t>
      </w:r>
    </w:p>
    <w:p>
      <w:pPr>
        <w:spacing w:after="0" w:line="184"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We are also subject to federal, state and local environmental laws, regulations and other requirements. More stringent and varied requirements of local and state governmental bodies with respect to zoning, land use and environmental factors could delay or prevent development of new stores in certain locations. Environmental laws and regulations also govern, among other things, discharges of pollutants into the air and water as well as the presence, handling, release and disposal of and exposure to hazardous substances. These laws provide for significant fines and penalties for noncompliance. Third parties may also make personal injury, property damage or other claims against us associated with actual or alleged release of, or exposure to, hazardous substances at our properties. We could also be strictly liable, without regard to fault, for certain environmental conditions at properties we formerly owned or operated as well as at our current properties.</w:t>
      </w:r>
    </w:p>
    <w:p>
      <w:pPr>
        <w:spacing w:after="0" w:line="189"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Our sales and results of operations may be adversely affected by climate change and the passage of other environmental legislation and regulations. The costs and other effects of new legal requirements cannot be determined with certainty. For example, new legislation or regulations may result in increased costs directly for our compliance or indirectly to the extent that such requirements increase prices charged to us by vendors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because of increased compliance costs. At this point, we are unable to determine the impact that climate change and other environmental legislation and regulations could have on our overall business.</w:t>
      </w:r>
    </w:p>
    <w:p>
      <w:pPr>
        <w:spacing w:after="0" w:line="266" w:lineRule="exact"/>
        <w:rPr>
          <w:sz w:val="20"/>
          <w:szCs w:val="20"/>
          <w:color w:val="auto"/>
        </w:rPr>
      </w:pPr>
    </w:p>
    <w:p>
      <w:pPr>
        <w:ind w:left="20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recruit and retain qualified store management and operating personnel while also controlling our labor costs.</w:t>
      </w:r>
    </w:p>
    <w:p>
      <w:pPr>
        <w:spacing w:after="0" w:line="5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must continue to attract, retain and motivate qualified management and operating personnel to maintain consistency in our service, hospitality, quality and atmosphere of our stores, in the United States and Canada. Qualified management and operating personnel are typically in high demand. If we are unable to attract and retain a satisfactory number of qualified management and operating personnel, labor shortages could delay the planned openings of new stores or adversely impact our existing stores. Any such delays, material increases in employee turnover rates in existing stores or widespread employee dissatisfaction could have a material adverse effect on our business and results of operations. Competition for qualified employees could require us to pay higher wages, which could result in higher labor costs and could have a material adverse effect on our results of operations.</w:t>
      </w:r>
    </w:p>
    <w:p>
      <w:pPr>
        <w:spacing w:after="0" w:line="292" w:lineRule="exact"/>
        <w:rPr>
          <w:sz w:val="20"/>
          <w:szCs w:val="20"/>
          <w:color w:val="auto"/>
        </w:rPr>
      </w:pPr>
    </w:p>
    <w:p>
      <w:pPr>
        <w:ind w:left="20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and the ability to successfully implement our strategic direction could be adversely affected if we fail to retain, or effectively respond, to a loss of key management.</w:t>
      </w:r>
    </w:p>
    <w:p>
      <w:pPr>
        <w:spacing w:after="0" w:line="51"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Our future success significantly depends on the continued service and performance of our key management personnel. We have employment agreements with all members of senior management. However, we cannot prevent members of senior management from terminating their employment with us. Losing the services of members of senior management could materially harm our business until a suitable replacement is found, and such replacement may not have equal experience and capabilities. In addition, we have not purchased life insurance on any members of our senior management.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design and execute a business strategy plan, our revenues and profitability may be adversely affected.</w:t>
      </w:r>
    </w:p>
    <w:p>
      <w:pPr>
        <w:spacing w:after="0" w:line="121"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Our ability to increase revenues and profitability is dependent on designing and executing effective business strategies. If we are delayed or unsuccessful in executing our strategies or if our strategies do not yield the desired results, our business, financial condition and results of operations may suffer. Our ability to meet our business strategy plan is dependent upon, among other things, our ability to:</w:t>
      </w:r>
    </w:p>
    <w:p>
      <w:pPr>
        <w:spacing w:after="0" w:line="82" w:lineRule="exact"/>
        <w:rPr>
          <w:sz w:val="20"/>
          <w:szCs w:val="20"/>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gross sales and operating profits at our existing stores with game, food and beverage options desired by our customers;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 our marketing and branding strategies to appeal to our customers;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implement technology initiatives to provide a unique digital customer experience;</w:t>
      </w:r>
    </w:p>
    <w:p>
      <w:pPr>
        <w:spacing w:after="0" w:line="130" w:lineRule="exact"/>
        <w:rPr>
          <w:rFonts w:ascii="Times New Roman" w:cs="Times New Roman" w:eastAsia="Times New Roman" w:hAnsi="Times New Roman"/>
          <w:sz w:val="18"/>
          <w:szCs w:val="18"/>
          <w:color w:val="auto"/>
        </w:rPr>
      </w:pPr>
    </w:p>
    <w:p>
      <w:pPr>
        <w:ind w:left="1060" w:right="240" w:hanging="424"/>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adequate sources of capital to fund and finance strategic initiatives, including new store openings, remodeling existing stores and new game development;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and expand operations, including identifying available, suitable and economically viable sites for new stores;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speed and quality of our service.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with our gift cards under the property laws of some states.</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24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82" w:lineRule="auto"/>
        <w:rPr>
          <w:sz w:val="20"/>
          <w:szCs w:val="20"/>
          <w:color w:val="auto"/>
        </w:rPr>
      </w:pPr>
      <w:r>
        <w:rPr>
          <w:rFonts w:ascii="Times New Roman" w:cs="Times New Roman" w:eastAsia="Times New Roman" w:hAnsi="Times New Roman"/>
          <w:sz w:val="18"/>
          <w:szCs w:val="18"/>
          <w:color w:val="auto"/>
        </w:rPr>
        <w:t>time that the cards are inactive. To date we have not remitted any amounts relating to unredeemed gift cards to states based upon our assessment of applicable laws.</w:t>
      </w:r>
    </w:p>
    <w:p>
      <w:pPr>
        <w:spacing w:after="0" w:line="162" w:lineRule="exact"/>
        <w:rPr>
          <w:sz w:val="20"/>
          <w:szCs w:val="20"/>
          <w:color w:val="auto"/>
        </w:rPr>
      </w:pPr>
    </w:p>
    <w:p>
      <w:pPr>
        <w:ind w:left="200" w:right="20" w:firstLine="441"/>
        <w:spacing w:after="0" w:line="277" w:lineRule="auto"/>
        <w:rPr>
          <w:sz w:val="20"/>
          <w:szCs w:val="20"/>
          <w:color w:val="auto"/>
        </w:rPr>
      </w:pPr>
      <w:r>
        <w:rPr>
          <w:rFonts w:ascii="Times New Roman" w:cs="Times New Roman" w:eastAsia="Times New Roman" w:hAnsi="Times New Roman"/>
          <w:sz w:val="17"/>
          <w:szCs w:val="17"/>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w:t>
      </w:r>
    </w:p>
    <w:p>
      <w:pPr>
        <w:spacing w:after="0" w:line="168"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Our Power Cards may raise similar concerns to gift cards in terms of the applicability of state abandoned and unclaimed property laws. However, based on our analysis of abandoned and unclaimed property laws, we believe that our Power Cards are not stored value cards and such laws do not apply, although there can be no assurance that states will not take a different position.</w:t>
      </w:r>
    </w:p>
    <w:p>
      <w:pPr>
        <w:spacing w:after="0" w:line="280" w:lineRule="exact"/>
        <w:rPr>
          <w:sz w:val="20"/>
          <w:szCs w:val="20"/>
          <w:color w:val="auto"/>
        </w:rPr>
      </w:pPr>
    </w:p>
    <w:p>
      <w:pPr>
        <w:ind w:left="20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 complaints or litigation on behalf of our customers or employees may adversely affect our business, results of operations or financial condition.</w:t>
      </w:r>
    </w:p>
    <w:p>
      <w:pPr>
        <w:spacing w:after="0" w:line="5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Our business may be adversely affected by legal or governmental proceedings brought by or on behalf of our customers or employees.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could also face potential liability (which could be material) if we are found to have misclassified certain employees as exempt from the overtime requirements of the federal Fair Labor Standards Act and state labor laws, or if we are found to have failed to provide or continue health insurance or benefits to our employees in violation of the Employee Retirement Income Security Act or the PPACA.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w:t>
      </w:r>
    </w:p>
    <w:p>
      <w:pPr>
        <w:spacing w:after="0" w:line="18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Recent litigation against restaurant chains has resulted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Also, adverse publicity resulting from these allegations may materially affect our stores and us.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Local conditions, adverse weather conditions, natural disasters and acts of violence or terrorism, could adversely affect our business.</w:t>
      </w:r>
    </w:p>
    <w:p>
      <w:pPr>
        <w:spacing w:after="0" w:line="121" w:lineRule="exact"/>
        <w:rPr>
          <w:sz w:val="20"/>
          <w:szCs w:val="20"/>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Certain of the regions in which our stores are located have been, and may in the future be, subject to adverse local conditions, events, terrorist attacks, adverse weather conditions, or natural disasters, such as earthquakes, floods and hurricanes. Depending upon its magnitude, a natural disaster could severely damage our stores, which could adversely affect our business, results of operations or financial condition. Our corporate headquarters, company-owned distribution center, game repair facility and our data center, as well as our backup data facility, are all located in Dallas, Texas. A natural or man-made disaster could significantly impact our ability to provide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24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Times New Roman" w:cs="Times New Roman" w:eastAsia="Times New Roman" w:hAnsi="Times New Roman"/>
          <w:sz w:val="18"/>
          <w:szCs w:val="18"/>
          <w:color w:val="auto"/>
        </w:rPr>
        <w:t>services and systems to our stores and negatively impact store operations throughout our operations. We currently maintain property and business interruption insurance through the aggregate property policy for each of our stores. However, if there is a major disaster, such coverage may not be adequate. In addition, upon the expiration of our current insurance policies, adequate insurance coverage may not be available at reasonable rates, or at all. Any act of violence at or threatened against our stores or the centers in which they are located, including active shooter situations and terrorist activities, may result in restricted access to our stores and/or store closures in the short-term and, in the long term, may cause our customers and employees to avoid visiting our stores. Any such situation could adversely impact cash flows and make it more difficult to fully staff our stores, which could materially adversely affect our business.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Our intellectual property is essential to our success and competitive position. We use a combination of intellectual property rights, such as trademarks and trade secrets, to protect our brand and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the value of our image, brand and the goodwill associated therewith may be diminished, our brand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w:t>
      </w:r>
    </w:p>
    <w:p>
      <w:pPr>
        <w:spacing w:after="0" w:line="186"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As a consequence of such claims, we could be required to pay a substantial damage award, take a royalty-bearing license, discontinue the use of third-party products used within our operations and/or rebrand our products and services.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interruptions may impact our operations.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rely heavily on various information technology systems, including point-of-sale, kiosk and amusement operations systems in our stores, data centers that process transactions, communication systems and various other software applications used throughout our operations. Some of these systems have been internally developed or we may rely on third party providers and platforms for some of these information technology systems and support.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Our reliance on third party systems also present the risk faced by the third party’s business, including the operational, security and credit risks of those parties. If those systems were to fail or otherwise be unavailable, and we were unable to timely recover, we could experience an interruption in our operations.</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24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unauthorized access to, theft or destruction of, customer or employee personal, financial or other data or of our proprietary or confidential information that is stored in our information systems or by third parties on our behalf could impact our reputation and brand and expose us to potential liability and loss of revenues.</w:t>
      </w:r>
    </w:p>
    <w:p>
      <w:pPr>
        <w:spacing w:after="0" w:line="6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 changes and the development of new administrative processes, and if we fail to comply with laws and regulations regarding privacy and security, we could be exposed to risks of fines, investigations, litigation and disruption of our operations.</w:t>
      </w:r>
    </w:p>
    <w:p>
      <w:pPr>
        <w:spacing w:after="0" w:line="188"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receive and maintain certain personal information from our customers, employees and vendors, and we process customer payments using payment information. Customers and employees have a high expectation that we will adequately protect their personal information. Third parties may have the technology or know-how to breach the security of this customer information, and our security measures and those of our technology vendors may not effectively prohibit others from obtaining improper access to this information. A number of restaurant operators and retailers have experienced security breaches in which credit and debit card information may have been stolen. Although we employ security technologies and practices and have taken other steps to try to prevent a breach, we may nevertheless not have the resources or technical sophistication to prevent rapidly evolving types of cyberattacks. In fiscal 2007, there was an external breach of our credit card processing systems, which led to fraudulent credit card activity and resulted in the payment of fines and reimbursements for the fraudulent credit card activity. As part of a settlement with the Federal Trade Commission, we have implemented a series of corrective measures in order to ensure that our computer systems are secure and that our customers’ personal information is protected. If in the future, we experience another security breach, we could become subject to claims, lawsuits or other proceedings for purportedly fraudulent transactions arising out of the theft of credit or debit card information, compromised security and information systems, failure of our employees to comply with applicable laws, the unauthorized acquisition or use of such information by third parties, or other similar claims. In addition, such breach could put us in violation of our settlement agreement with the Federal Trade Commission. Any such incidents or proceedings could disrupt the operation of our stores, adversely affect our reputation, consumer confidence, and our results of operations, or result in the imposition of penalties or cause us to incur significant unplanned losses and expenditures, including those necessary to remediate any damage to persons whose personal information may have been compromised. Although we have established a cybersecurity policy, which includes procedures designed to increase transparency and address our customers’ concerns regarding data breaches (whether actual or perceived), the policy may not be effective in addressing those concerns, which may in turn adversely affect our reputation and customer confidence.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otherwise may be insufficient to cover all our losses beyond any retention. Further, in light of recent court rulings, there is uncertainty as to whether traditional commercial general liability policies will be construed to cover the expenses related to cyberattacks and breaches if credit and debit card information is stolen.</w:t>
      </w:r>
    </w:p>
    <w:p>
      <w:pPr>
        <w:spacing w:after="0" w:line="18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We are required to maintain the highest level of Payment Card Industry (“PCI”) Data Security Standard compliance at our corporate office and stores. As part of an overall security program and to meet PCI standards, we undergo regular external vulnerability scans and we are reviewed by a third-party assessor. As PCI standards change, we may be required to implement additional security measures. If we do not maintain the required level of PCI compliance, we could be subject to costly fines or additional fees from the card brands that we accept or lose our ability to accept those payment cards.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subject to volatility.</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restaurant and other entertainment industries, and announcement of significant transactions (including mergers or acquisitions, divestitures, joint ventures or other strategic initiatives) by us or others in the restaurant and other entertainment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harm our business and financial results.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 principles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including such a failure by third party service providers on whose controls we rely, could limit our ability to report our financial results accurately and timely or to detect and prevent fraud. A significant financial reporting failure or material weakness in internal control over financial reporting could result in substantial cost to remediate and could cause a loss of investor confidence and decline in the market price of our stock.</w:t>
      </w:r>
    </w:p>
    <w:p>
      <w:pPr>
        <w:spacing w:after="0" w:line="289" w:lineRule="exact"/>
        <w:rPr>
          <w:sz w:val="20"/>
          <w:szCs w:val="20"/>
          <w:color w:val="auto"/>
        </w:rPr>
      </w:pPr>
    </w:p>
    <w:p>
      <w:pPr>
        <w:ind w:left="20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may discourage, delay or prevent a change of control of our company or changes in our management and, therefore, may depress the trading price of our stock.</w:t>
      </w:r>
    </w:p>
    <w:p>
      <w:pPr>
        <w:spacing w:after="0" w:line="51"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certain provisions that could have the effect of discouraging, delaying or preventing a change of control of our Company or changes in our management, including, among other things:</w:t>
      </w:r>
    </w:p>
    <w:p>
      <w:pPr>
        <w:spacing w:after="0" w:line="67" w:lineRule="exact"/>
        <w:rPr>
          <w:sz w:val="20"/>
          <w:szCs w:val="20"/>
          <w:color w:val="auto"/>
        </w:rPr>
      </w:pPr>
    </w:p>
    <w:p>
      <w:pPr>
        <w:ind w:left="1060" w:hanging="42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stockholders to fill a vacancy on the Board of Directors;</w:t>
      </w:r>
    </w:p>
    <w:p>
      <w:pPr>
        <w:spacing w:after="0" w:line="130"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preferred stock with terms that the Board of Directors may determine,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 of stockholders;</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upon the request of a majority of our Board of Directors or our Chief Executive Officer;</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in the election of directors, which may limit the ability of minority stockholders to elect directors; and</w:t>
      </w:r>
    </w:p>
    <w:p>
      <w:pPr>
        <w:spacing w:after="0" w:line="130"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which may discourage or deter a potential acquirer from soliciting proxies to elect a particular slate of directors or otherwise attempting to obtain control of us.</w:t>
      </w:r>
    </w:p>
    <w:p>
      <w:pPr>
        <w:spacing w:after="0" w:line="162"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resulting regulations could result in changes to our tax provisions and subject us to additional tax liabilities that could materially adversely affect our financial performance.</w:t>
      </w:r>
    </w:p>
    <w:p>
      <w:pPr>
        <w:spacing w:after="0" w:line="5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subject to income, sales, use and other taxes in the U.S. and foreign jurisdictions. Changes in applicable U.S. or foreign tax laws and regulations, such as the December 2017 enactment of Federal legislation commonly referred to as the Tax Cuts and Jobs Act (“Tax Act”), or their interpretation and application, including the possibility of retroactive effect and changes to state tax laws that may occur in response to the Tax Act, could affect our tax expense and profitability. In addition, the final determination of any tax audits or related litigation could be materially different from our historical tax provisions and accruals. Changes in our tax expense or an increase in our tax liabilities, whether due to changes in applicable laws and regulation, the interpretation or application thereof, or a final determination of tax audits or litigation, could materially adversely affect our financial performance.</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 business in the future that we fail to effectively integrate or operate.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Our long-term business strategy may include growth through the acquisition of other businesses. We may not be able to identify attractive acquisition opportunities or successfully acquire identified targets on terms favorable to us. Competition for acquisition opportunities may be substantial and may cause us to refrain from making acquisitions. In addition, we may not be successful in integrating future acquisitions into our existing operations, which may result in unforeseen operational difficulties, diminished financial performance or our inability to report financial results and may require a disproportionate amount of our management’s attention. If we fail to manage future acquisitions effectively, our results of operations could be adversely affected.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Acquisitions that we complete could present several additional risks, including but not limited to:</w:t>
      </w:r>
    </w:p>
    <w:p>
      <w:pPr>
        <w:spacing w:after="0" w:line="131" w:lineRule="exact"/>
        <w:rPr>
          <w:sz w:val="20"/>
          <w:szCs w:val="20"/>
          <w:color w:val="auto"/>
        </w:rPr>
      </w:pPr>
    </w:p>
    <w:p>
      <w:pPr>
        <w:ind w:left="1060" w:right="20" w:hanging="424"/>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regarding the future results of acquired operations or assets or expected cost reductions or other synergies expected to be realized from acquiring operations or assets;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the operations or management of any acquired operations or assets successfully and timely;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and customers of the acquired companies;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lack of experience operating in a geographic market or product line of the acquired business;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expenses, particularly overhead expenses, and working capital requirements;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to achieve the intended objectives of the business combination;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existing operations or other priorities.</w:t>
      </w:r>
    </w:p>
    <w:p>
      <w:pPr>
        <w:spacing w:after="0" w:line="370"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24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As of February 3, 2019, we lease the building or site of all our 121 operating stores. The table below shows the locations of our operating stores as of February 3, 2019:</w:t>
      </w:r>
    </w:p>
    <w:p>
      <w:pPr>
        <w:spacing w:after="0" w:line="182" w:lineRule="exact"/>
        <w:rPr>
          <w:sz w:val="20"/>
          <w:szCs w:val="20"/>
          <w:color w:val="auto"/>
        </w:rPr>
      </w:pPr>
    </w:p>
    <w:tbl>
      <w:tblPr>
        <w:tblLayout w:type="fixed"/>
        <w:tblInd w:w="19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580" w:type="dxa"/>
            <w:vAlign w:val="bottom"/>
          </w:tcPr>
          <w:p>
            <w:pPr>
              <w:spacing w:after="0"/>
              <w:rPr>
                <w:sz w:val="16"/>
                <w:szCs w:val="16"/>
                <w:color w:val="auto"/>
              </w:rPr>
            </w:pPr>
          </w:p>
        </w:tc>
        <w:tc>
          <w:tcPr>
            <w:tcW w:w="3340" w:type="dxa"/>
            <w:vAlign w:val="bottom"/>
            <w:gridSpan w:val="3"/>
          </w:tcPr>
          <w:p>
            <w:pPr>
              <w:ind w:left="29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Alabama</w:t>
            </w:r>
          </w:p>
        </w:tc>
        <w:tc>
          <w:tcPr>
            <w:tcW w:w="2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Hawaii</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Idaho</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Illlinois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Kansas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Kentucky</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Lousiana</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Nebraska</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Oregon</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Puerto Rico</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Ontario, Canada</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contracted lease terms, including renewal options, generally range from 20 to 40 years. Our leases typically provide for a minimum annual rent plus contingent rent to be determined as a percentage of the applicable store’s annual gross revenues. In fiscal 2018 we paid contingent rent in 33 of our stores. Generally,</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24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leases are “net leases” that require us to pay our pro rata share of taxes, insurance and maintenance costs. All our leases include renewal options that give us the opportunity to extend the lease terms through 2023 or later. During fiscal 2018, we also purchased land for a future site in Wichita, Kansas. Additionally, as of February 3, 2019, we have signed 24 lease agreements for future store openings, including ten stores that are under construction, and these future locations are excluded from the table above. During the first quarter of fiscal 2019 we closed a store in Georgia as a result of our decision not to renew the lease.</w:t>
      </w:r>
    </w:p>
    <w:p>
      <w:pPr>
        <w:spacing w:after="0" w:line="184" w:lineRule="exact"/>
        <w:rPr>
          <w:sz w:val="20"/>
          <w:szCs w:val="20"/>
          <w:color w:val="auto"/>
        </w:rPr>
      </w:pPr>
    </w:p>
    <w:p>
      <w:pPr>
        <w:jc w:val="both"/>
        <w:ind w:left="200" w:firstLine="441"/>
        <w:spacing w:after="0" w:line="261" w:lineRule="auto"/>
        <w:rPr>
          <w:sz w:val="20"/>
          <w:szCs w:val="20"/>
          <w:color w:val="auto"/>
        </w:rPr>
      </w:pPr>
      <w:r>
        <w:rPr>
          <w:rFonts w:ascii="Times New Roman" w:cs="Times New Roman" w:eastAsia="Times New Roman" w:hAnsi="Times New Roman"/>
          <w:sz w:val="18"/>
          <w:szCs w:val="18"/>
          <w:color w:val="auto"/>
        </w:rPr>
        <w:t>In addition to our leased stores, we lease a 47,000 square foot office building and 30,000 square foot warehouse facility in Dallas, Texas for use as our corporate headquarters and distribution center. This lease expires in October 2021, with options to renew until October 2041. We also lease a 43,000 square foot warehouse facility in Dallas, Texas for use as additional warehouse space. This lease will expire in September 2022, with an option to renew until September 2027.</w:t>
      </w:r>
    </w:p>
    <w:p>
      <w:pPr>
        <w:spacing w:after="0" w:line="325"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10 of Notes to Consolidated Financial Statements for a summary of legal proceedings.</w:t>
      </w:r>
    </w:p>
    <w:p>
      <w:pPr>
        <w:spacing w:after="0" w:line="329"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80"/>
          </w:cols>
          <w:pgMar w:left="24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00" w:right="13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and Dividend Policy</w:t>
      </w:r>
    </w:p>
    <w:p>
      <w:pPr>
        <w:ind w:left="640"/>
        <w:spacing w:after="0"/>
        <w:rPr>
          <w:sz w:val="20"/>
          <w:szCs w:val="20"/>
          <w:color w:val="auto"/>
        </w:rPr>
      </w:pPr>
      <w:r>
        <w:rPr>
          <w:rFonts w:ascii="Times New Roman" w:cs="Times New Roman" w:eastAsia="Times New Roman" w:hAnsi="Times New Roman"/>
          <w:sz w:val="18"/>
          <w:szCs w:val="18"/>
          <w:color w:val="auto"/>
        </w:rPr>
        <w:t>The Company’s common stock trades under the symbol PLAY and is listed on the NASDAQ Global Market (“NASDAQ”).</w:t>
      </w:r>
    </w:p>
    <w:p>
      <w:pPr>
        <w:spacing w:after="0" w:line="225"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number of shareholders of record of the Company’s common stock as of March 26, 2019 was estimated to be 261. During the third quarter of fiscal 2018, our Board of Directors declared our first quarterly dividend of $0.15 per share of common stock, and a second quarterly dividend ($0.15 per share of common stock) was declared by our Board of Directors during the fourth quarter of fiscal 2018. Our Board of Directors authorized a quarterly dividend payment during the first quarter of fiscal 2019, which will be distributed on April 10, 2019, to shareholders of record at the close of business on March 26, 2019. The declaration and payment of cash dividends on our common stock is at the discretion of our Board of Directors, and any decision to declare a dividend will be based on several factors, including our operating performance, financial condition, capital expenditure requirements and other factors the Board of Directors considers relevant.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Information regarding repurchase of our common stock during the fourth quarter ended February 3, 2019:</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2"/>
                <w:szCs w:val="12"/>
                <w:b w:val="1"/>
                <w:bCs w:val="1"/>
                <w:color w:val="auto"/>
              </w:rPr>
              <w:t>(1)</w:t>
            </w:r>
          </w:p>
        </w:tc>
        <w:tc>
          <w:tcPr>
            <w:tcW w:w="46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as Part of</w:t>
            </w:r>
          </w:p>
        </w:tc>
        <w:tc>
          <w:tcPr>
            <w:tcW w:w="2660" w:type="dxa"/>
            <w:vAlign w:val="bottom"/>
            <w:gridSpan w:val="4"/>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 Plan</w:t>
            </w:r>
          </w:p>
        </w:tc>
        <w:tc>
          <w:tcPr>
            <w:tcW w:w="0" w:type="dxa"/>
            <w:vAlign w:val="bottom"/>
          </w:tcPr>
          <w:p>
            <w:pPr>
              <w:spacing w:after="0"/>
              <w:rPr>
                <w:sz w:val="1"/>
                <w:szCs w:val="1"/>
                <w:color w:val="auto"/>
              </w:rPr>
            </w:pPr>
          </w:p>
        </w:tc>
      </w:tr>
      <w:tr>
        <w:trPr>
          <w:trHeight w:val="160"/>
        </w:trPr>
        <w:tc>
          <w:tcPr>
            <w:tcW w:w="27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740" w:type="dxa"/>
            <w:vAlign w:val="bottom"/>
            <w:gridSpan w:val="3"/>
          </w:tcPr>
          <w:p>
            <w:pPr>
              <w:ind w:left="800"/>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5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Publicly Announced Plan </w:t>
            </w:r>
            <w:r>
              <w:rPr>
                <w:rFonts w:ascii="Times New Roman" w:cs="Times New Roman" w:eastAsia="Times New Roman" w:hAnsi="Times New Roman"/>
                <w:sz w:val="12"/>
                <w:szCs w:val="12"/>
                <w:b w:val="1"/>
                <w:bCs w:val="1"/>
                <w:color w:val="auto"/>
              </w:rPr>
              <w:t>(2)</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November 5, 2018 —</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2, 2018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134,411</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134,411</w:t>
            </w:r>
          </w:p>
        </w:tc>
        <w:tc>
          <w:tcPr>
            <w:tcW w:w="9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December 3, 2018 — January 6,</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2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780,441</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780,441</w:t>
            </w:r>
          </w:p>
        </w:tc>
        <w:tc>
          <w:tcPr>
            <w:tcW w:w="9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7, 2019 — February 3,</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2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393,800</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393,800</w:t>
            </w:r>
          </w:p>
        </w:tc>
        <w:tc>
          <w:tcPr>
            <w:tcW w:w="9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0" w:hanging="436"/>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Monthly information is presented by reference to our fiscal periods during the fourth quarter ended February 3, 2019.</w:t>
      </w:r>
    </w:p>
    <w:p>
      <w:pPr>
        <w:spacing w:after="0" w:line="27" w:lineRule="exact"/>
        <w:rPr>
          <w:rFonts w:ascii="Times New Roman" w:cs="Times New Roman" w:eastAsia="Times New Roman" w:hAnsi="Times New Roman"/>
          <w:sz w:val="15"/>
          <w:szCs w:val="15"/>
          <w:color w:val="auto"/>
        </w:rPr>
      </w:pPr>
    </w:p>
    <w:p>
      <w:pPr>
        <w:ind w:left="640" w:right="20" w:hanging="436"/>
        <w:spacing w:after="0" w:line="253" w:lineRule="auto"/>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Our Board of Directors has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February 3, 2019, the Company had a total share repurchase authorization of $400,000 which expires at the end of fiscal 2020. On April 2, 2019, our Board of Directors approved an additional $200,000 in authorization under our existing share repurchase program.</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240" w:top="455" w:right="4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following performance graph depicts the total returns to shareholders for the period from October 10, 2014 (the date when our common stock first started trading) through February 3, 2019, relative to the performance of the NASDAQ Composite Index, Standard &amp; Poor’s (“S&amp;P”) 600 Small Cap Index and S&amp;P’s 600 Consumer Discretionary Index. All indices shown in the graph have been set at a base of 100 as of October 10, 2014 and assume an investment of $100 on that date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145415</wp:posOffset>
            </wp:positionV>
            <wp:extent cx="4707890" cy="2066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0789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color w:val="auto"/>
              </w:rPr>
              <w:t>Period Ended</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10/10/2014</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2/1/2015</w:t>
            </w:r>
          </w:p>
        </w:tc>
        <w:tc>
          <w:tcPr>
            <w:tcW w:w="920" w:type="dxa"/>
            <w:vAlign w:val="bottom"/>
            <w:gridSpan w:val="2"/>
          </w:tcPr>
          <w:p>
            <w:pPr>
              <w:jc w:val="center"/>
              <w:ind w:left="174"/>
              <w:spacing w:after="0" w:line="142" w:lineRule="exact"/>
              <w:rPr>
                <w:sz w:val="20"/>
                <w:szCs w:val="20"/>
                <w:color w:val="auto"/>
              </w:rPr>
            </w:pPr>
            <w:r>
              <w:rPr>
                <w:rFonts w:ascii="Times New Roman" w:cs="Times New Roman" w:eastAsia="Times New Roman" w:hAnsi="Times New Roman"/>
                <w:sz w:val="14"/>
                <w:szCs w:val="14"/>
                <w:color w:val="auto"/>
              </w:rPr>
              <w:t>1/31/2016</w:t>
            </w:r>
          </w:p>
        </w:tc>
        <w:tc>
          <w:tcPr>
            <w:tcW w:w="900" w:type="dxa"/>
            <w:vAlign w:val="bottom"/>
            <w:gridSpan w:val="2"/>
          </w:tcPr>
          <w:p>
            <w:pPr>
              <w:jc w:val="center"/>
              <w:ind w:left="154"/>
              <w:spacing w:after="0" w:line="142" w:lineRule="exact"/>
              <w:rPr>
                <w:sz w:val="20"/>
                <w:szCs w:val="20"/>
                <w:color w:val="auto"/>
              </w:rPr>
            </w:pPr>
            <w:r>
              <w:rPr>
                <w:rFonts w:ascii="Times New Roman" w:cs="Times New Roman" w:eastAsia="Times New Roman" w:hAnsi="Times New Roman"/>
                <w:sz w:val="14"/>
                <w:szCs w:val="14"/>
                <w:color w:val="auto"/>
              </w:rPr>
              <w:t>1/29/2017</w:t>
            </w:r>
          </w:p>
        </w:tc>
        <w:tc>
          <w:tcPr>
            <w:tcW w:w="920" w:type="dxa"/>
            <w:vAlign w:val="bottom"/>
            <w:gridSpan w:val="2"/>
          </w:tcPr>
          <w:p>
            <w:pPr>
              <w:jc w:val="center"/>
              <w:ind w:left="174"/>
              <w:spacing w:after="0" w:line="142" w:lineRule="exact"/>
              <w:rPr>
                <w:sz w:val="20"/>
                <w:szCs w:val="20"/>
                <w:color w:val="auto"/>
              </w:rPr>
            </w:pPr>
            <w:r>
              <w:rPr>
                <w:rFonts w:ascii="Times New Roman" w:cs="Times New Roman" w:eastAsia="Times New Roman" w:hAnsi="Times New Roman"/>
                <w:sz w:val="14"/>
                <w:szCs w:val="14"/>
                <w:color w:val="auto"/>
              </w:rPr>
              <w:t>2/4/2018</w:t>
            </w:r>
          </w:p>
        </w:tc>
        <w:tc>
          <w:tcPr>
            <w:tcW w:w="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2/3/2019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PLAY</w:t>
            </w:r>
          </w:p>
        </w:tc>
        <w:tc>
          <w:tcPr>
            <w:tcW w:w="34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5"/>
              </w:rPr>
              <w:t>$100.00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$ 179.63</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$ 226.69</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$ 342.50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$ 298.13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7"/>
              </w:rPr>
              <w:t>S&amp;P 600</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Cap</w:t>
            </w:r>
          </w:p>
        </w:tc>
        <w:tc>
          <w:tcPr>
            <w:tcW w:w="2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$ 110.16</w:t>
            </w:r>
          </w:p>
        </w:tc>
        <w:tc>
          <w:tcPr>
            <w:tcW w:w="92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w w:val="98"/>
              </w:rPr>
              <w:t>$ 104.99</w:t>
            </w:r>
          </w:p>
        </w:tc>
        <w:tc>
          <w:tcPr>
            <w:tcW w:w="90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rPr>
              <w:t>$ 141.75</w:t>
            </w:r>
          </w:p>
        </w:tc>
        <w:tc>
          <w:tcPr>
            <w:tcW w:w="92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rPr>
              <w:t>$ 161.70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S&amp;P 600</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Discretionary</w:t>
            </w:r>
          </w:p>
        </w:tc>
        <w:tc>
          <w:tcPr>
            <w:tcW w:w="2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$ 116.77</w:t>
            </w:r>
          </w:p>
        </w:tc>
        <w:tc>
          <w:tcPr>
            <w:tcW w:w="920" w:type="dxa"/>
            <w:vAlign w:val="bottom"/>
            <w:gridSpan w:val="2"/>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8"/>
              </w:rPr>
              <w:t>$ 103.57</w:t>
            </w:r>
          </w:p>
        </w:tc>
        <w:tc>
          <w:tcPr>
            <w:tcW w:w="900" w:type="dxa"/>
            <w:vAlign w:val="bottom"/>
            <w:gridSpan w:val="2"/>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$ 121.41</w:t>
            </w:r>
          </w:p>
        </w:tc>
        <w:tc>
          <w:tcPr>
            <w:tcW w:w="920" w:type="dxa"/>
            <w:vAlign w:val="bottom"/>
            <w:gridSpan w:val="2"/>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$ 144.21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2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$ 108.40</w:t>
            </w:r>
          </w:p>
        </w:tc>
        <w:tc>
          <w:tcPr>
            <w:tcW w:w="92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w w:val="98"/>
              </w:rPr>
              <w:t>$ 107.90</w:t>
            </w:r>
          </w:p>
        </w:tc>
        <w:tc>
          <w:tcPr>
            <w:tcW w:w="90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rPr>
              <w:t>$ 132.38</w:t>
            </w:r>
          </w:p>
        </w:tc>
        <w:tc>
          <w:tcPr>
            <w:tcW w:w="92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rPr>
              <w:t>$ 169.33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80" w:type="dxa"/>
            <w:vAlign w:val="bottom"/>
          </w:tcPr>
          <w:p>
            <w:pPr>
              <w:spacing w:after="0"/>
              <w:rPr>
                <w:sz w:val="20"/>
                <w:szCs w:val="20"/>
                <w:color w:val="auto"/>
              </w:rPr>
            </w:pPr>
          </w:p>
        </w:tc>
      </w:tr>
    </w:tbl>
    <w:p>
      <w:pPr>
        <w:spacing w:after="0" w:line="324"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12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is qualified in its entirety by the consolidated financial statements (and the related Notes thereto) contained in Item 8 and should be read in conjunction with “Management’s Discussion and Analysis of Financial Condition and Results of Operations” in Item 7. The statement of operations and cash flows data for each of the fiscal years ended February 3, 2019, February 4, 2018, and January 29, 2017 and the balance sheet data as of February 3, 2019 and February 4, 2018 were derived from our audited consolidated financial statements included elsewhere in this Report. The statement of operations and cash flows data for the fiscal year ended January 31, 2016 and February 1, 2015 and the balance sheet data as of January 29, 2017, January 31, 2016, and February 1, 2015 were derived from our audited consolidated financial statements that are not included elsewhere in this Report.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240" w:top="455" w:right="4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Company’s fiscal year consists of 52 or 53 weeks ending on the Sunday after the Saturday closest to January 31. Each quarterly period has 13 weeks, except in a 53-week year when the fourth quarter has 14 weeks. All fiscal years presented herein consist of 52 weeks, except fiscal 2017 (ended February 4, 2018), which consists of 53 weeks.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1,265,301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1,139,791</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1,005,158</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866,982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(as of end of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(deficit) </w:t>
            </w:r>
            <w:r>
              <w:rPr>
                <w:rFonts w:ascii="Times New Roman" w:cs="Times New Roman" w:eastAsia="Times New Roman" w:hAnsi="Times New Roman"/>
                <w:sz w:val="15"/>
                <w:szCs w:val="15"/>
                <w:color w:val="auto"/>
              </w:rPr>
              <w:t>(1)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(153,297)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(112,918)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15"/>
                <w:szCs w:val="15"/>
                <w:color w:val="auto"/>
              </w:rPr>
              <w:t>(2)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debt, net </w:t>
            </w:r>
            <w:r>
              <w:rPr>
                <w:rFonts w:ascii="Times New Roman" w:cs="Times New Roman" w:eastAsia="Times New Roman" w:hAnsi="Times New Roman"/>
                <w:sz w:val="15"/>
                <w:szCs w:val="15"/>
                <w:color w:val="auto"/>
              </w:rPr>
              <w:t>(2)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180,577</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Stores open at end of period </w:t>
            </w:r>
            <w:r>
              <w:rPr>
                <w:rFonts w:ascii="Times New Roman" w:cs="Times New Roman" w:eastAsia="Times New Roman" w:hAnsi="Times New Roman"/>
                <w:sz w:val="15"/>
                <w:szCs w:val="15"/>
                <w:color w:val="auto"/>
              </w:rPr>
              <w:t>(3)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closed during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39,047,106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41,276,314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41,951,770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40,968,455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35,314,884</w:t>
            </w:r>
          </w:p>
        </w:tc>
        <w:tc>
          <w:tcPr>
            <w:tcW w:w="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39,975,122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42,583,009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43,288,592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42,783,905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37,126,048</w:t>
            </w:r>
          </w:p>
        </w:tc>
        <w:tc>
          <w:tcPr>
            <w:tcW w:w="60" w:type="dxa"/>
            <w:vAlign w:val="bottom"/>
          </w:tcPr>
          <w:p>
            <w:pPr>
              <w:spacing w:after="0"/>
              <w:rPr>
                <w:sz w:val="20"/>
                <w:szCs w:val="20"/>
                <w:color w:val="auto"/>
              </w:rPr>
            </w:pPr>
          </w:p>
        </w:tc>
      </w:tr>
    </w:tbl>
    <w:p>
      <w:pPr>
        <w:spacing w:after="0" w:line="85" w:lineRule="exact"/>
        <w:rPr>
          <w:sz w:val="20"/>
          <w:szCs w:val="20"/>
          <w:color w:val="auto"/>
        </w:rPr>
      </w:pPr>
    </w:p>
    <w:p>
      <w:pPr>
        <w:ind w:left="640" w:hanging="436"/>
        <w:spacing w:after="0"/>
        <w:tabs>
          <w:tab w:leader="none" w:pos="6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Defined as total current assets minus total current liabilities.</w:t>
      </w:r>
    </w:p>
    <w:p>
      <w:pPr>
        <w:spacing w:after="0" w:line="27" w:lineRule="exact"/>
        <w:rPr>
          <w:rFonts w:ascii="Times New Roman" w:cs="Times New Roman" w:eastAsia="Times New Roman" w:hAnsi="Times New Roman"/>
          <w:sz w:val="15"/>
          <w:szCs w:val="15"/>
          <w:color w:val="auto"/>
        </w:rPr>
      </w:pPr>
    </w:p>
    <w:p>
      <w:pPr>
        <w:ind w:left="640" w:right="720" w:hanging="436"/>
        <w:spacing w:after="0" w:line="250" w:lineRule="auto"/>
        <w:tabs>
          <w:tab w:leader="none" w:pos="6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Fiscal 2016 and prior fiscal year balances have been revised to reflect the impact of adopting Accounting Standards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w:t>
      </w:r>
    </w:p>
    <w:p>
      <w:pPr>
        <w:ind w:left="640" w:hanging="436"/>
        <w:spacing w:after="0"/>
        <w:tabs>
          <w:tab w:leader="none" w:pos="6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Included in our counts for all periods presented is our store in Duluth (Atlanta), Georgia which permanently closed on March 3, 2019.</w:t>
      </w:r>
    </w:p>
    <w:p>
      <w:pPr>
        <w:spacing w:after="0" w:line="351"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our audited consolidated financial statements and related notes included herein. Unless otherwise specified, the meanings of all defined terms in “Management’s Discussion and Analysis of Financial Condition and Results of Operations” are consistent with the meanings of such terms as defined in the Notes to Consolidated Financial Statements. This discussion contains statements that are, or may be deemed to be, “forward-looking statements” within the meaning of Section 27A of the Securities Act and Section 21E of the Exchange Act. These forward-looking statements can be identified by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240" w:top="455" w:right="4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annual report as a result of various factors, including those set forth in Item 1A “Risk Factors”. In addition,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is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Our stores average 41,000 square feet, range in size between 16,000 and 66,000 square feet and are open seven days a week, with hours of operation typically from 11:30 a.m. to midnight on Sunday through Thursday and 11:30 a.m. to 2:00 a.m. on Friday and Saturday.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Strategies and Outlook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growth is based primarily on the following strategies:</w:t>
      </w:r>
    </w:p>
    <w:p>
      <w:pPr>
        <w:spacing w:after="0" w:line="131" w:lineRule="exact"/>
        <w:rPr>
          <w:sz w:val="20"/>
          <w:szCs w:val="20"/>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great new stores;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our comparable stores sales;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Dave &amp; Buster’s brand internationally.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further information about our growth strategies and outlook, see Item 1 “Business – Our Growth Strategies”.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158" w:lineRule="exact"/>
        <w:rPr>
          <w:sz w:val="20"/>
          <w:szCs w:val="20"/>
          <w:color w:val="auto"/>
        </w:rPr>
      </w:pPr>
    </w:p>
    <w:p>
      <w:pPr>
        <w:ind w:left="200" w:right="6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year-over-year comparison of sales at stores open at the end of the period that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 for at least 18 months as of the beginning of each of the fiscal years. It is a key performance indicator used within the industry and is indicative of acceptance of our initiatives as well as local economic and consumer trends. Our comparable stores consisted of 86, 76, and 66 stores as of the end of fiscal 2018, 2017 and 2016, respectively.</w:t>
      </w:r>
    </w:p>
    <w:p>
      <w:pPr>
        <w:spacing w:after="0" w:line="177" w:lineRule="exact"/>
        <w:rPr>
          <w:sz w:val="20"/>
          <w:szCs w:val="20"/>
          <w:color w:val="auto"/>
        </w:rPr>
      </w:pPr>
    </w:p>
    <w:p>
      <w:pPr>
        <w:ind w:left="20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During fiscal 2018, we opened fifteen new stores, eight of which were in new markets.</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60"/>
          </w:cols>
          <w:pgMar w:left="240" w:top="455" w:right="4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200" w:right="20" w:firstLine="441"/>
        <w:spacing w:after="0" w:line="252"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the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93" w:lineRule="exact"/>
        <w:rPr>
          <w:sz w:val="20"/>
          <w:szCs w:val="20"/>
          <w:color w:val="auto"/>
        </w:rPr>
      </w:pPr>
    </w:p>
    <w:p>
      <w:pPr>
        <w:ind w:left="200" w:right="26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75"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200" w:right="16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84"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1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80"/>
          </w:cols>
          <w:pgMar w:left="24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Company’s fiscal year consists of 52 or 53 weeks ending on the Sunday after the Saturday closest to January 31. Each quarterly period has 13 weeks, except in a 53-week year when the fourth quarter has 14 weeks. Fiscal 2017, which ended on February 4, 2018, contained 53 weeks. Fiscal 2018 and 2016, which ended on February 3, 2019 and January 29, 2017, respectively, each contained 52 weeks. All dollar amounts are presented in thousands, unless otherwise noted, except share and per share amounts.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left="1060" w:right="50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11% to $1,265,301 in fiscal 2018 compared to $1,139,791 in fiscal 2017. Our revenue growth was primarily influenced by the number of new store openings partially offset by one less week in fiscal 2018.</w:t>
      </w:r>
    </w:p>
    <w:p>
      <w:pPr>
        <w:spacing w:after="0" w:line="67"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decreased 1.6% in fiscal 2018 compared to the comparable 52-week period of fiscal 2017, driven by lower customer volumes.</w:t>
      </w:r>
    </w:p>
    <w:p>
      <w:pPr>
        <w:spacing w:after="0" w:line="67" w:lineRule="exact"/>
        <w:rPr>
          <w:rFonts w:ascii="Times New Roman" w:cs="Times New Roman" w:eastAsia="Times New Roman" w:hAnsi="Times New Roman"/>
          <w:sz w:val="18"/>
          <w:szCs w:val="18"/>
          <w:color w:val="auto"/>
        </w:rPr>
      </w:pPr>
    </w:p>
    <w:p>
      <w:pPr>
        <w:ind w:left="1060" w:right="20" w:hanging="424"/>
        <w:spacing w:after="0" w:line="261"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to $161,000 in fiscal 2018 compared to Operating income of $165,772 in fiscal 2017. Fiscal 2018 operating margin was 12.7% compared to 14.5% in fiscal 2017. The decrease in operating margin in fiscal 2018 was primarily driven by the increased margin pressure on occupancy costs associated with our recent store openings and higher operating payroll and benefits as a percentage of sales, partially offset by favorable leverage of general and administrative costs.</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for fiscal 2018 increased to $2.93 per diluted share, compared to EPS of $2.84 per diluted share in fiscal 2017.</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 were $337,616 in fiscal 2018 compared to $264,672 in fiscal 2017. The increase was primarily due to increased cash flows from additional non-comparable store sales as well as an increase in our net working capital deficit.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$216,286 in fiscal 2018 compared to $219,901 in fiscal 2017.</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Cash Flows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primary source of cash flow is from our operating activities and availability under the revolving credit facility.</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Our new stores typically open with sales volumes that exceed expected long-term run-rate levels, which we refer to as a “honeymoon” effect. We expect our new store sales volumes in year two to be 10% to 20% lower than year one, and to perform in line with the rest of our comparable store base thereafter. Due to the substantial revenues associated with each new store, the number and timing of new store openings will result in significant fluctuations in quarterly results.</w:t>
      </w:r>
    </w:p>
    <w:p>
      <w:pPr>
        <w:spacing w:after="0" w:line="18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80"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the spring and year-end holidays which will continue to be susceptible to the impact of severe or</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80"/>
          </w:cols>
          <w:pgMar w:left="24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2" w:lineRule="auto"/>
        <w:rPr>
          <w:sz w:val="20"/>
          <w:szCs w:val="20"/>
          <w:color w:val="auto"/>
        </w:rPr>
      </w:pPr>
      <w:r>
        <w:rPr>
          <w:rFonts w:ascii="Times New Roman" w:cs="Times New Roman" w:eastAsia="Times New Roman" w:hAnsi="Times New Roman"/>
          <w:sz w:val="18"/>
          <w:szCs w:val="18"/>
          <w:color w:val="auto"/>
        </w:rPr>
        <w:t>unseasonably mild weather on customer traffic and sales during that period. Our third quarter, which encompasses the back-to-school fall season, has historically had lower revenues as compared to other quarters.</w:t>
      </w:r>
    </w:p>
    <w:p>
      <w:pPr>
        <w:spacing w:after="0" w:line="162"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or game price increases where competitively appropriate.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Fiscal 2018 Compared to Fiscal 2017</w:t>
      </w:r>
    </w:p>
    <w:p>
      <w:pPr>
        <w:spacing w:after="0" w:line="117" w:lineRule="exact"/>
        <w:rPr>
          <w:sz w:val="20"/>
          <w:szCs w:val="20"/>
          <w:color w:val="auto"/>
        </w:rPr>
      </w:pPr>
    </w:p>
    <w:p>
      <w:pPr>
        <w:ind w:left="200" w:right="1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The following table sets forth selected data, in thousands of dollars and as a percentage of total revenues (unless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noted) for the periods indicated. All information is derived from the accompanying consolidated statements of comprehensive income.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0" w:type="dxa"/>
            <w:vAlign w:val="bottom"/>
          </w:tcPr>
          <w:p>
            <w:pPr>
              <w:spacing w:after="0"/>
              <w:rPr>
                <w:sz w:val="15"/>
                <w:szCs w:val="15"/>
                <w:color w:val="auto"/>
              </w:rPr>
            </w:pPr>
          </w:p>
        </w:tc>
        <w:tc>
          <w:tcPr>
            <w:tcW w:w="63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2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536,469</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494,816</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728,832</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644,975</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1,265,301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1,139,791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products</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2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196,672</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384,155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1,104,301</w:t>
            </w: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974,019</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retirement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147,887</w:t>
            </w:r>
          </w:p>
        </w:tc>
        <w:tc>
          <w:tcPr>
            <w:tcW w:w="2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156,389</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117,221</w:t>
            </w:r>
          </w:p>
        </w:tc>
        <w:tc>
          <w:tcPr>
            <w:tcW w:w="2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4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Change in comparable store sales </w:t>
            </w:r>
            <w:r>
              <w:rPr>
                <w:rFonts w:ascii="Times New Roman" w:cs="Times New Roman" w:eastAsia="Times New Roman" w:hAnsi="Times New Roman"/>
                <w:sz w:val="15"/>
                <w:szCs w:val="15"/>
                <w:color w:val="auto"/>
              </w:rPr>
              <w:t>(1)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Company-owned stores open at end of period </w:t>
            </w:r>
            <w:r>
              <w:rPr>
                <w:rFonts w:ascii="Times New Roman" w:cs="Times New Roman" w:eastAsia="Times New Roman" w:hAnsi="Times New Roman"/>
                <w:sz w:val="15"/>
                <w:szCs w:val="15"/>
                <w:color w:val="auto"/>
              </w:rPr>
              <w:t>(2)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 open at end of period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ind w:left="640" w:right="120" w:hanging="436"/>
        <w:spacing w:after="0" w:line="266" w:lineRule="auto"/>
        <w:tabs>
          <w:tab w:leader="none" w:pos="6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change in comparable store sales in fiscal 2018 has been calculated by shifting forward our 2017 fiscal year comparable store sales results by one week, to account for the fact that our 2017 fiscal year consisted of 53 weeks. The fiscal year 2017 comparable store sales have been adjusted to remove the impact of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prior to calculating the year-over-year change percentage.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240" w:top="455" w:right="4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380" w:hanging="436"/>
        <w:spacing w:after="0" w:line="282" w:lineRule="auto"/>
        <w:tabs>
          <w:tab w:leader="none" w:pos="6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Our Duluth (Atlanta), Georgia store which closed after the end of fiscal 2018, on March 3, 2019, is included in our store counts for all periods presented. The number of new store openings during the last two fiscal years were as follows:</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74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9"/>
        </w:trPr>
        <w:tc>
          <w:tcPr>
            <w:tcW w:w="674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674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67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CEEFF"/>
            </w:tcBorders>
          </w:tcPr>
          <w:p>
            <w:pPr>
              <w:spacing w:after="0"/>
              <w:rPr>
                <w:sz w:val="15"/>
                <w:szCs w:val="15"/>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7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7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7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reconciles (in dollars and as percent of total revenues) Net income to Adjusted EBITDA for the periods indicated: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3"/>
                <w:szCs w:val="13"/>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$ 117,221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retirement</w:t>
            </w:r>
          </w:p>
        </w:tc>
        <w:tc>
          <w:tcPr>
            <w:tcW w:w="2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118,275</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279,275</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268,538</w:t>
            </w:r>
          </w:p>
        </w:tc>
        <w:tc>
          <w:tcPr>
            <w:tcW w:w="2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15"/>
                <w:szCs w:val="15"/>
                <w:color w:val="auto"/>
              </w:rPr>
              <w:t>(1)</w:t>
            </w:r>
          </w:p>
        </w:tc>
        <w:tc>
          <w:tcPr>
            <w:tcW w:w="2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$ 311,117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302,730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Primarily represents costs related to currency transaction (gains) or losses.</w:t>
      </w:r>
    </w:p>
    <w:p>
      <w:pPr>
        <w:spacing w:after="0" w:line="329" w:lineRule="exact"/>
        <w:rPr>
          <w:rFonts w:ascii="Times New Roman" w:cs="Times New Roman" w:eastAsia="Times New Roman" w:hAnsi="Times New Roman"/>
          <w:sz w:val="15"/>
          <w:szCs w:val="15"/>
          <w:color w:val="auto"/>
        </w:rPr>
      </w:pPr>
    </w:p>
    <w:p>
      <w:pPr>
        <w:ind w:left="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3"/>
                <w:szCs w:val="13"/>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$161,000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$165,772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118,275</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363,959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351,849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total accrual-based additions to property and equipment. Total capital additions do not include any reductions for accrual-based tenant improvement allowances or proceeds from sale-leaseback transactions (collectively, “Payments from landlords”).</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4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0" w:type="dxa"/>
            <w:vAlign w:val="bottom"/>
            <w:gridSpan w:val="3"/>
          </w:tcPr>
          <w:p>
            <w:pPr>
              <w:ind w:left="1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February 3,</w:t>
            </w:r>
          </w:p>
        </w:tc>
        <w:tc>
          <w:tcPr>
            <w:tcW w:w="142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45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162,763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185,449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Games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40" w:type="dxa"/>
            <w:vAlign w:val="bottom"/>
            <w:shd w:val="clear" w:color="auto" w:fill="CCEEFF"/>
          </w:tcPr>
          <w:p>
            <w:pPr>
              <w:spacing w:after="0"/>
              <w:rPr>
                <w:sz w:val="18"/>
                <w:szCs w:val="18"/>
                <w:color w:val="auto"/>
              </w:rPr>
            </w:pP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210,965</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223,321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8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52,099</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40,334</w:t>
            </w:r>
          </w:p>
        </w:tc>
        <w:tc>
          <w:tcPr>
            <w:tcW w:w="4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jc w:val="center"/>
        <w:ind w:right="91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1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Total revenues increased $125,510 or 11.0%, to $1,265,301 in fiscal 2018 compared to total revenues of $1,139,791 in fiscal 2017. For the year ended February 3, 2019, we derived 28.9% of our total revenue from food sales, 13.5% from beverage sales, 56.8% from amusement sales and 0.8% from other sources. For the year ended February 4, 2018 we derived 29.5% of our total revenue from food sales, 13.9% from beverage sales, 55.8% from amusement sales and 0.8% from other sources.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increase in revenues for fiscal 2018 compared to fiscal 2017 were from the following sources: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(15,250)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 impact of one less week</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(17,551)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(4,939)</w:t>
            </w: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00" w:firstLine="441"/>
        <w:spacing w:after="0" w:line="313" w:lineRule="auto"/>
        <w:rPr>
          <w:sz w:val="20"/>
          <w:szCs w:val="20"/>
          <w:color w:val="auto"/>
        </w:rPr>
      </w:pPr>
      <w:r>
        <w:rPr>
          <w:rFonts w:ascii="Times New Roman" w:cs="Times New Roman" w:eastAsia="Times New Roman" w:hAnsi="Times New Roman"/>
          <w:sz w:val="17"/>
          <w:szCs w:val="17"/>
          <w:color w:val="auto"/>
        </w:rPr>
        <w:t>The following discussion on comparable store sales has been prepared by comparing fiscal 2018 revenues to fiscal 2017 revenues shifted to a 52-week basis (beginning February 6, 2017 and ending February 4, 2018). We have estimated the impact of the first week of fiscal 2017 to be $19,457.</w:t>
      </w:r>
    </w:p>
    <w:p>
      <w:pPr>
        <w:spacing w:after="0" w:line="138"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Comparable store revenue decreased $15,250 or 1.6%, in fiscal 2018 compared to the comparable fifty two weeks of fiscal 2017. Comparable store revenue compared to the prior fiscal year was, in part, negatively impacted by increased competitive pressure and sales transfers to new stores that we opened in markets where we operate. Comparable walk-in revenues, which accounted for 89.7% of comparable store revenue for fiscal 2018, decreased $12,017, or 1.4% compared to the similar period in fiscal 2017. Comparable store special events revenues, which accounted for 10.3% of consolidated comparable store revenue for fiscal 2018, decreased $3,233, or 3.2% compared to the comparable period in fiscal 2017.</w:t>
      </w:r>
    </w:p>
    <w:p>
      <w:pPr>
        <w:spacing w:after="0" w:line="18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Food sales at comparable stores decreased by $9,823, or 3.5%, to $274,262 for fiscal 2018 from $284,085 in the comparable period in fiscal 2017. Beverage sales at comparable stores decreased by $4,858, or 3.6%, to $128,422 for fiscal 2018 from $133,280 in the 2017 comparison period. The decrease in food and beverage unit sales at comparable stores was partially offset by an overall increase in menu prices. Comparable store amusement and other revenues in fiscal 2018 decreased by $569, or 0.1%, to $551,405 from $551,974 in the comparable fifty two weeks of fiscal 2017.</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80"/>
          </w:cols>
          <w:pgMar w:left="24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Non-comparable store revenue increased by $163,250 for fiscal 2018 compared to fiscal 2017. The increase in non-comparable store revenue was primarily driven by 815 additional operating store weeks contributed by our thirty-five non-comparable stores. The additional weeks exclude seven operating store weeks in fiscal 2017, due to the shift described above.</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The total cost of products was $220,263 for fiscal 2018 and $196,672 for fiscal 2017. The total cost of products as a percentage of total revenues was 17.4% and 17.3% for fiscal 2018 and fiscal 2017, respectively. For the year ended February 3, 2019, the cost of food products was 26.8% of food revenue, the cost of beverage products was 24.2% of beverage revenue, and the amusement and other cost of products was 11.1% of amusement and other revenues. For the year ended February 4, 2018, the cost of food products was 26.6% of food revenue, the cost of beverage products was 24.1% of beverage revenue, and the amusement and other cost of products was 10.7% of amusement and other revenues.</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Cost of food and beverage products increased to $139,199 in fiscal 2018 compared to $127,600 for fiscal 2017 due primarily to the increased sales volume at our non-comparable stores. Cost of food and beverage products, as a percentage of food and beverage revenues, increased 10 basis points to 25.9% for fiscal 2018 from 25.8% for fiscal 2017. Higher meat costs resulting from our upgraded burger product, higher commodity costs in poultry coupled with additional weeks featuring our “All You Can Eat” wings promotion compared to fiscal 2017 as well as the impact of our larger non-comparable store group, were partially offset by increases in food and beverage prices.</w:t>
      </w:r>
    </w:p>
    <w:p>
      <w:pPr>
        <w:spacing w:after="0" w:line="184" w:lineRule="exact"/>
        <w:rPr>
          <w:sz w:val="20"/>
          <w:szCs w:val="20"/>
          <w:color w:val="auto"/>
        </w:rPr>
      </w:pPr>
    </w:p>
    <w:p>
      <w:pPr>
        <w:ind w:left="200" w:right="380" w:firstLine="441"/>
        <w:spacing w:after="0" w:line="261" w:lineRule="auto"/>
        <w:rPr>
          <w:sz w:val="20"/>
          <w:szCs w:val="20"/>
          <w:color w:val="auto"/>
        </w:rPr>
      </w:pPr>
      <w:r>
        <w:rPr>
          <w:rFonts w:ascii="Times New Roman" w:cs="Times New Roman" w:eastAsia="Times New Roman" w:hAnsi="Times New Roman"/>
          <w:sz w:val="18"/>
          <w:szCs w:val="18"/>
          <w:color w:val="auto"/>
        </w:rPr>
        <w:t>Cost of amusement and other increased to $81,064 in fiscal 2018 compared to $69,072 in fiscal 2017. The costs of amusement and other, as a percentage of amusement and other revenues, increased 40 basis points to 11.1% for fiscal 2018 from 10.7% for fiscal 2017. The deterioration of amusement and other cost margins was driven primarily by higher provisions for use tax on redemption items in fiscal 2018 partially offset by the favorable margin impact of the year-over-year increase in game play of non-redemption amusement offerings.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increased by $40,200, or 15.7%, to $296,924 in fiscal 2018 compared to $256,724 in fiscal 2017. This increase was primarily due to labor associated with the additional operating store weeks of our non-comparable stores. The total cost of operating payroll and benefits, as a percentage of total revenues, increased 100 basis points to 23.5% in fiscal 2018 compared to 22.5% for fiscal 2017. This increase was due to an average hourly wage rate increase of approximately 4.5%, incremental amusements labor related to our new proprietary virtual reality platform, higher store-level incentive compensation and payroll related benefits which increased approximately 30 basis points, and unfavorable leverage on decreased comparable store sales.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Other store operating expenses increased by $49,609, or 14.8%, to $384,155 in fiscal 2018 compared to $334,546 in fiscal 2017, primarily due to new store openings. Other store operating expenses as a percentage of total revenues increased 100 basis points to 30.4% in fiscal 2018 compared to</w:t>
      </w:r>
    </w:p>
    <w:p>
      <w:pPr>
        <w:ind w:left="200"/>
        <w:spacing w:after="0" w:line="261" w:lineRule="auto"/>
        <w:rPr>
          <w:sz w:val="20"/>
          <w:szCs w:val="20"/>
          <w:color w:val="auto"/>
        </w:rPr>
      </w:pPr>
      <w:r>
        <w:rPr>
          <w:rFonts w:ascii="Times New Roman" w:cs="Times New Roman" w:eastAsia="Times New Roman" w:hAnsi="Times New Roman"/>
          <w:sz w:val="18"/>
          <w:szCs w:val="18"/>
          <w:color w:val="auto"/>
        </w:rPr>
        <w:t>29.4% in fiscal 2017. This increase was due primarily to unfavorable leverage of our occupancy costs on decreased comparable store sales and increased margin pressure on occupancy costs associated with our recent store openings.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$1,956, or 3.3%, to $61,521 in fiscal 2018 compared to $59,565 in fiscal 2017. Increases in labor and professional services costs were partially offset by the absence of a</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24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6" w:lineRule="auto"/>
        <w:rPr>
          <w:sz w:val="20"/>
          <w:szCs w:val="20"/>
          <w:color w:val="auto"/>
        </w:rPr>
      </w:pPr>
      <w:r>
        <w:rPr>
          <w:rFonts w:ascii="Times New Roman" w:cs="Times New Roman" w:eastAsia="Times New Roman" w:hAnsi="Times New Roman"/>
          <w:sz w:val="18"/>
          <w:szCs w:val="18"/>
          <w:color w:val="auto"/>
        </w:rPr>
        <w:t>prior year $2,550 charge for litigation settlement costs and lower incremental compensation costs related to our share-based awards. General and administrative expenses, as a percentage of total revenues, decreased 30 basis points to 4.9% in fiscal 2018 compared to 5.2% in fiscal 2017, for the same reasons above offset by favorable leverage on revenue increases.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$15,509, or 15.1%, to $118,275 in fiscal 2018 compared to $102,766 in fiscal 2017. Increased depreciation due to our 2017 and 2018 capital expenditures for new stores, operating initiatives, including remodels, games and maintenance capital, was partially offset by other assets reaching the end of their depreciable lives.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Pre-opening costs decreased by $583 to $23,163 in fiscal 2018 compared to $23,746 in fiscal 2017 due to the number and timing of new store openings and stores in development.</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$4,448 to $13,113 in fiscal 2018 compared to $8,665 in fiscal 2017 due to both an increase in outstanding debt and an increase in variable interest rates.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Loss on debt refinancing</w:t>
      </w:r>
    </w:p>
    <w:p>
      <w:pPr>
        <w:spacing w:after="0" w:line="121"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August 17, 2017, debt refinancing (see Note 5 of Notes to Consolidated Financial Statements for further discussion), the Company recorded a charge of $718 during the third quarter of fiscal 2017.</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The effective income tax rate decreased to 20.7% in fiscal 2018 compared to 22.7% in fiscal 2017. This decrease in the effective tax rate was favorably impacted by the reduction in the statutory rate from 33.7% to 21.0%, offset by the absence of the revaluation of deferrals of 5.1%, as a result of the Tax Act enacted on December 22, 2017. The impact from the Tax Act was offset by an unfavorable 4.0% impact from lower excess tax benefit associated with share-based compensation and an unfavorable 1.5% impact from state taxes. Other differences from the statutory rate are due to the FICA tip credits and the impact of certain income and expense items which are not recognized for income tax purposes. Refer to Note 6 of Notes to Consolidated Financial Statements, for further information on our income tax provision.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Fiscal 2017 Compared to Fiscal 2016</w:t>
      </w:r>
    </w:p>
    <w:p>
      <w:pPr>
        <w:spacing w:after="0" w:line="117" w:lineRule="exact"/>
        <w:rPr>
          <w:sz w:val="20"/>
          <w:szCs w:val="20"/>
          <w:color w:val="auto"/>
        </w:rPr>
      </w:pPr>
    </w:p>
    <w:p>
      <w:pPr>
        <w:ind w:left="200" w:right="1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The following table sets forth selected data, in thousands of dollars and as a percentage of total revenues (unless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noted) for the periods indicated. All information is derived from the accompanying consolidated statements of comprehensive income.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January 29, 2017</w:t>
            </w:r>
          </w:p>
        </w:tc>
        <w:tc>
          <w:tcPr>
            <w:tcW w:w="2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494,816</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452,140</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644,975</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553,018</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1,139,791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1,005,158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products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196,672</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180,300</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974,019</w:t>
            </w:r>
          </w:p>
        </w:tc>
        <w:tc>
          <w:tcPr>
            <w:tcW w:w="2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854,642</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retirement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156,389</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143,531</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52,736</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2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Change in comparable store sales </w:t>
            </w:r>
            <w:r>
              <w:rPr>
                <w:rFonts w:ascii="Times New Roman" w:cs="Times New Roman" w:eastAsia="Times New Roman" w:hAnsi="Times New Roman"/>
                <w:sz w:val="15"/>
                <w:szCs w:val="15"/>
                <w:color w:val="auto"/>
              </w:rPr>
              <w: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Company-owned stores open at end of period </w:t>
            </w:r>
            <w:r>
              <w:rPr>
                <w:rFonts w:ascii="Times New Roman" w:cs="Times New Roman" w:eastAsia="Times New Roman" w:hAnsi="Times New Roman"/>
                <w:sz w:val="15"/>
                <w:szCs w:val="15"/>
                <w:color w:val="auto"/>
              </w:rPr>
              <w:t>(2)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 open at end of period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640" w:right="460" w:hanging="436"/>
        <w:spacing w:after="0" w:line="261" w:lineRule="auto"/>
        <w:tabs>
          <w:tab w:leader="none" w:pos="6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fiscal year 2017 comparable store sales have been adjusted to remove the impact of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prior to calculating the year-over-year change percentage.</w:t>
      </w:r>
    </w:p>
    <w:p>
      <w:pPr>
        <w:ind w:left="640" w:hanging="436"/>
        <w:spacing w:after="0"/>
        <w:tabs>
          <w:tab w:leader="none" w:pos="6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number of new store openings during the last two fiscal years were as follows:</w:t>
      </w:r>
    </w:p>
    <w:p>
      <w:pPr>
        <w:spacing w:after="0" w:line="21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74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9"/>
        </w:trPr>
        <w:tc>
          <w:tcPr>
            <w:tcW w:w="2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February 4,</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73"/>
        </w:trPr>
        <w:tc>
          <w:tcPr>
            <w:tcW w:w="2840" w:type="dxa"/>
            <w:vAlign w:val="bottom"/>
          </w:tcPr>
          <w:p>
            <w:pPr>
              <w:spacing w:after="0"/>
              <w:rPr>
                <w:sz w:val="15"/>
                <w:szCs w:val="15"/>
                <w:color w:val="auto"/>
              </w:rPr>
            </w:pPr>
          </w:p>
        </w:tc>
        <w:tc>
          <w:tcPr>
            <w:tcW w:w="4620" w:type="dxa"/>
            <w:vAlign w:val="bottom"/>
            <w:gridSpan w:val="2"/>
          </w:tcPr>
          <w:p>
            <w:pPr>
              <w:jc w:val="center"/>
              <w:ind w:left="38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5"/>
                <w:szCs w:val="15"/>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9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6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6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900" w:type="dxa"/>
            <w:vAlign w:val="bottom"/>
          </w:tcPr>
          <w:p>
            <w:pPr>
              <w:spacing w:after="0"/>
              <w:rPr>
                <w:sz w:val="18"/>
                <w:szCs w:val="18"/>
                <w:color w:val="auto"/>
              </w:rPr>
            </w:pPr>
          </w:p>
        </w:tc>
        <w:tc>
          <w:tcPr>
            <w:tcW w:w="17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8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365"/>
        </w:trPr>
        <w:tc>
          <w:tcPr>
            <w:tcW w:w="2840" w:type="dxa"/>
            <w:vAlign w:val="bottom"/>
          </w:tcPr>
          <w:p>
            <w:pPr>
              <w:spacing w:after="0"/>
              <w:rPr>
                <w:sz w:val="24"/>
                <w:szCs w:val="24"/>
                <w:color w:val="auto"/>
              </w:rPr>
            </w:pPr>
          </w:p>
        </w:tc>
        <w:tc>
          <w:tcPr>
            <w:tcW w:w="3900" w:type="dxa"/>
            <w:vAlign w:val="bottom"/>
          </w:tcPr>
          <w:p>
            <w:pPr>
              <w:jc w:val="right"/>
              <w:ind w:right="1934"/>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January 29, 2017</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$120,949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retirement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3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268,538</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238,821</w:t>
            </w:r>
          </w:p>
        </w:tc>
        <w:tc>
          <w:tcPr>
            <w:tcW w:w="2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15"/>
                <w:szCs w:val="15"/>
                <w:color w:val="auto"/>
              </w:rPr>
              <w:t>(1)</w:t>
            </w:r>
          </w:p>
        </w:tc>
        <w:tc>
          <w:tcPr>
            <w:tcW w:w="2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302,730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261,523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Primarily represents costs related to currency transaction (gains) or losses.</w:t>
      </w:r>
    </w:p>
    <w:p>
      <w:pPr>
        <w:spacing w:after="0" w:line="329" w:lineRule="exact"/>
        <w:rPr>
          <w:rFonts w:ascii="Times New Roman" w:cs="Times New Roman" w:eastAsia="Times New Roman" w:hAnsi="Times New Roman"/>
          <w:sz w:val="15"/>
          <w:szCs w:val="15"/>
          <w:color w:val="auto"/>
        </w:rPr>
      </w:pPr>
    </w:p>
    <w:p>
      <w:pPr>
        <w:ind w:left="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3"/>
                <w:szCs w:val="13"/>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29, 2017</w:t>
            </w:r>
          </w:p>
        </w:tc>
        <w:tc>
          <w:tcPr>
            <w:tcW w:w="2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$165,772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$150,516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54,474</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88,305</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351,849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308,709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total accrual-based additions to property and equipment. Total capital additions do not include any reductions for payments from landlords.</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4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40" w:type="dxa"/>
            <w:vAlign w:val="bottom"/>
            <w:gridSpan w:val="3"/>
          </w:tcPr>
          <w:p>
            <w:pPr>
              <w:ind w:left="2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February 4,</w:t>
            </w:r>
          </w:p>
        </w:tc>
        <w:tc>
          <w:tcPr>
            <w:tcW w:w="142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store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168,381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135,476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initiatives, including remodels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Games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Maintenance Capital</w:t>
            </w:r>
          </w:p>
        </w:tc>
        <w:tc>
          <w:tcPr>
            <w:tcW w:w="2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64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223,321</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40,334</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20" w:type="dxa"/>
            <w:vAlign w:val="bottom"/>
          </w:tcPr>
          <w:p>
            <w:pPr>
              <w:jc w:val="right"/>
              <w:ind w:right="1876"/>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Total revenues increased $134,633, or 13.4%, to $1,139,791 in fiscal 2017 compared to total revenues of $1,005,158 in fiscal 2016. We have estimated the impact of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of fiscal 2017 to be $19,685. For the year ended February 4, 2018, we derived 29.5% of our total revenue from food sales, 13.9% from beverage sales, 55.8% from amusement sales and 0.8% from other sources. For the year ended January 29, 2017, we derived 30.4% of our total revenue from food sales, 14.6% from beverage sales, 54.2% from amusement sales and 0.8% from other sources.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increased revenues in fiscal 2017 were from the following sources: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 - excluding impact of 53rd week</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- 53rd week impact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The following discussion on comparable store sales has been prepared by comparing fiscal 2017 revenues on a 52-week basis to fiscal 2016 revenues.</w:t>
      </w:r>
    </w:p>
    <w:p>
      <w:pPr>
        <w:spacing w:after="0" w:line="162"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Comparable store revenue decreased $7,962, or 0.9%, in fiscal 2017 compared to fiscal 2016. Comparable store revenue compared to the prior fiscal year was, in part, negatively impacted by decreases in our food and beverage unit sales throughout the year, increased pressure from competition, cannibalization of sales from our new store openings and weather-related sales interruptions in the third and fourth quarter. Comparable walk-in revenues, which accounted for 89.2% of comparable store revenue for fiscal 2017, decreased $6,572, or 0.8% compared to fiscal 2016. Comparable store special events revenues, which accounted for 10.8% of consolidated comparable store revenue for fiscal 2017, decreased $1,390, or 1.4% compared to fiscal 2016.</w:t>
      </w:r>
    </w:p>
    <w:p>
      <w:pPr>
        <w:spacing w:after="0" w:line="188"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Food sales at comparable stores decreased by $11,632, or 4.3%, to $257,727 for fiscal 2017 from $269,359 in fiscal 2016. Beverage sales at comparable stores decreased by $6,654, or 5.1%, to $122,710 for fiscal 2017 from $129,364 in fiscal 2016. The decrease in food and beverage sales at comparable stores is attributed to lower customer volumes and was partially offset by an overall increase in menu prices. Comparable store amusement and other revenues in fiscal 2017 increased by $10,324, or 2.1%, to $499,638 from $489,314 in fiscal 2016, due to an increase in the revenue per Power Card sold.</w:t>
      </w:r>
    </w:p>
    <w:p>
      <w:pPr>
        <w:spacing w:after="0" w:line="184"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Revenue at our 30 non-comparable stores increased $128,616 for fiscal 2017 compared to fiscal 2016. The increase in non-comparable store revenue was primarily driven by 718 additional operating store weeks including an additional 30 store weeks due to our 53-week year.</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The total cost of products was $196,672 for fiscal 2017 and $180,300 for fiscal 2016. The total cost of products as a percentage of total revenues was 17.3% and 17.9% for fiscal 2017 and fiscal 2016, respectively. For the year ended February 4, 2018, the cost of food products was 26.6% of food revenue, the cost of beverage products was 24.1% of beverage revenue, and the amusement and other cost of products was 10.7% of amusement and other revenues. For the year ended January 29, 2017, the cost of food products was 26.1% of food revenue, the cost of beverage products was 23.9% of beverage revenue, and the amusement and other cost of products was 11.8% of amusement and other revenues.</w:t>
      </w:r>
    </w:p>
    <w:p>
      <w:pPr>
        <w:spacing w:after="0" w:line="184"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Cost of food and beverage products increased to $127,600 in fiscal 2017 compared to $114,946 for fiscal 2016 due primarily to the increased sales volume at our non-comparable stores. Cost of food and beverage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24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products, as a percentage of food and beverage revenues, increased 40 basis points to 25.8% for fiscal 2017 from 25.4% for fiscal 2016. Higher poultry cost and the impact of our larger non-comparable store group were partially offset by savings in seafood and increases in food and beverage menu prices.</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Cost of amusement and other increased to $69,072 in fiscal 2017 compared to $65,354 in fiscal 2016 as cost reductions at comparable stores were more than offset by costs related to our non-comparable stores. The costs of amusement and other, as a percentage of amusement and other revenues, decreased 110 basis points to 10.7% for fiscal 2017 from 11.8% for fiscal 2016. The decrease in cost of amusement and other as a percentage of revenue was due, in part, to a $2,726, or 40 basis point, amusement cost reduction in fiscal 2017 due to the favorable settlement of a multi-year use tax audit by the state of Texas. This cost reduction represents the excess use tax on redemption items during the period from July 2011 through January 2017. Additionally, the decrease in cost of amusement and other as a percentage of revenue was positively impacted by a shift in game play from redemption to non-redemption games and price increases implemented earlier in the year.</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increased by $27,897, or 12.2%, to $256,724 in fiscal 2017 compared to $228,827 in fiscal 2016. This increase was primarily due to labor associated with 718 additional operating store weeks of our thirty non-comparable stores as well as the impact of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on our comparable stores and was partially offset by an approximate $1,300 decrease in store-level incentive compensation. The total cost of operating payroll and benefits, as a percentage of total revenues, decreased 30 basis points to 22.5% in fiscal 2017 compared to 22.8% for fiscal 2016. This decrease was due to lower store-level incentive compensation and payroll related benefits which decreased approximately 40 basis points, partially offset by an hourly wage rate increase of approximately 4.5% and normal labor inefficiencies associated with our non-comparable store base.</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Other store operating expenses increased by $47,224, or 16.4%, to $334,546 in fiscal 2017 compared to $287,322 in fiscal 2016, primarily due to new store openings and the impact of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in fiscal 2017. Other store operating expenses as a percentage of total revenues increased 80 basis points to 29.4% in fiscal 2017 compared to 28.6% in fiscal 2016. This increase was due primarily to increased margin pressure on occupancy costs associated with our recent store openings.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$5,091, or 9.3%, to $59,565 in fiscal 2017 compared to $54,474 in fiscal 2016. The increase in general and administrative expenses was primarily driven by a second quarter $2,550 charge for net litigation settlement costs, increased labor costs at our corporate headquarters and incremental compensation costs related to our share-based awards partially offset by lower incentive compensation expenses. General and administrative expenses, as a percentage of total revenues, decreased 20 basis points to 5.2% in fiscal 2017 compared to 5.4% in fiscal 2016, due to favorable leverage on sales.</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$14,461, or 16.4%, to $102,766 in fiscal 2017 compared to $88,305 in fiscal 2016. Increased depreciation due to our 2016 and 2017 capital expenditures for new stores, operating initiatives, including remodels, games and maintenance capital, as well as an estimated $2,000 related to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of 2017, partially offset by other assets reaching the end of their depreciable lives.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Pre-opening costs increased by $8,332 to $23,746 in fiscal 2017 compared to $15,414 in fiscal 2016 due to the number and timing of new store openings and stores in development.</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80"/>
          </w:cols>
          <w:pgMar w:left="24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$1,680 to $8,665 in fiscal 2017 compared to $6,985 in fiscal 2016 due primarily to higher variable interest rates and an estimated $200 related to the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week of 2017.</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Loss on debt retirement</w:t>
      </w:r>
    </w:p>
    <w:p>
      <w:pPr>
        <w:spacing w:after="0" w:line="121"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August 17, 2017, debt refinancing (see Note 5 of Notes to Consolidated Financial Statements for further discussion), the Company recorded a charge of $718 during the third quarter of fiscal 2017.</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effective income tax rate decreased to 22.7% in fiscal 2017 compared to 36.7% in fiscal 2016. This decrease in the effective tax rate primarily reflects a favorable 7.3% impact from the implementation of new accounting guidance in fiscal 2017 that requires the excess tax benefit from exercised stock options and vested restricted stock to be recorded in the income tax provision instead of additional paid-in-capital, and a favorable 6.4% impact from the Tax Cuts and Jobs Act enacted on December 22, 2017. Other differences from the statutory rate are due to the FICA tip credits, state income taxes and the impact of certain income and expense items which are not recognized for income tax purposes. Refer to Note 6 of Notes to Consolidated Financial Statements, for further information on our income tax provision.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finance our activities through cash flow from operations and availability under our existing credit facility. As of February 3, 2019, we had cash and cash equivalents of $21,585, a net working capital deficit of $153,297 and outstanding debt obligations of $394,250. We also had $381,953 in borrowing availability under our existing credit facility.</w:t>
      </w:r>
    </w:p>
    <w:p>
      <w:pPr>
        <w:spacing w:after="0" w:line="176"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February 3, 2019, the Company had approximately $70,137 remaining of a total $400,000 share repurchase authorization. The existing share repurchase program expires at the end of fiscal 2020. On April 2, 2019, our Board of Directors approved an additional $200,000 in authorization under our existing share repurchase program. Our Board of Directors may authorize additional share repurchases or other capital allocation initiatives, including additional dividends, to return value to shareholders as allowable under our existing credit facility.</w:t>
      </w:r>
    </w:p>
    <w:p>
      <w:pPr>
        <w:spacing w:after="0" w:line="189"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currently have and anticipate that in the future we may continue to have negative working capital balances. We are able to operate with a working capital deficit because cash from sales is usually received before related liabilities for product, supplies, labor and services become due. Funds available from sales not needed immediately to pay for operating expenses have typically been used for capital expenditures and payment of long-term debt obligations.</w:t>
      </w:r>
    </w:p>
    <w:p>
      <w:pPr>
        <w:spacing w:after="0" w:line="176" w:lineRule="exact"/>
        <w:rPr>
          <w:sz w:val="20"/>
          <w:szCs w:val="20"/>
          <w:color w:val="auto"/>
        </w:rPr>
      </w:pPr>
    </w:p>
    <w:p>
      <w:pPr>
        <w:ind w:left="200" w:right="1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Short-term liquidity requirements. </w:t>
      </w:r>
      <w:r>
        <w:rPr>
          <w:rFonts w:ascii="Times New Roman" w:cs="Times New Roman" w:eastAsia="Times New Roman" w:hAnsi="Times New Roman"/>
          <w:sz w:val="18"/>
          <w:szCs w:val="18"/>
          <w:color w:val="auto"/>
        </w:rPr>
        <w:t>We generally consider our short-term liquidity requirements to consist of those items that are expected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within the next twelve months and believe those requirements to consist primarily of funds necessary to pay operating expenses, interest and principal payments on our debt, capital expenditures related to the new store construction and other expenditures associated with acquiring new games, remodeling facilities and recurring replacement of equipment and improvements.</w:t>
      </w:r>
    </w:p>
    <w:p>
      <w:pPr>
        <w:spacing w:after="0" w:line="177" w:lineRule="exact"/>
        <w:rPr>
          <w:sz w:val="20"/>
          <w:szCs w:val="20"/>
          <w:color w:val="auto"/>
        </w:rPr>
      </w:pPr>
    </w:p>
    <w:p>
      <w:pPr>
        <w:ind w:left="200" w:right="2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liquidity requirements. </w:t>
      </w:r>
      <w:r>
        <w:rPr>
          <w:rFonts w:ascii="Times New Roman" w:cs="Times New Roman" w:eastAsia="Times New Roman" w:hAnsi="Times New Roman"/>
          <w:sz w:val="18"/>
          <w:szCs w:val="18"/>
          <w:color w:val="auto"/>
        </w:rPr>
        <w:t>We generally consider our long-term liquidity requirements to consist of those items that are expected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beyond the next twelve months and believe these requirements</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consist primarily of funds necessary for new store development and construction, replacement of games and equipment, renovations and other non-recurring capital expenditures that need to be made periodically to our stores, principal and interest payments on our outstanding term loan and scheduled lease obligation payments. We intend to satisfy our long-term liquidity requirements through various sources of capital, including our existing cash on hand, cash provided by operations, and borrowings under the revolving portion of our credit facility.</w:t>
      </w:r>
    </w:p>
    <w:p>
      <w:pPr>
        <w:spacing w:after="0" w:line="180" w:lineRule="exact"/>
        <w:rPr>
          <w:sz w:val="20"/>
          <w:szCs w:val="20"/>
          <w:color w:val="auto"/>
        </w:rPr>
      </w:pPr>
    </w:p>
    <w:p>
      <w:pPr>
        <w:ind w:left="200" w:right="240" w:firstLine="441"/>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believe the cash flows from operations, together with our existing cash balances and availability of borrowings under the revolving portion of our credit facility will be sufficient to meet our anticipated cash needs for working capital, capital expenditures, debt service needs, and share repurchases in the foreseeable future. Our ability to make scheduled principal and interest payments, or to refinance our indebtedness, or to fund planned capital expenditures and share repurchases, will depend on future performance, which is subject to general economic conditions, competitive environment and other factors, including those described in the “Risk Factors” section of this Report.</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summary of our net cash provided by (used in) operating, investing and financing activities:</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9"/>
        </w:trPr>
        <w:tc>
          <w:tcPr>
            <w:tcW w:w="3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360" w:type="dxa"/>
            <w:vAlign w:val="bottom"/>
          </w:tcPr>
          <w:p>
            <w:pPr>
              <w:spacing w:after="0"/>
              <w:rPr>
                <w:sz w:val="15"/>
                <w:szCs w:val="15"/>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38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337,616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264,672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231,329</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(203,808)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(216,623)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(159,485)</w:t>
            </w:r>
          </w:p>
        </w:tc>
      </w:tr>
      <w:tr>
        <w:trPr>
          <w:trHeight w:val="234"/>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(131,018)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(49,337)</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(77,256)</w:t>
            </w:r>
          </w:p>
        </w:tc>
      </w:tr>
    </w:tbl>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Fiscal 2018 Compared to Fiscal 2017</w:t>
      </w:r>
    </w:p>
    <w:p>
      <w:pPr>
        <w:spacing w:after="0" w:line="121"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$337,616 for fiscal 2018 compared to $264,672 for fiscal 2017. Increased cash flows from operations were driven primarily by increased cash flows from additional non-comparable store sales as well as an increase in our net working capital deficit at the end of fiscal 2018 compared to the end of fiscal 2017.</w:t>
      </w:r>
    </w:p>
    <w:p>
      <w:pPr>
        <w:spacing w:after="0" w:line="176"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$203,808 for fiscal 2018 compared to $216,623 for fiscal 2017. Capital expenditures decreased $3,615 to $216,286 (excluding the decrease in fixed asset accrued liabilities of $5,321) in fiscal 2018 from $219,901 in fiscal 2017. During fiscal 2018, the Company spent $164,734 ($112,635 net of payments from landlords) for new store construction and operating improvement initiatives, $28,826 for game refreshment, and $22,726 for maintenance capital.</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$131,018 for fiscal 2018 compared to cash used in financing activities of $49,337 for fiscal 2017. Fiscal 2018 included repurchases of common stock of approximately $149,000 and dividend payments of $11,570, offset by net borrowings of debt of $27,000. Fiscal 2017 cash used in financing activities included repurchases of common stock of approximately $152,000, offset by net borrowings of debt of $102,500.</w:t>
      </w:r>
    </w:p>
    <w:p>
      <w:pPr>
        <w:spacing w:after="0" w:line="180"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plan on financing future growth through existing cash on hand, future operating cash flows, debt facilities and tenant improvement allowances from landlords. We expect to spend between $231,000 to $241,000 ($190,000 to $200,000 net of payments from landlords) on capital additions during fiscal 2019. The fiscal 2019 additions are expected to include approximately $184,000 to $194,000 ($143,000 to $153,000 net of payments from landlords) for new store construction and operating improvement initiatives, $20,000 for game refreshment and $27,000 in maintenance capital. A portion of the 2019 new store spend is related to stores that will be under construction in 2019 but will not be open until 2020.</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Fiscal 2017 Compared to Fiscal 2016</w:t>
      </w:r>
    </w:p>
    <w:p>
      <w:pPr>
        <w:spacing w:after="0" w:line="12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$264,672 for fiscal 2017 compared to $231,329 for fiscal 2016. Increased cash flows from operations were driven primarily by increased cash flows from additional non-comparable store sales and additional sales related to the 53rd week in fiscal 2017.</w:t>
      </w:r>
    </w:p>
    <w:p>
      <w:pPr>
        <w:spacing w:after="0" w:line="176"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$216,623 for fiscal 2017 compared to $159,485 for fiscal 2016. Capital expenditures increased $39,324 to $219,901 (excluding the increase in fixed asset accrued liabilities of $3,420) in fiscal 2017 from $180,577 in fiscal 2016. During fiscal 2017, the Company spent $166,675 ($126,341 net of payments from landlords) for new store construction, $19,024 for game refreshment, $17,361 for maintenance capital and $16,841 related to a major remodel project on four existing stores, several smaller scale remodel projects and operating improvement initiatives.</w:t>
      </w:r>
    </w:p>
    <w:p>
      <w:pPr>
        <w:spacing w:after="0" w:line="184" w:lineRule="exact"/>
        <w:rPr>
          <w:sz w:val="20"/>
          <w:szCs w:val="20"/>
          <w:color w:val="auto"/>
        </w:rPr>
      </w:pPr>
    </w:p>
    <w:p>
      <w:pPr>
        <w:jc w:val="both"/>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$49,337 for fiscal 2017 compared to cash used in financing activities of $77,256 for fiscal 2016. Fiscal 2017 included net borrowings of debt of $102,500, offset by repurchases of common stock of approximately $152,000. Fiscal 2016 primarily included net repayments of debt of $73,500 and repurchases of common stock of approximately $28,800.</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contractual obligations and commercial commitments as of February 3, 2019:</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 due by period</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 Year or</w:t>
            </w:r>
          </w:p>
        </w:tc>
        <w:tc>
          <w:tcPr>
            <w:tcW w:w="26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After 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Less</w:t>
            </w: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$ 349,250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requirements </w:t>
            </w:r>
            <w:r>
              <w:rPr>
                <w:rFonts w:ascii="Times New Roman" w:cs="Times New Roman" w:eastAsia="Times New Roman" w:hAnsi="Times New Roman"/>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1,786,828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122,501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229,550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2,230,568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152,186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287,222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$ 561,357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280" w:hanging="436"/>
        <w:spacing w:after="0" w:line="261" w:lineRule="auto"/>
        <w:tabs>
          <w:tab w:leader="none" w:pos="6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Credit Facility includes a $300,000 term loan facility and $500,000 revolving credit facility. As of February 3, 2019, we had borrowings of $281,250 under the term loan facility and borrowings of $113,000 under the revolving credit facility.</w:t>
      </w:r>
    </w:p>
    <w:p>
      <w:pPr>
        <w:ind w:left="640" w:right="40" w:hanging="436"/>
        <w:spacing w:after="0" w:line="250" w:lineRule="auto"/>
        <w:tabs>
          <w:tab w:leader="none" w:pos="6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cash obligations for interest requirements are based on debt levels in effect on February 3, 2019, adjusted for scheduled principal payments on the term loan facility and using a 3.75% interest rate.</w:t>
      </w:r>
    </w:p>
    <w:p>
      <w:pPr>
        <w:ind w:left="640" w:right="500" w:hanging="436"/>
        <w:spacing w:after="0" w:line="255" w:lineRule="auto"/>
        <w:tabs>
          <w:tab w:leader="none" w:pos="6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assured to be exercised as of the lease origination date, have been included in the table above.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 material off-balance sheet arrangements.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240" w:top="455" w:right="41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18"/>
          <w:szCs w:val="18"/>
          <w:color w:val="auto"/>
        </w:rPr>
        <w:t>disclosures of contingent assets and liabilities. 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w:t>
      </w:r>
    </w:p>
    <w:p>
      <w:pPr>
        <w:spacing w:after="0" w:line="180" w:lineRule="exact"/>
        <w:rPr>
          <w:sz w:val="20"/>
          <w:szCs w:val="20"/>
          <w:color w:val="auto"/>
        </w:rPr>
      </w:pPr>
    </w:p>
    <w:p>
      <w:pPr>
        <w:jc w:val="both"/>
        <w:ind w:left="200" w:right="10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Accounting for amusement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Amusement revenue is derived primarily from customer purchases of game play credits on Power Cards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allow our customers to play the video and redemption games in our Midways. We have recognized a liability for the estimated amount of unused game play credits, which we believe our customers will utilize in the future based on credits remaining on Power Cards, historic utilization patterns and revenue per game play credit sold. For fiscal 2018, a hypothetical 10% increase in estimated future customer utilization would have decreased revenues by approximately $7,000, as a result of additional amounts deferred from sales of game play credits.</w:t>
      </w:r>
    </w:p>
    <w:p>
      <w:pPr>
        <w:spacing w:after="0" w:line="184"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Certain midway games allow customers to earn tickets, which may be redeemed for prizes. The cost of these prizes is included in the cost of amusement products and is generally recorded when tickets are utilized by the customer by redeeming the tickets for a prize in our WIN! Area or storing the ticket value on a Power Card for future redemption. We have recorded a liability for the estimated amount of outstanding tickets that will be redeemed in subsequent periods based on tickets outstanding, historic redemption patterns and the estimated redemption cost of products per ticket.</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Refer to Note 1 of Notes to Consolidated Financial Statements for information regarding new accounting pronouncements.</w:t>
      </w:r>
    </w:p>
    <w:p>
      <w:pPr>
        <w:spacing w:after="0" w:line="370" w:lineRule="exact"/>
        <w:rPr>
          <w:sz w:val="20"/>
          <w:szCs w:val="20"/>
          <w:color w:val="auto"/>
        </w:rPr>
      </w:pPr>
    </w:p>
    <w:p>
      <w:pPr>
        <w:ind w:left="200" w:right="530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Commodity Price Risk</w:t>
      </w:r>
    </w:p>
    <w:p>
      <w:pPr>
        <w:ind w:left="200" w:right="40" w:firstLine="441"/>
        <w:spacing w:after="0" w:line="274" w:lineRule="auto"/>
        <w:rPr>
          <w:sz w:val="20"/>
          <w:szCs w:val="20"/>
          <w:color w:val="auto"/>
        </w:rPr>
      </w:pPr>
      <w:r>
        <w:rPr>
          <w:rFonts w:ascii="Times New Roman" w:cs="Times New Roman" w:eastAsia="Times New Roman" w:hAnsi="Times New Roman"/>
          <w:sz w:val="17"/>
          <w:szCs w:val="17"/>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Currently, we do not use financial instruments to hedge our commodity risk.</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arising from changes in interest rates due to the variable rate indebtedness under our credit facility. Borrowings pursuant to our credit facility bear interest at a floating rate based on LIBOR, plus an applicable margin. Accordingly, fluctuations in market interest rates may increase or decrease our interest expense which will, in turn, increase or decrease our net income and cash flow. We estimate that a hypothetical 25 basis point increase in one-month LIBOR would increase our annualized interest expense in the next year by approximately $1,000, assuming no change in the balance of the revolving portion of the credit facility.</w:t>
      </w:r>
    </w:p>
    <w:p>
      <w:pPr>
        <w:spacing w:after="0" w:line="184"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Subsequent to the end of fiscal 2018, the Company entered into an interest rate swap agreement with a notional amount of $350,000 to manage our exposure to interest rate movements on our variable rate credit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920"/>
        <w:spacing w:after="0" w:line="282" w:lineRule="auto"/>
        <w:rPr>
          <w:sz w:val="20"/>
          <w:szCs w:val="20"/>
          <w:color w:val="auto"/>
        </w:rPr>
      </w:pPr>
      <w:r>
        <w:rPr>
          <w:rFonts w:ascii="Times New Roman" w:cs="Times New Roman" w:eastAsia="Times New Roman" w:hAnsi="Times New Roman"/>
          <w:sz w:val="18"/>
          <w:szCs w:val="18"/>
          <w:color w:val="auto"/>
        </w:rPr>
        <w:t>facility. The agreement will in effect, convert the floating interest rate to a fixed interest rate of 2.5% plus a spread from the effective date of February 28, 2019 through the term of our existing credit facility.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leasing and constructing our stores is subject to inflationary increases in the costs of labor and material.</w:t>
      </w:r>
    </w:p>
    <w:p>
      <w:pPr>
        <w:spacing w:after="0" w:line="176"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76"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In general, we have been able to partially offset cost increases resulting from inflation by increasing menu or game prices, improving productivity, or other operating changes. We may or may not be able to offset cost increases in the future.</w:t>
      </w:r>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consolidated financial statements of the Company and supplementary data are included as pages F-1 through F-24 in this Report.</w:t>
      </w:r>
    </w:p>
    <w:p>
      <w:pPr>
        <w:spacing w:after="0" w:line="370"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left="200" w:firstLine="441"/>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(CEO) and Chief Financial Officer (CFO), as appropriate, to allow timely decisions regarding required disclosure.</w:t>
      </w:r>
    </w:p>
    <w:p>
      <w:pPr>
        <w:spacing w:after="0" w:line="180"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has evaluated the effectiveness of the design and operation of our disclosure controls and procedures as of February 3, 2019. Based upon that evaluation, our CEO and CFO concluded that, as of February 3, 2019, such disclosure controls and procedures were effective.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Our management, including our CEO and CFO,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policies and procedures that (i) pertain to the maintenance of records that, in reasonable detail, accurately and fairly reflect the transactions and dispositions of our assets; (ii) provide reasonable assurance that transactions are recorded as necessary to permit preparation of our</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6" w:lineRule="auto"/>
        <w:rPr>
          <w:sz w:val="20"/>
          <w:szCs w:val="20"/>
          <w:color w:val="auto"/>
        </w:rPr>
      </w:pPr>
      <w:r>
        <w:rPr>
          <w:rFonts w:ascii="Times New Roman" w:cs="Times New Roman" w:eastAsia="Times New Roman" w:hAnsi="Times New Roman"/>
          <w:sz w:val="18"/>
          <w:szCs w:val="18"/>
          <w:color w:val="auto"/>
        </w:rPr>
        <w:t>financial statements in accordance with GAAP, and that our receipts and expenditures are being made only in accordance with authorizations of our management and directors; and (iii) provide reasonable assurance that unauthorized acquisition, use or disposition of company assets that could have a material effect on our financial statements would be prevented or detected on a timely basis.</w:t>
      </w:r>
    </w:p>
    <w:p>
      <w:pPr>
        <w:spacing w:after="0" w:line="176" w:lineRule="exact"/>
        <w:rPr>
          <w:sz w:val="20"/>
          <w:szCs w:val="20"/>
          <w:color w:val="auto"/>
        </w:rPr>
      </w:pPr>
    </w:p>
    <w:p>
      <w:pPr>
        <w:ind w:left="200" w:right="220" w:firstLine="441"/>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our financial statements would be prevented or detected.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as of February 3, 2019 based on the framework and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 This evaluation included reviewing the documentation of controls, evaluating the design effectiveness of controls, testing of the operating effectiveness of controls and concluding on this evaluation. Based on this evaluation, management concluded that our internal control over financial reporting was effective as of February 3, 2019.</w:t>
      </w:r>
    </w:p>
    <w:p>
      <w:pPr>
        <w:spacing w:after="0" w:line="184"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audited the effectiveness of our internal control over financial reporting as of February 3, 2019, as stated in their report which is included herein.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most recent fiscal quarter that have materially affected, or are reasonably likely to materially affect, our internal control over financial reporting.</w:t>
      </w:r>
    </w:p>
    <w:p>
      <w:pPr>
        <w:spacing w:after="0" w:line="185"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24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74"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incorporated herein by reference to the sections entitled “Proposal No. 1—Election of Directors”, “Directors and Corporate Governance”, “Executive Officers” and “Executive Compensation” in the Proxy Statement.</w:t>
      </w:r>
    </w:p>
    <w:p>
      <w:pPr>
        <w:spacing w:after="0" w:line="306"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herein by reference to the sections entitled “Proposal No. 1—Election of Directors”, “Directors and Corporate Governance” and “Executive Compensation” in the Proxy Statement.</w:t>
      </w:r>
    </w:p>
    <w:p>
      <w:pPr>
        <w:spacing w:after="0" w:line="306"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herein by reference to the sections entitled “Executive Compensation” and “Security Ownership of Certain Beneficial Owners and Management” in the Proxy Statement.</w:t>
      </w:r>
    </w:p>
    <w:p>
      <w:pPr>
        <w:spacing w:after="0" w:line="306"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herein by reference to the sections entitled “Directors and Corporate Governance” and “Transactions with Related Persons” in the Proxy Statement.</w:t>
      </w:r>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herein by reference to the section entitled “Proposal No. 2—Ratification of Appointment of Independent Registered Public Accounting Firm” in the Proxy Statement.</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240" w:top="455" w:right="6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35" w:lineRule="exact"/>
        <w:rPr>
          <w:sz w:val="20"/>
          <w:szCs w:val="20"/>
          <w:color w:val="auto"/>
        </w:rPr>
      </w:pPr>
    </w:p>
    <w:p>
      <w:pPr>
        <w:ind w:left="1060" w:hanging="42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Pages F-1 to F-24 of this Report.</w:t>
      </w:r>
    </w:p>
    <w:p>
      <w:pPr>
        <w:spacing w:after="0" w:line="252" w:lineRule="exact"/>
        <w:rPr>
          <w:rFonts w:ascii="Times New Roman" w:cs="Times New Roman" w:eastAsia="Times New Roman" w:hAnsi="Times New Roman"/>
          <w:sz w:val="18"/>
          <w:szCs w:val="18"/>
          <w:color w:val="auto"/>
        </w:rPr>
      </w:pPr>
    </w:p>
    <w:p>
      <w:pPr>
        <w:ind w:left="1080" w:right="7940" w:hanging="444"/>
        <w:spacing w:after="0" w:line="407" w:lineRule="auto"/>
        <w:tabs>
          <w:tab w:leader="none" w:pos="10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80" w:type="dxa"/>
            <w:vAlign w:val="bottom"/>
            <w:gridSpan w:val="23"/>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9"/>
              </w:rPr>
              <w:t>INDEX OF EXHIBITS</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360" w:type="dxa"/>
            <w:vAlign w:val="bottom"/>
            <w:gridSpan w:val="2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36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Fourth Amended and Restated Certificate of Incorporation of the Registrant (incorporated by reference to Exhibit 3.1 to the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Report filed on Form 8-K by Dave &amp; Buster’s Entertainment, Inc. on June 12, 2017 (No. 001-35664))</w:t>
              </w:r>
            </w:hyperlink>
          </w:p>
        </w:tc>
        <w:tc>
          <w:tcPr>
            <w:tcW w:w="2140" w:type="dxa"/>
            <w:vAlign w:val="bottom"/>
            <w:tcBorders>
              <w:top w:val="single" w:sz="8" w:color="0000EE"/>
            </w:tcBorders>
            <w:gridSpan w:val="7"/>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Third Amended and Restated Bylaws of the Registrant (incorporated by reference to Exhibit 3.2 to the Current Report filed on Form 8-K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by Dave &amp; Buster’s Entertainment, Inc. on June 12, 2017 (No. 001-35664))</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Stock Certificate (incorporated by reference to Exhibit 4.1 to the Amendment 1 to the Form S-1 Registration Statement filed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Dave &amp; Buster’s Entertainment, Inc. on September 24, 2014 (No. 333-198641))</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9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Employee Agreement by and among Dave &amp; Buster’s Management Corporation, Dave &amp; Buster’s Entertainment, Inc., and the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various executive officers of Dave &amp; Buster’s Entertainment, Inc. (incorporated by reference to Exhibit 10.1 to the Form S-1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Registration Statement filed by Dave &amp; Buster’s Entertainment, Inc. on September 18, 2015 (No. 333-207031))</w:t>
              </w:r>
            </w:hyperlink>
          </w:p>
        </w:tc>
        <w:tc>
          <w:tcPr>
            <w:tcW w:w="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24"/>
                <w:szCs w:val="24"/>
                <w:color w:val="auto"/>
              </w:rPr>
            </w:pPr>
          </w:p>
        </w:tc>
        <w:tc>
          <w:tcPr>
            <w:tcW w:w="9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Dave &amp; Buster’s Parent, Inc. 2010 Management Incentive Plan (incorporated by reference to Exhibit 10.3 to the Form S-4 Registration</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Statement filed by Dave &amp; Buster’s, Inc. on August 11, 2010 (No. 333-168759))</w:t>
              </w:r>
            </w:hyperlink>
          </w:p>
        </w:tc>
        <w:tc>
          <w:tcPr>
            <w:tcW w:w="4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Amendment No. 1 to the Dave &amp; Buster’s Parent, Inc. 2010 Management Incentive Plan (incorporated by reference to Exhibit 10.2 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the quarterly report on Form 10-Q filed by Dave &amp; Buster’s, Inc. on June 15, 2011) (No. 001-15007)</w:t>
              </w:r>
            </w:hyperlink>
          </w:p>
        </w:tc>
        <w:tc>
          <w:tcPr>
            <w:tcW w:w="2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Amendment No. 2 to the Dave &amp; Buster’s Parent, Inc. 2010 Management Incentive Plan (incorporated by reference to Exhibit 10.6 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the annual report on Form 10-K filed by Dave &amp; Buster’s, Inc. on April 16, 2013) (No. 001-15007)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Dave &amp; Buster’s Entertainment, Inc. 2014 Omnibus Incentive Plan (incorporated by reference to Exhibit 4.1 to the Form S-8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Registration Statement filed by Dave &amp; Buster’s Entertainment, Inc. on October 9, 2014 (No. 333-199239))</w:t>
              </w:r>
            </w:hyperlink>
          </w:p>
        </w:tc>
        <w:tc>
          <w:tcPr>
            <w:tcW w:w="1220" w:type="dxa"/>
            <w:vAlign w:val="bottom"/>
            <w:tcBorders>
              <w:top w:val="single" w:sz="8" w:color="0000EE"/>
            </w:tcBorders>
            <w:gridSpan w:val="3"/>
          </w:tcPr>
          <w:p>
            <w:pPr>
              <w:spacing w:after="0"/>
              <w:rPr>
                <w:sz w:val="17"/>
                <w:szCs w:val="17"/>
                <w:color w:val="auto"/>
              </w:rPr>
            </w:pPr>
          </w:p>
        </w:tc>
        <w:tc>
          <w:tcPr>
            <w:tcW w:w="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Nonqualified Stock Option Award Agreement, by and between Dave &amp; Buster’s Entertainment, Inc. and various Directors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the Company (incorporated by reference to Exhibit 10.7 to the Form S-1 Registration Statement filed by Dave &amp; Buster’s</w:t>
              </w:r>
            </w:hyperlink>
          </w:p>
        </w:tc>
        <w:tc>
          <w:tcPr>
            <w:tcW w:w="860" w:type="dxa"/>
            <w:vAlign w:val="bottom"/>
            <w:tcBorders>
              <w:top w:val="single" w:sz="8" w:color="0000EE"/>
            </w:tcBorders>
            <w:gridSpan w:val="6"/>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Entertainment, Inc. on September 18, 2015 (No. 333-207031))</w:t>
              </w:r>
            </w:hyperlink>
          </w:p>
        </w:tc>
        <w:tc>
          <w:tcPr>
            <w:tcW w:w="53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Nonqualified Stock Option Award Agreement, by and between Dave &amp; Buster’s Entertainment, Inc. and various employees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the Company (incorporated by reference to Exhibit 10.8 to the Form S-1 Registration Statement filed by Dave &amp; Buster’s</w:t>
              </w:r>
            </w:hyperlink>
          </w:p>
        </w:tc>
        <w:tc>
          <w:tcPr>
            <w:tcW w:w="96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Entertainment, Inc. on September 18, 2015 (No. 333-207031))</w:t>
              </w:r>
            </w:hyperlink>
          </w:p>
        </w:tc>
        <w:tc>
          <w:tcPr>
            <w:tcW w:w="53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Restricted Stock Award Agreement, by and between Dave &amp; Buster’s Entertainment, Inc. and various Directors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780" w:type="dxa"/>
            <w:vAlign w:val="bottom"/>
            <w:gridSpan w:val="1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Company (incorporated by reference to Exhibit 10.9 to the Form S-1 Registration Statement filed by Dave &amp; Buster’s Entertainment,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Inc. on September 18, 2015 (No. 333-207031))</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60" w:type="dxa"/>
            <w:vAlign w:val="bottom"/>
            <w:tcBorders>
              <w:top w:val="single" w:sz="8" w:color="0000EE"/>
            </w:tcBorders>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0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40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Pr>
          <w:p>
            <w:pPr>
              <w:spacing w:after="0"/>
              <w:rPr>
                <w:sz w:val="24"/>
                <w:szCs w:val="24"/>
                <w:color w:val="auto"/>
              </w:rPr>
            </w:pPr>
          </w:p>
        </w:tc>
        <w:tc>
          <w:tcPr>
            <w:tcW w:w="9620" w:type="dxa"/>
            <w:vAlign w:val="bottom"/>
            <w:gridSpan w:val="26"/>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Restricted Stock Unit and Cash Award Agreement, by and between Dave &amp; Buster’s Entertainment, Inc. and various</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employees of the Company (incorporated by reference to Exhibit 10.10 to the Form S-1 Registration Statement filed by Dave &amp;</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Buster’s Entertainment, Inc. on September 18, 2015 (No. 333-207031))</w:t>
              </w:r>
            </w:hyperlink>
          </w:p>
        </w:tc>
        <w:tc>
          <w:tcPr>
            <w:tcW w:w="4100" w:type="dxa"/>
            <w:vAlign w:val="bottom"/>
            <w:tcBorders>
              <w:top w:val="single" w:sz="8" w:color="0000EE"/>
            </w:tcBorders>
            <w:gridSpan w:val="6"/>
          </w:tcPr>
          <w:p>
            <w:pPr>
              <w:spacing w:after="0"/>
              <w:rPr>
                <w:sz w:val="17"/>
                <w:szCs w:val="17"/>
                <w:color w:val="auto"/>
              </w:rPr>
            </w:pPr>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600" w:type="dxa"/>
            <w:vAlign w:val="bottom"/>
          </w:tcPr>
          <w:p>
            <w:pPr>
              <w:spacing w:after="0"/>
              <w:rPr>
                <w:sz w:val="24"/>
                <w:szCs w:val="24"/>
                <w:color w:val="auto"/>
              </w:rPr>
            </w:pPr>
          </w:p>
        </w:tc>
        <w:tc>
          <w:tcPr>
            <w:tcW w:w="94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Dave &amp; Buster’s Select Executive Retirement Plan as amended and restated by Dave &amp; Buster’s I, L.P., effective January 1, 2005</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(incorporated by reference to Exhibit 10.11 to the Form S-1 Registration Statement filed by Dave &amp; Buster’s Entertainment, Inc.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September 8, 2014 (No. 333-198641))</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spacing w:after="0"/>
              <w:rPr>
                <w:sz w:val="24"/>
                <w:szCs w:val="24"/>
                <w:color w:val="auto"/>
              </w:rPr>
            </w:pPr>
          </w:p>
        </w:tc>
        <w:tc>
          <w:tcPr>
            <w:tcW w:w="9620" w:type="dxa"/>
            <w:vAlign w:val="bottom"/>
            <w:gridSpan w:val="26"/>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Indemnification Agreement for directors, executive officers and key employees (incorporated by reference to Exhibit 10.12</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to the Amendment 1 to the Form S-1 Registration Statement filed by Dave &amp; Buster’s Entertainment, Inc. on September 24, 2014</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(No. 333-198641))</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600" w:type="dxa"/>
            <w:vAlign w:val="bottom"/>
          </w:tcPr>
          <w:p>
            <w:pPr>
              <w:spacing w:after="0"/>
              <w:rPr>
                <w:sz w:val="24"/>
                <w:szCs w:val="24"/>
                <w:color w:val="auto"/>
              </w:rPr>
            </w:pPr>
          </w:p>
        </w:tc>
        <w:tc>
          <w:tcPr>
            <w:tcW w:w="9620" w:type="dxa"/>
            <w:vAlign w:val="bottom"/>
            <w:gridSpan w:val="26"/>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Credit Agreement, dated as of August 17, 2017 by and among Dave &amp; Buster’s Holdings, Inc., Dave &amp; Buster’s Inc. (“the</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Borrower”) the direct and indirect Subsidiaries of the Borrower from time to time party thereto, as guarantors, the several financial</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institutions from time to time party thereto, as lenders, Bank of America, N.A., as administrative agent, and Wells Fargo, National</w:t>
              </w:r>
            </w:hyperlink>
          </w:p>
        </w:tc>
        <w:tc>
          <w:tcPr>
            <w:tcW w:w="20" w:type="dxa"/>
            <w:vAlign w:val="bottom"/>
            <w:tcBorders>
              <w:top w:val="single" w:sz="8" w:color="0000EE"/>
            </w:tcBorders>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Association, as syndication agent (incorporated by reference to Exhibit 10.1 of the Registrant’s Current Report on Form 8-K filed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August 23, 2017)</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Subsidiaries of the Registrant</w:t>
              </w:r>
            </w:hyperlink>
          </w:p>
        </w:tc>
        <w:tc>
          <w:tcPr>
            <w:tcW w:w="74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9620" w:type="dxa"/>
            <w:vAlign w:val="bottom"/>
            <w:gridSpan w:val="26"/>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52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Power of Attorney (included on signature page)</w:t>
              </w:r>
            </w:hyperlink>
          </w:p>
        </w:tc>
        <w:tc>
          <w:tcPr>
            <w:tcW w:w="4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8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Certification of Brian A. Jenkins, Chief Executive Officer, pursuant to 17 CFR 240.13a-14(a) or 17 CFR 240.15d-14(a).</w:t>
              </w:r>
            </w:hyperlink>
          </w:p>
        </w:tc>
        <w:tc>
          <w:tcPr>
            <w:tcW w:w="9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93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Certification of Joe DeProspero, Interim Chief Financial Officer of the Registrant, pursuant to 17 CFR 240.13a-14(a) or 17 CFR</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240.</w:t>
              </w:r>
              <w:r>
                <w:rPr>
                  <w:rFonts w:ascii="Times New Roman" w:cs="Times New Roman" w:eastAsia="Times New Roman" w:hAnsi="Times New Roman"/>
                  <w:sz w:val="18"/>
                  <w:szCs w:val="18"/>
                  <w:u w:val="single" w:color="auto"/>
                  <w:color w:val="0000EE"/>
                  <w:w w:val="99"/>
                </w:rPr>
                <w:t>15d</w:t>
              </w:r>
              <w:r>
                <w:rPr>
                  <w:rFonts w:ascii="Times New Roman" w:cs="Times New Roman" w:eastAsia="Times New Roman" w:hAnsi="Times New Roman"/>
                  <w:sz w:val="18"/>
                  <w:szCs w:val="18"/>
                  <w:color w:val="0000EE"/>
                  <w:w w:val="99"/>
                </w:rPr>
                <w:t>-14(a).</w:t>
              </w:r>
            </w:hyperlink>
          </w:p>
        </w:tc>
        <w:tc>
          <w:tcPr>
            <w:tcW w:w="85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9620" w:type="dxa"/>
            <w:vAlign w:val="bottom"/>
            <w:gridSpan w:val="26"/>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Certification of Brian A. Jenkins, Chief Executive Officer, pursuant to 18 U.S.C. Section 1350, as adopted pursuant to Section 906 of</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the Sarbanes-Oxley Act of 2002.</w:t>
              </w:r>
            </w:hyperlink>
          </w:p>
        </w:tc>
        <w:tc>
          <w:tcPr>
            <w:tcW w:w="722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9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Certification of Joe DeProspero, Interim Chief Financial Officer of the Registrant, pursuant to 18 U.S.C. Section 1350, as adopted</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pursuant to Section 906 of the Sarbanes-Oxley Act of 2002.</w:t>
              </w:r>
            </w:hyperlink>
          </w:p>
        </w:tc>
        <w:tc>
          <w:tcPr>
            <w:tcW w:w="0" w:type="dxa"/>
            <w:vAlign w:val="bottom"/>
          </w:tcPr>
          <w:p>
            <w:pPr>
              <w:spacing w:after="0"/>
              <w:rPr>
                <w:sz w:val="1"/>
                <w:szCs w:val="1"/>
                <w:color w:val="auto"/>
              </w:rPr>
            </w:pPr>
          </w:p>
        </w:tc>
      </w:tr>
      <w:tr>
        <w:trPr>
          <w:trHeight w:val="345"/>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00" w:type="dxa"/>
            <w:vAlign w:val="bottom"/>
          </w:tcPr>
          <w:p>
            <w:pPr>
              <w:spacing w:after="0"/>
              <w:rPr>
                <w:sz w:val="24"/>
                <w:szCs w:val="24"/>
                <w:color w:val="auto"/>
              </w:rPr>
            </w:pPr>
          </w:p>
        </w:tc>
        <w:tc>
          <w:tcPr>
            <w:tcW w:w="43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2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00" w:type="dxa"/>
            <w:vAlign w:val="bottom"/>
          </w:tcPr>
          <w:p>
            <w:pPr>
              <w:spacing w:after="0"/>
              <w:rPr>
                <w:sz w:val="24"/>
                <w:szCs w:val="24"/>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00" w:type="dxa"/>
            <w:vAlign w:val="bottom"/>
          </w:tcPr>
          <w:p>
            <w:pPr>
              <w:spacing w:after="0"/>
              <w:rPr>
                <w:sz w:val="24"/>
                <w:szCs w:val="24"/>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00" w:type="dxa"/>
            <w:vAlign w:val="bottom"/>
          </w:tcPr>
          <w:p>
            <w:pPr>
              <w:spacing w:after="0"/>
              <w:rPr>
                <w:sz w:val="24"/>
                <w:szCs w:val="24"/>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00" w:type="dxa"/>
            <w:vAlign w:val="bottom"/>
          </w:tcPr>
          <w:p>
            <w:pPr>
              <w:spacing w:after="0"/>
              <w:rPr>
                <w:sz w:val="24"/>
                <w:szCs w:val="24"/>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00" w:type="dxa"/>
            <w:vAlign w:val="bottom"/>
          </w:tcPr>
          <w:p>
            <w:pPr>
              <w:spacing w:after="0"/>
              <w:rPr>
                <w:sz w:val="24"/>
                <w:szCs w:val="24"/>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Filed herein</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240" w:top="455" w:right="5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DAVE &amp; BUSTER’S ENTERTAINMENT, INC.,</w:t>
            </w:r>
          </w:p>
        </w:tc>
      </w:tr>
      <w:tr>
        <w:trPr>
          <w:trHeight w:val="234"/>
        </w:trPr>
        <w:tc>
          <w:tcPr>
            <w:tcW w:w="358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2019</w:t>
            </w:r>
          </w:p>
        </w:tc>
        <w:tc>
          <w:tcPr>
            <w:tcW w:w="74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Joe DeProspero</w:t>
            </w:r>
          </w:p>
        </w:tc>
      </w:tr>
      <w:tr>
        <w:trPr>
          <w:trHeight w:val="191"/>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Joe DeProspero</w:t>
            </w:r>
          </w:p>
        </w:tc>
      </w:tr>
      <w:tr>
        <w:trPr>
          <w:trHeight w:val="234"/>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Brian A. Jenkins and Rob W. Edmund, or either of them, each acting alone, his/her true and lawful attorney-in-fact and agent, with 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attorney-in-fact and agent, or his/her substitute or substitutes, may lawfully do or cause to be done by virtue hereof.</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we have signed in our indicated capacities on April 2, 2019.</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7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Signature</w:t>
            </w:r>
          </w:p>
        </w:tc>
        <w:tc>
          <w:tcPr>
            <w:tcW w:w="1300" w:type="dxa"/>
            <w:vAlign w:val="bottom"/>
          </w:tcPr>
          <w:p>
            <w:pPr>
              <w:spacing w:after="0"/>
              <w:rPr>
                <w:sz w:val="13"/>
                <w:szCs w:val="13"/>
                <w:color w:val="auto"/>
              </w:rPr>
            </w:pPr>
          </w:p>
        </w:tc>
        <w:tc>
          <w:tcPr>
            <w:tcW w:w="3440" w:type="dxa"/>
            <w:vAlign w:val="bottom"/>
          </w:tcPr>
          <w:p>
            <w:pPr>
              <w:ind w:left="2720"/>
              <w:spacing w:after="0"/>
              <w:rPr>
                <w:sz w:val="20"/>
                <w:szCs w:val="20"/>
                <w:color w:val="auto"/>
              </w:rPr>
            </w:pPr>
            <w:r>
              <w:rPr>
                <w:rFonts w:ascii="Times New Roman" w:cs="Times New Roman" w:eastAsia="Times New Roman" w:hAnsi="Times New Roman"/>
                <w:sz w:val="14"/>
                <w:szCs w:val="14"/>
                <w:color w:val="auto"/>
              </w:rPr>
              <w:t>Title</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A. Jenkins</w:t>
            </w:r>
          </w:p>
        </w:tc>
        <w:tc>
          <w:tcPr>
            <w:tcW w:w="1300" w:type="dxa"/>
            <w:vAlign w:val="bottom"/>
            <w:tcBorders>
              <w:bottom w:val="single" w:sz="8" w:color="auto"/>
            </w:tcBorders>
          </w:tcPr>
          <w:p>
            <w:pPr>
              <w:spacing w:after="0"/>
              <w:rPr>
                <w:sz w:val="20"/>
                <w:szCs w:val="20"/>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130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DeProspero</w:t>
            </w:r>
          </w:p>
        </w:tc>
        <w:tc>
          <w:tcPr>
            <w:tcW w:w="1300" w:type="dxa"/>
            <w:vAlign w:val="bottom"/>
            <w:tcBorders>
              <w:bottom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Joe DeProspero</w:t>
            </w:r>
          </w:p>
        </w:tc>
        <w:tc>
          <w:tcPr>
            <w:tcW w:w="130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 King</w:t>
            </w:r>
          </w:p>
        </w:tc>
        <w:tc>
          <w:tcPr>
            <w:tcW w:w="1300" w:type="dxa"/>
            <w:vAlign w:val="bottom"/>
            <w:tcBorders>
              <w:bottom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13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 L. Crawford</w:t>
            </w:r>
          </w:p>
        </w:tc>
        <w:tc>
          <w:tcPr>
            <w:tcW w:w="1300" w:type="dxa"/>
            <w:vAlign w:val="bottom"/>
            <w:tcBorders>
              <w:bottom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Victor L. Crawford</w:t>
            </w:r>
          </w:p>
        </w:tc>
        <w:tc>
          <w:tcPr>
            <w:tcW w:w="13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Hamish A. Dodds</w:t>
            </w:r>
          </w:p>
        </w:tc>
        <w:tc>
          <w:tcPr>
            <w:tcW w:w="1300" w:type="dxa"/>
            <w:vAlign w:val="bottom"/>
            <w:tcBorders>
              <w:bottom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Hamish A. Dodds</w:t>
            </w:r>
          </w:p>
        </w:tc>
        <w:tc>
          <w:tcPr>
            <w:tcW w:w="13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Griffith</w:t>
            </w:r>
          </w:p>
        </w:tc>
        <w:tc>
          <w:tcPr>
            <w:tcW w:w="1300" w:type="dxa"/>
            <w:vAlign w:val="bottom"/>
            <w:tcBorders>
              <w:bottom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Michael J. Griffith</w:t>
            </w:r>
          </w:p>
        </w:tc>
        <w:tc>
          <w:tcPr>
            <w:tcW w:w="13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42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S. Halkyard</w:t>
            </w:r>
          </w:p>
        </w:tc>
        <w:tc>
          <w:tcPr>
            <w:tcW w:w="1300" w:type="dxa"/>
            <w:vAlign w:val="bottom"/>
            <w:tcBorders>
              <w:bottom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Jonathan S. Halkyard</w:t>
            </w:r>
          </w:p>
        </w:tc>
        <w:tc>
          <w:tcPr>
            <w:tcW w:w="13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360"/>
        </w:trPr>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40" w:type="dxa"/>
            <w:vAlign w:val="bottom"/>
            <w:gridSpan w:val="2"/>
          </w:tcPr>
          <w:p>
            <w:pPr>
              <w:jc w:val="right"/>
              <w:ind w:right="3292"/>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1240"/>
          </w:cols>
          <w:pgMar w:left="240" w:top="455" w:right="4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color w:val="auto"/>
        </w:rPr>
        <w:t>Signature</w:t>
      </w:r>
    </w:p>
    <w:p>
      <w:pPr>
        <w:spacing w:after="0" w:line="208" w:lineRule="exact"/>
        <w:rPr>
          <w:sz w:val="20"/>
          <w:szCs w:val="20"/>
          <w:color w:val="auto"/>
        </w:rPr>
      </w:pPr>
    </w:p>
    <w:p>
      <w:pPr>
        <w:ind w:left="20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Patricia H.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17145</wp:posOffset>
            </wp:positionV>
            <wp:extent cx="3215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Patricia H. Mueller</w:t>
      </w:r>
    </w:p>
    <w:p>
      <w:pPr>
        <w:spacing w:after="0" w:line="225" w:lineRule="exact"/>
        <w:rPr>
          <w:sz w:val="20"/>
          <w:szCs w:val="20"/>
          <w:color w:val="auto"/>
        </w:rPr>
      </w:pPr>
    </w:p>
    <w:p>
      <w:pPr>
        <w:ind w:left="20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17145</wp:posOffset>
            </wp:positionV>
            <wp:extent cx="32156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Kevin M. Sheehan</w:t>
      </w:r>
    </w:p>
    <w:p>
      <w:pPr>
        <w:spacing w:after="0" w:line="225" w:lineRule="exact"/>
        <w:rPr>
          <w:sz w:val="20"/>
          <w:szCs w:val="20"/>
          <w:color w:val="auto"/>
        </w:rPr>
      </w:pPr>
    </w:p>
    <w:p>
      <w:pPr>
        <w:ind w:left="20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Jennifer Storms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17145</wp:posOffset>
            </wp:positionV>
            <wp:extent cx="3215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Jennifer Storms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-627380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2">
            <w:col w:w="4900" w:space="720"/>
            <w:col w:w="4599"/>
          </w:cols>
          <w:pgMar w:left="240" w:top="455"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Dave &amp; Buster’s Entertainment, Inc.’s and subsidiaries’ (the Company) internal control over financial reporting as of February 3,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February 3,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4"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3, 2019 and February 4, 2018, the related consolidated statements of comprehensive income, stockholders’ equity, and cash flows for each of the fiscal years ended February 3, 2019, February 4, 2018, and January 29, 2017, and the related notes (collectively, the consolidated financial statements), and our report dated April 2, 2019 expressed an unqualified opinion on those consolidated financial statements.</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2, 2019</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00"/>
          </w:cols>
          <w:pgMar w:left="24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200"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Dave &amp; Buster’s Entertainment, Inc. and subsidiaries (the Company) as of February 3, 2019 and February 4, 2018, the related consolidated statements of comprehensive income, stockholders’ equity, and cash flows for each of the fiscal years ended February 3, 2019, February 4, 2018, and January 29, 2017, and the related notes (collectively, the consolidated financial statements). In our opinion, the consolidated financial statements present fairly, in all material respects, the financial position of the Company as of February 3, 2019 and February 4, 2018, and the results of its operations and its cash flows for each of the fiscal years ended February 3, 2019, February 4, 2018, and January 29, 2017, in conformity with U.S. generally accepted accounting principles.</w:t>
      </w:r>
    </w:p>
    <w:p>
      <w:pPr>
        <w:spacing w:after="0" w:line="188"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February 3,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2, 2019 expressed an unqualified opinion on the effectiveness of the Company’s internal control over financial reporting.</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2, 2019</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60"/>
          </w:cols>
          <w:pgMar w:left="240" w:top="455"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86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ind w:left="390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94,907</w:t>
            </w:r>
          </w:p>
        </w:tc>
        <w:tc>
          <w:tcPr>
            <w:tcW w:w="1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8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$578,178 and $474,330 accumulated depreciation as of February 3, 2019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February 4, 2018,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805,337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726,455</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1,273,187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1,197,030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occupancy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6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43,177,476 shares at February 3, 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42,660,806 shares at February 4, 2018; outstanding: 37,522,085 shares at February 3, 2019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40,102,085 shares at February 4, 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5,655,391 and 2,558,721 shares as of February 3, 2019 and February 4, 2018,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(297,129)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(147,331)</w:t>
            </w: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421,646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1,273,187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1,197,030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240" w:top="455" w:right="4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February 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73"/>
        </w:trPr>
        <w:tc>
          <w:tcPr>
            <w:tcW w:w="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536,469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728,832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644,975</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products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196,672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334,546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costs</w:t>
            </w:r>
          </w:p>
        </w:tc>
        <w:tc>
          <w:tcPr>
            <w:tcW w:w="1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1,104,301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974,019</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854,642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retirement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156,389</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per share: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39,047,106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41,276,314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41,951,770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39,975,122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42,583,009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43,288,592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 per share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240" w:top="455" w:right="4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gridSpan w:val="5"/>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40" w:type="dxa"/>
            <w:vAlign w:val="bottom"/>
            <w:tcBorders>
              <w:bottom w:val="single" w:sz="8" w:color="auto"/>
            </w:tcBorders>
            <w:gridSpan w:val="5"/>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gridSpan w:val="4"/>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9"/>
                <w:szCs w:val="9"/>
                <w:color w:val="auto"/>
              </w:rPr>
            </w:pPr>
          </w:p>
        </w:tc>
        <w:tc>
          <w:tcPr>
            <w:tcW w:w="820" w:type="dxa"/>
            <w:vAlign w:val="bottom"/>
            <w:gridSpan w:val="3"/>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line="20" w:lineRule="exact"/>
              <w:rPr>
                <w:sz w:val="1"/>
                <w:szCs w:val="1"/>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Amt.</w:t>
            </w: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Amt.</w:t>
            </w:r>
          </w:p>
        </w:tc>
        <w:tc>
          <w:tcPr>
            <w:tcW w:w="118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41,618,933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416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280,828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1"/>
              </w:rPr>
              <w:t>(970)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$ 346,338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850,637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Excess income tax benefit related to share-based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2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(301,773)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29, 2017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42,469,570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425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144,337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120,949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 change in accounting</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principle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782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191,236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(151,913)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(17,757)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4, 2018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42,660,806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427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(147,331)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248,311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Dividends ($0.30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516,670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(149,798)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(149,798)</w:t>
            </w: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February 3,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43,177,476</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432</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331,255</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(297,129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1"/>
              </w:rPr>
              <w:t>(683)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353,962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$ 387,837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240" w:top="455" w:right="4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400" w:type="dxa"/>
            <w:vAlign w:val="bottom"/>
            <w:gridSpan w:val="4"/>
          </w:tcPr>
          <w:p>
            <w:pPr>
              <w:ind w:left="140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4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February 4,</w:t>
            </w:r>
          </w:p>
        </w:tc>
        <w:tc>
          <w:tcPr>
            <w:tcW w:w="10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520" w:type="dxa"/>
            <w:vAlign w:val="bottom"/>
            <w:gridSpan w:val="2"/>
          </w:tcPr>
          <w:p>
            <w:pPr>
              <w:ind w:left="1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117,221</w:t>
            </w:r>
          </w:p>
        </w:tc>
        <w:tc>
          <w:tcPr>
            <w:tcW w:w="26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120,949</w:t>
            </w:r>
          </w:p>
        </w:tc>
        <w:tc>
          <w:tcPr>
            <w:tcW w:w="280" w:type="dxa"/>
            <w:vAlign w:val="bottom"/>
          </w:tcPr>
          <w:p>
            <w:pPr>
              <w:spacing w:after="0"/>
              <w:rPr>
                <w:sz w:val="12"/>
                <w:szCs w:val="12"/>
                <w:color w:val="auto"/>
              </w:rPr>
            </w:pPr>
          </w:p>
        </w:tc>
        <w:tc>
          <w:tcPr>
            <w:tcW w:w="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118,275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102,766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(8,845)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Excess income tax benefit related to share-based compensation plans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Loss on debt refinancing</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7,422</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(13,361)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 and deferred charges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11,122</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(4,071)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8,762</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occupancy costs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38,958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37,702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337,616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264,672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231,329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(216,286)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(219,901)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sale-leaseback transactions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11,571</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Collections on notes receivable</w:t>
            </w:r>
          </w:p>
        </w:tc>
        <w:tc>
          <w:tcPr>
            <w:tcW w:w="1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(203,808)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(216,623)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(159,485)</w:t>
            </w:r>
          </w:p>
        </w:tc>
        <w:tc>
          <w:tcPr>
            <w:tcW w:w="0" w:type="dxa"/>
            <w:vAlign w:val="bottom"/>
          </w:tcPr>
          <w:p>
            <w:pPr>
              <w:spacing w:after="0"/>
              <w:rPr>
                <w:sz w:val="1"/>
                <w:szCs w:val="1"/>
                <w:color w:val="auto"/>
              </w:rPr>
            </w:pPr>
          </w:p>
        </w:tc>
      </w:tr>
      <w:tr>
        <w:trPr>
          <w:trHeight w:val="156"/>
        </w:trPr>
        <w:tc>
          <w:tcPr>
            <w:tcW w:w="6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debt</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265,000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509,000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of debt</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(238,000)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(406,500)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(149,125)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(151,913)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(11,570)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treasury stock</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Excess income tax benefit related to share-based compensation plans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(49,337)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(77,256)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Beginning cash and cash equivalents</w:t>
            </w:r>
          </w:p>
        </w:tc>
        <w:tc>
          <w:tcPr>
            <w:tcW w:w="1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Ending cash and cash equivalents</w:t>
            </w:r>
          </w:p>
        </w:tc>
        <w:tc>
          <w:tcPr>
            <w:tcW w:w="1520" w:type="dxa"/>
            <w:vAlign w:val="bottom"/>
            <w:gridSpan w:val="2"/>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21,585</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18,795</w:t>
            </w: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Increase (decrease) in fixed asset accounts payable</w:t>
            </w:r>
          </w:p>
        </w:tc>
        <w:tc>
          <w:tcPr>
            <w:tcW w:w="1520" w:type="dxa"/>
            <w:vAlign w:val="bottom"/>
            <w:gridSpan w:val="2"/>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(5,321)</w:t>
            </w:r>
          </w:p>
        </w:tc>
        <w:tc>
          <w:tcPr>
            <w:tcW w:w="3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w:t>
            </w: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income taxes, net</w:t>
            </w:r>
          </w:p>
        </w:tc>
        <w:tc>
          <w:tcPr>
            <w:tcW w:w="1520" w:type="dxa"/>
            <w:vAlign w:val="bottom"/>
            <w:gridSpan w:val="2"/>
          </w:tcPr>
          <w:p>
            <w:pPr>
              <w:ind w:left="1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13,464</w:t>
            </w:r>
          </w:p>
        </w:tc>
        <w:tc>
          <w:tcPr>
            <w:tcW w:w="26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43,072</w:t>
            </w:r>
          </w:p>
        </w:tc>
        <w:tc>
          <w:tcPr>
            <w:tcW w:w="280" w:type="dxa"/>
            <w:vAlign w:val="bottom"/>
          </w:tcPr>
          <w:p>
            <w:pPr>
              <w:spacing w:after="0"/>
              <w:rPr>
                <w:sz w:val="12"/>
                <w:szCs w:val="12"/>
                <w:color w:val="auto"/>
              </w:rPr>
            </w:pPr>
          </w:p>
        </w:tc>
        <w:tc>
          <w:tcPr>
            <w:tcW w:w="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 net</w:t>
            </w:r>
          </w:p>
        </w:tc>
        <w:tc>
          <w:tcPr>
            <w:tcW w:w="1520" w:type="dxa"/>
            <w:vAlign w:val="bottom"/>
            <w:gridSpan w:val="2"/>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12,247</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7,853</w:t>
            </w: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240" w:top="455" w:right="4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 Description of the Business and Summary of Significant Accounting Policies</w:t>
      </w:r>
    </w:p>
    <w:p>
      <w:pPr>
        <w:spacing w:after="0" w:line="117"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 of the business </w:t>
      </w:r>
      <w:r>
        <w:rPr>
          <w:rFonts w:ascii="Times New Roman" w:cs="Times New Roman" w:eastAsia="Times New Roman" w:hAnsi="Times New Roman"/>
          <w:sz w:val="18"/>
          <w:szCs w:val="18"/>
          <w:color w:val="auto"/>
        </w:rPr>
        <w:t>— Dave &amp; Buster’s Entertainment, Inc. (“D&amp;B Entertainment”) is a Delaware corporation formed in June 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As of February 3, 2019, we owned and operated 121 stores located in 39 states, Puerto Rico and one Canadian province. Subsequently, we closed a store in Duluth (Atlanta), Georgia on March 3, 2019.</w:t>
      </w:r>
    </w:p>
    <w:p>
      <w:pPr>
        <w:spacing w:after="0" w:line="187" w:lineRule="exact"/>
        <w:rPr>
          <w:sz w:val="20"/>
          <w:szCs w:val="20"/>
          <w:color w:val="auto"/>
        </w:rPr>
      </w:pPr>
    </w:p>
    <w:p>
      <w:pPr>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We own and operate two stores outside of the United States, in the Canadian province of Ontario. These stores generated revenues of approximately $18,848, $20,075 and $13,369 in fiscal 2018, 2017 and 2016, respectively. As of February 3, 2019, less than 2.0% of our long-lived assets were located outside of the United States.</w:t>
      </w:r>
    </w:p>
    <w:p>
      <w:pPr>
        <w:spacing w:after="0" w:line="172" w:lineRule="exact"/>
        <w:rPr>
          <w:sz w:val="20"/>
          <w:szCs w:val="20"/>
          <w:color w:val="auto"/>
        </w:rPr>
      </w:pPr>
    </w:p>
    <w:p>
      <w:pPr>
        <w:ind w:left="200" w:right="1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D&amp;B Entertainment and its wholly-owned subsidiaries and have been prepared in accordance with generally accepted accounting principles in the United States (“GAAP”). All intercompany accounts and transactions have been eliminated in consolidation.</w:t>
      </w:r>
    </w:p>
    <w:p>
      <w:pPr>
        <w:spacing w:after="0" w:line="171" w:lineRule="exact"/>
        <w:rPr>
          <w:sz w:val="20"/>
          <w:szCs w:val="20"/>
          <w:color w:val="auto"/>
        </w:rPr>
      </w:pPr>
    </w:p>
    <w:p>
      <w:pPr>
        <w:jc w:val="both"/>
        <w:ind w:left="200" w:right="1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w:t>
      </w:r>
      <w:r>
        <w:rPr>
          <w:rFonts w:ascii="Times New Roman" w:cs="Times New Roman" w:eastAsia="Times New Roman" w:hAnsi="Times New Roman"/>
          <w:sz w:val="18"/>
          <w:szCs w:val="18"/>
          <w:color w:val="auto"/>
        </w:rPr>
        <w:t>— The Company’s fiscal year consists of 52 or 53 weeks ending on the Sunday after the Saturday closest to January 31. Fiscal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ended on February 3, 2019, contained 52 weeks. Fiscal 2017, which ended on February 4, 2018, contained 53 weeks. Fiscal 2016, which ended on January 29, 2017, contained 52 weeks. Each quarterly period has 13 weeks, except in a 53-week year when the fourth quarter has 14 weeks.</w:t>
      </w:r>
    </w:p>
    <w:p>
      <w:pPr>
        <w:spacing w:after="0" w:line="171" w:lineRule="exact"/>
        <w:rPr>
          <w:sz w:val="20"/>
          <w:szCs w:val="20"/>
          <w:color w:val="auto"/>
        </w:rPr>
      </w:pPr>
    </w:p>
    <w:p>
      <w:pPr>
        <w:ind w:left="200" w:right="6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conformity with GAAP requires management to make estimates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w:t>
      </w:r>
    </w:p>
    <w:p>
      <w:pPr>
        <w:spacing w:after="0" w:line="17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$12,782 and $3,416 are presented in “Accounts payable” in the Consolidated Balance Sheets as of February 3, 2019 and February 4, 2018, respectively. Changes in the book overdraft position are presented within “Net cash provided by operating activities” within the Consolidated Statements of Cash Flows. The adoption of Accounting Standards Update (“ASU”) 2016-18, Statement of Cash Flows (Topic 230): Restricted Cash and ASU 2016-15, Statement of Cash Flows (Topic 230) during the current fiscal year did not have an impact on our consolidated financial statements. As of February 3, 2019, the Company had no restricted cash.</w:t>
      </w:r>
    </w:p>
    <w:p>
      <w:pPr>
        <w:spacing w:after="0" w:line="185" w:lineRule="exact"/>
        <w:rPr>
          <w:sz w:val="20"/>
          <w:szCs w:val="20"/>
          <w:color w:val="auto"/>
        </w:rPr>
      </w:pPr>
    </w:p>
    <w:p>
      <w:pPr>
        <w:ind w:left="200" w:right="1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 Cash and cash equivalents are maintained with multiple financial institutions. Generally, these deposits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redeemed upon demand and are maintained with financial institutions with reputable credit and therefore bear minimal credit risk. The Company holds cash and cash equivalents at financial institutions in excess of amounts covered by the Federal Deposit Insurance Corporation.</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20"/>
          </w:cols>
          <w:pgMar w:left="24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4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 Inventories consist of food, beverages, amusement merchandise and other supplies and are stated at the lower of cost (first-in,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first-out method) or net realizable value. We record inventory reserves for obsolete and slow-moving inventory.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current assets </w:t>
      </w:r>
      <w:r>
        <w:rPr>
          <w:rFonts w:ascii="Times New Roman" w:cs="Times New Roman" w:eastAsia="Times New Roman" w:hAnsi="Times New Roman"/>
          <w:sz w:val="18"/>
          <w:szCs w:val="18"/>
          <w:color w:val="auto"/>
        </w:rPr>
        <w:t>— Other current assets include receivables for tenant improvement allowances of $10,742 and $14,941 as of February 3,</w:t>
      </w:r>
    </w:p>
    <w:p>
      <w:pPr>
        <w:spacing w:after="0" w:line="31" w:lineRule="exact"/>
        <w:rPr>
          <w:sz w:val="20"/>
          <w:szCs w:val="20"/>
          <w:color w:val="auto"/>
        </w:rPr>
      </w:pPr>
    </w:p>
    <w:p>
      <w:pPr>
        <w:ind w:left="200" w:right="680"/>
        <w:spacing w:after="0" w:line="261" w:lineRule="auto"/>
        <w:rPr>
          <w:sz w:val="20"/>
          <w:szCs w:val="20"/>
          <w:color w:val="auto"/>
        </w:rPr>
      </w:pPr>
      <w:r>
        <w:rPr>
          <w:rFonts w:ascii="Times New Roman" w:cs="Times New Roman" w:eastAsia="Times New Roman" w:hAnsi="Times New Roman"/>
          <w:sz w:val="18"/>
          <w:szCs w:val="18"/>
          <w:color w:val="auto"/>
        </w:rPr>
        <w:t>2019 and February 4, 2018, respectively, primarily related to our new store openings. We consider the concentration of credit risk for tenant improvement allowance receivables from landlords to be minimal due to the payment histories and general financial condition of our landlords.</w:t>
      </w:r>
    </w:p>
    <w:p>
      <w:pPr>
        <w:spacing w:after="0" w:line="176" w:lineRule="exact"/>
        <w:rPr>
          <w:sz w:val="20"/>
          <w:szCs w:val="20"/>
          <w:color w:val="auto"/>
        </w:rPr>
      </w:pPr>
    </w:p>
    <w:p>
      <w:pPr>
        <w:jc w:val="both"/>
        <w:ind w:left="200" w:right="12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 Property and equipment are carried at cost less accumulated depreciation. Depreciation is computed on the straight-line method, based on the shorter of the estimated useful lives or the terms of the underlying leases of the related assets. Estimated depreciable lives for the categories of property and equipment follows:</w:t>
      </w:r>
    </w:p>
    <w:p>
      <w:pPr>
        <w:spacing w:after="0" w:line="18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300" w:type="dxa"/>
            <w:vAlign w:val="bottom"/>
            <w:gridSpan w:val="2"/>
          </w:tcPr>
          <w:p>
            <w:pPr>
              <w:jc w:val="center"/>
              <w:ind w:left="1434"/>
              <w:spacing w:after="0"/>
              <w:rPr>
                <w:sz w:val="20"/>
                <w:szCs w:val="20"/>
                <w:color w:val="auto"/>
              </w:rPr>
            </w:pPr>
            <w:r>
              <w:rPr>
                <w:rFonts w:ascii="Times New Roman" w:cs="Times New Roman" w:eastAsia="Times New Roman" w:hAnsi="Times New Roman"/>
                <w:sz w:val="14"/>
                <w:szCs w:val="14"/>
                <w:b w:val="1"/>
                <w:bCs w:val="1"/>
                <w:color w:val="auto"/>
              </w:rPr>
              <w:t>Estimated Depreciable Lives</w:t>
            </w:r>
          </w:p>
        </w:tc>
      </w:tr>
      <w:tr>
        <w:trPr>
          <w:trHeight w:val="173"/>
        </w:trPr>
        <w:tc>
          <w:tcPr>
            <w:tcW w:w="418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00" w:type="dxa"/>
            <w:vAlign w:val="bottom"/>
            <w:gridSpan w:val="2"/>
          </w:tcPr>
          <w:p>
            <w:pPr>
              <w:jc w:val="center"/>
              <w:ind w:left="1434"/>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300" w:type="dxa"/>
            <w:vAlign w:val="bottom"/>
            <w:gridSpan w:val="2"/>
            <w:shd w:val="clear" w:color="auto" w:fill="CCEEFF"/>
          </w:tcPr>
          <w:p>
            <w:pPr>
              <w:jc w:val="center"/>
              <w:ind w:left="1434"/>
              <w:spacing w:after="0"/>
              <w:rPr>
                <w:sz w:val="20"/>
                <w:szCs w:val="20"/>
                <w:color w:val="auto"/>
              </w:rPr>
            </w:pPr>
            <w:r>
              <w:rPr>
                <w:rFonts w:ascii="Times New Roman" w:cs="Times New Roman" w:eastAsia="Times New Roman" w:hAnsi="Times New Roman"/>
                <w:sz w:val="18"/>
                <w:szCs w:val="18"/>
                <w:color w:val="auto"/>
              </w:rPr>
              <w:t>3-10</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Games</w:t>
            </w:r>
          </w:p>
        </w:tc>
        <w:tc>
          <w:tcPr>
            <w:tcW w:w="3300" w:type="dxa"/>
            <w:vAlign w:val="bottom"/>
            <w:gridSpan w:val="2"/>
          </w:tcPr>
          <w:p>
            <w:pPr>
              <w:jc w:val="center"/>
              <w:ind w:left="1434"/>
              <w:spacing w:after="0"/>
              <w:rPr>
                <w:sz w:val="20"/>
                <w:szCs w:val="20"/>
                <w:color w:val="auto"/>
              </w:rPr>
            </w:pPr>
            <w:r>
              <w:rPr>
                <w:rFonts w:ascii="Times New Roman" w:cs="Times New Roman" w:eastAsia="Times New Roman" w:hAnsi="Times New Roman"/>
                <w:sz w:val="18"/>
                <w:szCs w:val="18"/>
                <w:color w:val="auto"/>
              </w:rPr>
              <w:t>3-20</w:t>
            </w:r>
          </w:p>
        </w:tc>
      </w:tr>
    </w:tbl>
    <w:p>
      <w:pPr>
        <w:spacing w:after="0" w:line="179"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Expenditures that extend the life, increase capacity or improve the safety or the efficiency of the property and equipment are capitalized, whereas costs incurred to maintain the appearance and functionality of such assets are charged to repair and maintenance expense. Application development stage costs for significant internally-developed software projects are capitalized and amortized as part of furniture, fixtures and equipment. Interest cost on funds used during the acquisition period of significant capital assets are capitalized as part of the asset and depreciated. Gains and losses related to store property and equipment disposals are recorded in “Other store operating expenses” in the Consolidated Statements of Comprehensive Income.</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evaluate our property and equipment annually or more frequently if an event occurs or circumstances change that would indicate that the carrying values of these long-lived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If the carrying amount is not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 No impairment charges were recognized in fiscal 2018, 2017 or 2016.</w:t>
      </w:r>
    </w:p>
    <w:p>
      <w:pPr>
        <w:spacing w:after="0" w:line="185" w:lineRule="exact"/>
        <w:rPr>
          <w:sz w:val="20"/>
          <w:szCs w:val="20"/>
          <w:color w:val="auto"/>
        </w:rPr>
      </w:pPr>
    </w:p>
    <w:p>
      <w:pPr>
        <w:ind w:left="200" w:right="14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tradenames </w:t>
      </w:r>
      <w:r>
        <w:rPr>
          <w:rFonts w:ascii="Times New Roman" w:cs="Times New Roman" w:eastAsia="Times New Roman" w:hAnsi="Times New Roman"/>
          <w:sz w:val="18"/>
          <w:szCs w:val="18"/>
          <w:color w:val="auto"/>
        </w:rPr>
        <w:t>— The carrying amount of goodwill is impacted by foreign currency translation adjustments. The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 adjustment increased goodwill by $59 and decreased goodwill by $63 during fiscal 2018 and fiscal 2017, respectively. Goodwill and tradenames which have an indefinite useful life, are not subject to amortization, and are evaluated for impairment annually or more frequently if an event occurs or circumstances change that would indicate that impairment may exist. Goodwill and tradenames are evaluated at year end at the level of the Company’s single operating segment, which also represents the Company’s only reporting unit.</w:t>
      </w:r>
    </w:p>
    <w:p>
      <w:pPr>
        <w:spacing w:after="0" w:line="184"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When evaluating goodwill and tradenames for impairment, the Company first performs a qualitative assessment to determine whether it is more likely than not that its reporting unit or tradenames are impaired. For fiscal year 2018, 2017 and 2016, there was no impairment to our goodwill or tradenames.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24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32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intangible assets </w:t>
      </w:r>
      <w:r>
        <w:rPr>
          <w:rFonts w:ascii="Times New Roman" w:cs="Times New Roman" w:eastAsia="Times New Roman" w:hAnsi="Times New Roman"/>
          <w:sz w:val="18"/>
          <w:szCs w:val="18"/>
          <w:color w:val="auto"/>
        </w:rPr>
        <w:t>— The costs of purchasing transferable liquor licenses through open markets in jurisdictions with a limited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liquor licenses are capitalized as indefinite-lived intangible assets and are tested for impairment annually by comparing the estimated fair value of each asset with their carrying amount. The balance of transferable liquor licenses was $3,837 and $3,398 at the end of fiscal 2018 and fiscal 2017, respectively. Other intangible assets also include intellectual property licenses associated with some of our proprietary amusement offerings.</w:t>
      </w:r>
    </w:p>
    <w:p>
      <w:pPr>
        <w:jc w:val="both"/>
        <w:ind w:left="200" w:right="60"/>
        <w:spacing w:after="0" w:line="255" w:lineRule="auto"/>
        <w:rPr>
          <w:sz w:val="20"/>
          <w:szCs w:val="20"/>
          <w:color w:val="auto"/>
        </w:rPr>
      </w:pPr>
      <w:r>
        <w:rPr>
          <w:rFonts w:ascii="Times New Roman" w:cs="Times New Roman" w:eastAsia="Times New Roman" w:hAnsi="Times New Roman"/>
          <w:sz w:val="18"/>
          <w:szCs w:val="18"/>
          <w:color w:val="auto"/>
        </w:rPr>
        <w:t>Intellectual license costs are amortized over the respective term of the license agreements and the related amortization of $259 in fiscal 2018 is included in “Other store operating expenses” in the Consolidated Statements of Comprehensive Income. The weighted average term of the license agreements is approximately five years and the unamortized balance of our intellectual property licenses was $2,029 at February 3, 2019.</w:t>
      </w:r>
    </w:p>
    <w:p>
      <w:pPr>
        <w:spacing w:after="0" w:line="186" w:lineRule="exact"/>
        <w:rPr>
          <w:sz w:val="20"/>
          <w:szCs w:val="20"/>
          <w:color w:val="auto"/>
        </w:rPr>
      </w:pPr>
    </w:p>
    <w:p>
      <w:pPr>
        <w:ind w:left="200" w:right="280" w:firstLine="441"/>
        <w:spacing w:after="0" w:line="261" w:lineRule="auto"/>
        <w:rPr>
          <w:sz w:val="20"/>
          <w:szCs w:val="20"/>
          <w:color w:val="auto"/>
        </w:rPr>
      </w:pPr>
      <w:r>
        <w:rPr>
          <w:rFonts w:ascii="Times New Roman" w:cs="Times New Roman" w:eastAsia="Times New Roman" w:hAnsi="Times New Roman"/>
          <w:sz w:val="18"/>
          <w:szCs w:val="18"/>
          <w:color w:val="auto"/>
        </w:rPr>
        <w:t>Amortization expense in fiscal 2018, 2017 and 2016 includes $188, $588 and $1,399, respectively, of amortization associated with our trademarks, which were fully amortized as of the end of fiscal 2017, and our customer relationships, which had an unamortized balance of $61 as of February 3, 2019. Other intangible assets, net of any applicable accumulated amortization, are included in “Other assets and deferred charges” on the Consolidated Balance Sheets.</w:t>
      </w:r>
    </w:p>
    <w:p>
      <w:pPr>
        <w:spacing w:after="0" w:line="176" w:lineRule="exact"/>
        <w:rPr>
          <w:sz w:val="20"/>
          <w:szCs w:val="20"/>
          <w:color w:val="auto"/>
        </w:rPr>
      </w:pPr>
    </w:p>
    <w:p>
      <w:pPr>
        <w:ind w:left="200" w:right="2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w:t>
      </w:r>
      <w:r>
        <w:rPr>
          <w:rFonts w:ascii="Times New Roman" w:cs="Times New Roman" w:eastAsia="Times New Roman" w:hAnsi="Times New Roman"/>
          <w:sz w:val="18"/>
          <w:szCs w:val="18"/>
          <w:color w:val="auto"/>
        </w:rPr>
        <w:t>— The Company capitalizes certain costs incurred in connection with borrowings or establishment of credit facilities,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costs are amortized as interest expense over the life of the borrowing or life of the related debt facility. Debt issuance costs on the revolving portion of our credit facility of $2,026 and $2,597 at the end of fiscal 2018 and fiscal 2017, respectively, are included in “Other assets and deferred charges” in the Consolidated Balance Sheets. Debt issuance costs on the term loan portion of our credit facility are reported as a direct reduction from the carrying amount of our debt.</w:t>
      </w:r>
    </w:p>
    <w:p>
      <w:pPr>
        <w:spacing w:after="0" w:line="180" w:lineRule="exact"/>
        <w:rPr>
          <w:sz w:val="20"/>
          <w:szCs w:val="20"/>
          <w:color w:val="auto"/>
        </w:rPr>
      </w:pPr>
    </w:p>
    <w:p>
      <w:pPr>
        <w:ind w:left="200" w:right="1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on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84"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w:t>
      </w:r>
    </w:p>
    <w:p>
      <w:pPr>
        <w:spacing w:after="0" w:line="176" w:lineRule="exact"/>
        <w:rPr>
          <w:sz w:val="20"/>
          <w:szCs w:val="20"/>
          <w:color w:val="auto"/>
        </w:rPr>
      </w:pPr>
    </w:p>
    <w:p>
      <w:pPr>
        <w:ind w:left="200" w:right="8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During the first quarter of 2018, we adopted ASU 2014-09, Revenue from Contracts with Customers (Topic 606),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cumulative-effect method. The new standard requires an entity to recognize revenue when it transfers promised goods or services to customers in an amount that reflects the consideration to which the entity expects to be entitled in exchange for those goods or services. The adoption did not have an impact in our consolidated financial statements, other than the enhancement of our disclosures related to our revenue-generating activities.</w:t>
      </w:r>
    </w:p>
    <w:p>
      <w:pPr>
        <w:spacing w:after="0" w:line="18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Food and beverage revenues are recognized when payment is tendered at the point of sale. Amusement revenues are primarily recognized upon utilization of game play credits on Power Cards purchased and used by customers to activate most of the video and redemption games. We have deferred a portion of revenues for the estimated unfulfilled performance obligations related to unused game play credits which we believe our customers will utilize in the future. Our estimates are based on an analysis of credits remaining on Power Cards, historic utilization patterns and revenue per game play credit sold. Total deferred amusement revenue is included in “Accrued liabilities” in our Consolidated Balance Sheets. During the fiscal year ended February 3, 2019, we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24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recognized revenue of approximately $19,300 related to the amount in deferred amusement revenue as of the end of fiscal 2017.</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sell gift cards, which do not have expiration dates, and we do not deduct non-usage fees from outstanding gift card balances. The Company recognizes revenue from gift cards upon redemption by the customer. For unredeemed gift cards that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“Amusements and other revenues” in the Consolidated Statements of Comprehensive Income. The contract liability related to our gift cards is included in “Accrued liabilities” in our Consolidated Balance Sheets. During the fiscal year ended February 3, 2019, we recognized revenue of approximately $4,000 related to the amount in deferred gift card revenue as of the end of fiscal 2017, of which approximately $660 was gift card breakage revenue.</w:t>
      </w:r>
    </w:p>
    <w:p>
      <w:pPr>
        <w:spacing w:after="0" w:line="185"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Revenues are reported net of sales-related taxes collected from customers to be remitted to governmental taxing authorities. Sales tax collected is included in “Accrued liabilities” until the taxes are remitted to the appropriate taxing authorities. Certain of our promotional programs include multiple performance obligations that are discounted from the standalone selling prices. We allocate the entire discount to the amusement performance obligation.</w:t>
      </w:r>
    </w:p>
    <w:p>
      <w:pPr>
        <w:spacing w:after="0" w:line="176" w:lineRule="exact"/>
        <w:rPr>
          <w:sz w:val="20"/>
          <w:szCs w:val="20"/>
          <w:color w:val="auto"/>
        </w:rPr>
      </w:pPr>
    </w:p>
    <w:p>
      <w:pPr>
        <w:ind w:left="200" w:right="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Amusements costs of products </w:t>
      </w:r>
      <w:r>
        <w:rPr>
          <w:rFonts w:ascii="Times New Roman" w:cs="Times New Roman" w:eastAsia="Times New Roman" w:hAnsi="Times New Roman"/>
          <w:sz w:val="18"/>
          <w:szCs w:val="18"/>
          <w:color w:val="auto"/>
        </w:rPr>
        <w:t>— Certain midway games allow customers to earn tickets, which may be redeemed for prizes. The cost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prizes is included in the cost of amusement products and is generally recorded when tickets are utilized by the customer by redeeming the tickets for a prize in our WIN! area. Customers may also store the ticket value on a Power Card for future redemption. We have recorded a liability for the estimated amount of outstanding tickets that we believe will be redeemed in subsequent periods based on tickets outstanding, historic redemption patterns and the estimated redemption cost of products per ticket.</w:t>
      </w:r>
    </w:p>
    <w:p>
      <w:pPr>
        <w:spacing w:after="0" w:line="180" w:lineRule="exact"/>
        <w:rPr>
          <w:sz w:val="20"/>
          <w:szCs w:val="20"/>
          <w:color w:val="auto"/>
        </w:rPr>
      </w:pPr>
    </w:p>
    <w:p>
      <w:pPr>
        <w:ind w:left="200" w:right="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costs </w:t>
      </w:r>
      <w:r>
        <w:rPr>
          <w:rFonts w:ascii="Times New Roman" w:cs="Times New Roman" w:eastAsia="Times New Roman" w:hAnsi="Times New Roman"/>
          <w:sz w:val="18"/>
          <w:szCs w:val="18"/>
          <w:color w:val="auto"/>
        </w:rPr>
        <w:t>— Advertising production costs are expensed in the period when the advertising first takes place. Other advertising costs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expensed as incurred. Advertising costs expensed were $40,767, $37,876 and $33,795 in fiscal 2018, 2017 and 2016, respectively. Advertising costs are included in “Other store operating expenses” in the Consolidated Statements of Comprehensive Income.</w:t>
      </w:r>
    </w:p>
    <w:p>
      <w:pPr>
        <w:spacing w:after="0" w:line="171" w:lineRule="exact"/>
        <w:rPr>
          <w:sz w:val="20"/>
          <w:szCs w:val="20"/>
          <w:color w:val="auto"/>
        </w:rPr>
      </w:pPr>
    </w:p>
    <w:p>
      <w:pPr>
        <w:ind w:left="200" w:right="4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 We currently lease the building or site of all of our stores under operating leases. The Company’s lease agreements generally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rent holidays and/or escalating rent clauses. The Company recognizes minimum rent expense on a straight-line basis over the lease term, which includes reasonably assured renewal periods. The lease term begins when the Company has the right to control the use of the property, which is typically before rent payments are due under the lease agreement. The difference between the rent expense and rent paid is recorded as deferred rent within “Accrued liabilities” or “Deferred occupancy costs” in the Consolidated Balance Sheets. Tenant improvement allowances are also recorded in “Accrued liabilities or “Deferred occupancy costs” and amortized as reductions of lease rent expense ratably over the lease term.</w:t>
      </w:r>
    </w:p>
    <w:p>
      <w:pPr>
        <w:spacing w:after="0" w:line="187"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fair values of acquired lease contracts having contractual rents higher than fair market rents (unfavorable leases) or lower than fair market rents (favorable leases) are amortized on a straight-line basis over the remaining initial lease term. The current and non-current portions of unfavorable leases are included in “Accrued liabilities” and “Deferred occupancy costs”, respectively, in the Consolidated Balance Sheets. The current and non-current portions of favorable leases are included in “Other current assets” and “Other assets and deferred charges”, respectively, in the Consolidated Balance Sheets.</w:t>
      </w:r>
    </w:p>
    <w:p>
      <w:pPr>
        <w:spacing w:after="0" w:line="184"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Additionally, certain of our lease agreements contain clauses that provide for additional contingent rent based on a percentage of sales greater than certain specified target amounts. We recognize contingent rent expense provided the achievement of that target is considered probable.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24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16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Self-insurance programs </w:t>
      </w:r>
      <w:r>
        <w:rPr>
          <w:rFonts w:ascii="Times New Roman" w:cs="Times New Roman" w:eastAsia="Times New Roman" w:hAnsi="Times New Roman"/>
          <w:sz w:val="18"/>
          <w:szCs w:val="18"/>
          <w:color w:val="auto"/>
        </w:rPr>
        <w:t>— The Company utilizes a self-insurance plan for health, general liability and workers’ compensation coverage.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our exposure to losses, we maintain stop-loss coverage through third-party insurers. Losses are accrued based on the Company’s historical claims experience and loss reserves, assisted by independent third-party actuaries. The estimated cost to settle reported claims and incurred but unreported claims is included in “Accrued liabilities” and “Other liabilities” in the Consolidated Balance Sheets.</w:t>
      </w:r>
    </w:p>
    <w:p>
      <w:pPr>
        <w:spacing w:after="0" w:line="177" w:lineRule="exact"/>
        <w:rPr>
          <w:sz w:val="20"/>
          <w:szCs w:val="20"/>
          <w:color w:val="auto"/>
        </w:rPr>
      </w:pPr>
    </w:p>
    <w:p>
      <w:pPr>
        <w:ind w:left="200" w:right="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 Pre-opening costs include costs associated with the opening and organizing of new stores, including the cost of feasibility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studies, pre-opening rent, training, relocation, recruiting and travel costs for employees engaged in such pre-opening activities. All pre-opening costs are expensed as incurred.</w:t>
      </w:r>
    </w:p>
    <w:p>
      <w:pPr>
        <w:spacing w:after="0" w:line="17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Deferred tax assets and liabilities are recognized for the future tax consequences attributable to differences between the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Any effects of changes in income tax rates or law changes are included in the provision for income taxes in the period enacted. A valuation allowance is recorded to reduce the carrying amounts of deferred tax assets if we determine that it is more likely than not that such assets will not be realized. The Company recognizes the tax benefit from an uncertain tax position only if it is more likely than not that the tax position will be sustained on examination by the taxing authorities, based on the technical merits of the position.</w:t>
      </w:r>
    </w:p>
    <w:p>
      <w:pPr>
        <w:spacing w:after="0" w:line="187"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The calculation of tax liabilities involves judgment and evaluation of uncertainties in the interpretation of federal and state tax regulations. As a result, we have established accruals for taxes that may become payable in future years as a result of audits by tax authorities. Tax accruals are reviewed regularly pursuant to accounting guidance for uncertainty in income taxes.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certain issue. Accordingly, we may experience significant changes in tax accruals in the future, if or when such events occur.</w:t>
      </w:r>
    </w:p>
    <w:p>
      <w:pPr>
        <w:spacing w:after="0" w:line="188"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After the adoption of ASU 2016-09, Improvements to Employee Share-Based Payment Accounting (Topic 718), the Company began recording excess tax benefits or shortfalls to the provision for income taxes in the Consolidated Statements of Comprehensive Income beginning in fiscal 2017. In prior years, any similar excess tax benefits were recorded as an adjustment to additional paid-in capital in the Consolidated Balance Sheets. The Company recorded excess tax benefits of $4,998 and $11,491 in fiscal 2018 and fiscal 2017, respectively, to the provision for income taxes in the Consolidated Statements of Comprehensive Income. In connection with the adoption of the new accounting guidance in fiscal 2017 we recorded an adjustment to retained earnings of $782 to recognize deferred tax assets related to certain state net operating loss carryforwards attributable to excess tax benefits in share-based compensation that had not been previously recognized in additional paid-in capital.</w:t>
      </w:r>
    </w:p>
    <w:p>
      <w:pPr>
        <w:spacing w:after="0" w:line="185" w:lineRule="exact"/>
        <w:rPr>
          <w:sz w:val="20"/>
          <w:szCs w:val="20"/>
          <w:color w:val="auto"/>
        </w:rPr>
      </w:pPr>
    </w:p>
    <w:p>
      <w:pPr>
        <w:ind w:left="200" w:right="1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w:t>
      </w:r>
      <w:r>
        <w:rPr>
          <w:rFonts w:ascii="Times New Roman" w:cs="Times New Roman" w:eastAsia="Times New Roman" w:hAnsi="Times New Roman"/>
          <w:sz w:val="18"/>
          <w:szCs w:val="18"/>
          <w:color w:val="auto"/>
        </w:rPr>
        <w:t>— Foreign currency translation adjustments represent the unrealized impact of translating the financial statements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w:t>
      </w:r>
    </w:p>
    <w:p>
      <w:pPr>
        <w:spacing w:after="0" w:line="177"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In February 2016, the Financial Accounting Standards Board (“FASB”) issued ASU 2016-02,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842). This new guidance requires the recognition of lease liabilities, representing future minimum lease payments, on a discounted basis, and corresponding right-of-use assets on the balance sheet for most leases, along with requirements for enhanced disclosures of key information about its leasing arrangements. This guidance is effective for the Company in fiscal 2019, with early adoption permitted, and modified retrospective application is required with an option to not restate comparative periods in the period of adoption.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20"/>
          </w:cols>
          <w:pgMar w:left="24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Company will adopt this guidance during our first quarter of fiscal 2019 without restating comparative periods and recognizing a cumulative effect adjustment to the opening balance of retained earnings in the period of adoption. We plan to elect to apply the package of practical expedients that permit us to not reassess existing contracts for embedded leases or to reassess lease classification or initial direct costs. We also plan to make policy elections not to apply the balance sheet recognition requirements for qualifying short-term leases and not to separate non-lease components from lease components, as applicable, to our facility leases.</w:t>
      </w:r>
    </w:p>
    <w:p>
      <w:pPr>
        <w:spacing w:after="0" w:line="184" w:lineRule="exact"/>
        <w:rPr>
          <w:sz w:val="20"/>
          <w:szCs w:val="20"/>
          <w:color w:val="auto"/>
        </w:rPr>
      </w:pPr>
    </w:p>
    <w:p>
      <w:pPr>
        <w:ind w:left="200" w:right="240" w:firstLine="441"/>
        <w:spacing w:after="0" w:line="258" w:lineRule="auto"/>
        <w:rPr>
          <w:sz w:val="20"/>
          <w:szCs w:val="20"/>
          <w:color w:val="auto"/>
        </w:rPr>
      </w:pPr>
      <w:r>
        <w:rPr>
          <w:rFonts w:ascii="Times New Roman" w:cs="Times New Roman" w:eastAsia="Times New Roman" w:hAnsi="Times New Roman"/>
          <w:sz w:val="18"/>
          <w:szCs w:val="18"/>
          <w:color w:val="auto"/>
        </w:rPr>
        <w:t>The adoption of this guidance is expected to have a material impact on our Consolidated Balance Sheets. We expect to recognize additional operating liabilities of approximately $1,050,000 to $1,175,000 for existing operating leases, based on the present value of the remaining minimum rental payments. We expect to recognize the corresponding right-of-use assets of approximately $825,000 to $925,000, which includes the change in presentation of approximately $225,000 to $250,000 of deferred occupancy costs. We estimate the cumulative effect reduction to the opening balance sheet of retained earnings from adjustments resulting from adoption of this guidance to be approximately $150, net of tax.</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 has not yet finalized quantifying the impact, if any, of leases included in certain other contracts and may identify other impacts. The Company also continues to evaluate the impact the adoption of this new guidance will have on financial statement disclosures, in addition to evaluating business processes and internal controls related to lease accounting to assist in the ongoing application of the new guidance. The new guidance is not expected to impact any covenants related to the Company’s long-term debt because the current credit facility agreements specify that covenant ratios be calculated using GAAP in effect at the time the credit facility agreements were entered.</w:t>
      </w:r>
    </w:p>
    <w:p>
      <w:pPr>
        <w:spacing w:after="0" w:line="184"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188" w:lineRule="exact"/>
        <w:rPr>
          <w:sz w:val="20"/>
          <w:szCs w:val="20"/>
          <w:color w:val="auto"/>
        </w:rPr>
      </w:pPr>
    </w:p>
    <w:p>
      <w:pPr>
        <w:ind w:left="200" w:right="360" w:firstLine="441"/>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which eliminates, modifies and adds disclosure requirements for fair value measurements. The update is effective for fiscal years beginning after December 15, 2019 and for interim periods within those fiscal years, with early adoption permitted. The Company is currently assessing the impact of this new standard on our consolidated financial statements.</w:t>
      </w:r>
    </w:p>
    <w:p>
      <w:pPr>
        <w:spacing w:after="0" w:line="180"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2018-15, Intangibles – Goodwill and Other — Internal Use Software (Subtopic 350-40), which aligns the requirements for capitalizing implementation costs incurred in a cloud computing arrangement that is a service contract with the requirements for capitalizing implementation costs incurred to develop or obtain internal-use software. Costs for implementation activities in the application development stage are capitalized depending on the nature of the costs. The new standard requires the capitalized implementation costs of a hosting arrangement that is a service contract to be expensed over the term of the hosting arrangement and to present the expense in the same line item in the Consolidated Statements of Comprehensive Income as the fees associated with the hosting element of the arrangement. This update is effective for interim and annual periods beginning after December 15, 2019. Early adoption is permitted and can be applied either retrospectively or prospectively. We early adopted this guidance during fiscal 2018, and there was no significant impact upon adoption. Capitalized implementation costs are included in “Prepaid expenses” in the Consolidated Balance Sheets.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20"/>
          </w:cols>
          <w:pgMar w:left="24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consist of the following for the fiscal years ended:</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5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store—food and beverage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store—amusement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Corporate—amusement, supplies and 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Amusement inventory includes electronics, plush toys and small novelty and other items used as redemption prizes for certain midway games, as well as supplies needed for midway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consist of the following for the fiscal years ended:</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2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251,819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1,383,515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1,200,785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(578,178)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(474,330)</w:t>
            </w: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805,337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Depreciation expense totaled $118,087 for fiscal 2018, $102,178 for fiscal 2017, and $86,906 for fiscal 2016.</w:t>
      </w:r>
    </w:p>
    <w:p>
      <w:pPr>
        <w:spacing w:after="0" w:line="225"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During fiscal 2018, we purchased land in Wichita, Kansas in the amount of $2,444. Additionally, during fiscal 2018, we completed a sale-leaseback transaction under which we sold the land and buildings of one of our stores to an unrelated party, we recorded net proceeds from the sale of $11,571 and a loss of $13 on the transaction. During fiscal 2016, we completed sale-leaseback transactions under which we sold the land and buildings of two of our stores to an unrelated party, and recorded net proceeds from the sales of $20,262. Gains of $126 realized from the fiscal 2016 sale-leaseback transactions were deferred and are being amortized over the initial lease term of the respective leases. All leases entered into as a result of the sale-leaseback transactions are classified as operating leases.</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240" w:top="455" w:right="5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4: Accrued Liabilities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fiscal years ended:</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44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w w:val="98"/>
              </w:rPr>
              <w:t>February 3,</w:t>
            </w:r>
          </w:p>
        </w:tc>
        <w:tc>
          <w:tcPr>
            <w:tcW w:w="14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redemption liability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 term insurance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liabilities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(Refer to Note 10)</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4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157,164</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135,161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Long-term debt consists of the following as of the fiscal years ended:</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February 3,</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Facility—term</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$ 281,250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$ 296,250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Facility—revolver</w:t>
            </w: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debt outstanding</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installments—term</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debt issuance costs—term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(781)</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$ 378,469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$ 351,249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On August 17, 2017, we entered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of $3,750 per quarter are required beginning December 31, 2017 through maturity, when the remaining balance is due. Our current credit facility is secured by the assets of D&amp;B Inc and is unconditionally guaranteed by D&amp;B Holdings and each of its direct and indirect domestic wholly-owned subsidiaries. As of February 3, 2019, we had letters of credit outstanding of $5,047 and $381,953 of borrowing available under our credit facility.</w:t>
      </w:r>
    </w:p>
    <w:p>
      <w:pPr>
        <w:spacing w:after="0" w:line="188"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At the time of the refinancing in fiscal 2017, the majority of proceeds from this senior secured credit facility was used to refinance in full the May 15, 2015 credit facility (of which $291,000 was outstanding) and to pay related interest and expenses. We incurred debt costs of $2,910, of which $397 was expensed as a loss on debt refinancing, and the remaining debt costs are being amortized over the life of the credit facility. The total loss on debt refinancing during fiscal 2017, including a portion of unamortized debt costs written off, was $718.</w:t>
      </w:r>
    </w:p>
    <w:p>
      <w:pPr>
        <w:spacing w:after="0" w:line="1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24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LIBOR plus a spread ranging from 1.25% to 2.00% for the term loans and the revolving loans. The stated weighted average interest rate at February 3, 2019 was 3.75%. The fiscal 2018 weighted average effective interest rate was 3.84%. The weighted average effective rate includes amortization of debt issuance costs, commitment and other fees.</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February 3, 2019, the Company was in compliance with the restrictive and financial ratio covenants of our credit facility.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debt obligations </w:t>
      </w:r>
      <w:r>
        <w:rPr>
          <w:rFonts w:ascii="Times New Roman" w:cs="Times New Roman" w:eastAsia="Times New Roman" w:hAnsi="Times New Roman"/>
          <w:sz w:val="18"/>
          <w:szCs w:val="18"/>
          <w:color w:val="auto"/>
        </w:rPr>
        <w:t>— Below is our future debt principal payment obligations as of February 3, 2019 by fiscal year:</w:t>
      </w:r>
    </w:p>
    <w:p>
      <w:pPr>
        <w:spacing w:after="0" w:line="27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349,250</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394,250</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 The following tables set forth our recorded interest expense, net for the fiscal years ended:</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4,</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73"/>
        </w:trPr>
        <w:tc>
          <w:tcPr>
            <w:tcW w:w="54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7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 and discount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On December 22, 2017, the U.S. government enacted the Tax Cuts and Jobs Act (“Tax Act”). The Tax Act contains significant changes to corporate taxation, including a reduction of the corporate tax rate from 35% to 21%, creating a territorial tax system, allowing for immediate expensing of certain qualified property, modifying or repealing many business deductions and credits, implementing a deemed repatriation transition tax, and providing other incentives. In response to the Tax Act, on December 22, 2017, the Securities and Exchange Commission staff issued Staff Accounting Bulletin No. 118 (“SAB 118”) to provide guidance for companies that are not able to complete their accounting for the income tax effects of the Tax Act in the period of enactment and provides a measurement period that should not extend beyond one year from the Tax Act enactment date for companies to complete the accounting under ASC 740. During fiscal 2018, there was no material changes to the provisional amount recorded in fiscal 2017.</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federal statutory rate for fiscal 2018 is 21.0% and fiscal 2017 was 33.7%.</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20"/>
          </w:cols>
          <w:pgMar w:left="24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provision for income taxes for the fiscal years ended:</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4,</w:t>
            </w:r>
          </w:p>
        </w:tc>
        <w:tc>
          <w:tcPr>
            <w:tcW w:w="2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73"/>
        </w:trPr>
        <w:tc>
          <w:tcPr>
            <w:tcW w:w="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provision: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13,456</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35,195</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35,596</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10,730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10,107</w:t>
            </w: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44,285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45,775</w:t>
            </w: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7,318</w:t>
            </w: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20" w:type="dxa"/>
            <w:vAlign w:val="bottom"/>
          </w:tcPr>
          <w:p>
            <w:pPr>
              <w:spacing w:after="0"/>
              <w:rPr>
                <w:sz w:val="20"/>
                <w:szCs w:val="20"/>
                <w:color w:val="auto"/>
              </w:rPr>
            </w:pPr>
          </w:p>
        </w:tc>
        <w:tc>
          <w:tcPr>
            <w:tcW w:w="5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30,666</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35,440</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52,736</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set forth the significant components of our deferred assets and liabilities as of the fiscal years ended:</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4,</w:t>
            </w:r>
          </w:p>
        </w:tc>
      </w:tr>
      <w:tr>
        <w:trPr>
          <w:trHeight w:val="173"/>
        </w:trPr>
        <w:tc>
          <w:tcPr>
            <w:tcW w:w="20" w:type="dxa"/>
            <w:vAlign w:val="bottom"/>
          </w:tcPr>
          <w:p>
            <w:pPr>
              <w:spacing w:after="0"/>
              <w:rPr>
                <w:sz w:val="15"/>
                <w:szCs w:val="15"/>
                <w:color w:val="auto"/>
              </w:rPr>
            </w:pPr>
          </w:p>
        </w:tc>
        <w:tc>
          <w:tcPr>
            <w:tcW w:w="7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redemption ticket liability</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18,503</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14,994</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16,678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12,891</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Workers compensation and general liability insurance</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5,991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3,715</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Indirect benefit of unrecognized tax benefits</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r>
      <w:tr>
        <w:trPr>
          <w:trHeight w:val="22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20" w:type="dxa"/>
            <w:vAlign w:val="bottom"/>
          </w:tcPr>
          <w:p>
            <w:pPr>
              <w:spacing w:after="0"/>
              <w:rPr>
                <w:sz w:val="20"/>
                <w:szCs w:val="20"/>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Trademark/tradename</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(21,498)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(63,524)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(49,952)</w:t>
            </w:r>
          </w:p>
        </w:tc>
      </w:tr>
      <w:tr>
        <w:trPr>
          <w:trHeight w:val="22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 as: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net—noncurrent</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6,736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liablities, net—noncurrent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r>
      <w:tr>
        <w:trPr>
          <w:trHeight w:val="22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At February 3, 2019, we had a valuation allowance of $1,341 against our deferred tax assets. The ultimate realization of our deferred tax assets is dependent on the generation of future taxable income in the jurisdiction and during periods in which temporary differences become deductible. In assessing the realizability of our deferred tax assets, we considered whether it is more likely than not that some or all of the deferred tax assets</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240" w:top="455" w:right="5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will not be realized. Based on the level of recent historical taxable income, consistent generation of annual taxable income, and estimations of future taxable income, we have concluded that it is more likely than not that we will realize the federal tax benefits associated with most of our deferred tax assets. The Tax Act repealed the performance-based compensation exception to the executive compensation limitation. A transition rule applies that allows payments to qualify for the exception if the payments are made pursuant to a written binding contract that was in effect on November 2, 2017 and has not since been materially modified. A valuation allowance of $409 was recorded in fiscal 2018 to reduce the portion of deferred tax assets related to executive compensation payments made pursuant to contracts in effect after November 2, 2017 to an amount which we believe will ultimately be realized. We assessed the realizability of the deferred tax assets associated with state taxes, foreign taxes and uncertain tax positions and have concluded that it is more likely than not that we will realize only a portion of these benefits. Accordingly, we have established a valuation allowance to reduce those deferred tax assets to an amount which we believe will ultimately be realized.</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February 3, 2019, we have $61,402 of state net operating loss carryforwards, which expire beginning 2019 through 2038.</w:t>
      </w:r>
    </w:p>
    <w:p>
      <w:pPr>
        <w:spacing w:after="0" w:line="225"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unrecognized tax benefits excluding interest, penalties and related income tax benefits for the fiscal years ended:</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18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15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 accrued interest and penalties on the unrecognized tax benefits, excluding any related income tax benefits, were $394 and $360 as of February 3, 2019 and February 4, 2018, respectively. The Company recorded accrued interest related to the unrecognized tax benefits and penalties as a component of the provision for income taxes recognized in the Consolidated Statements of Comprehensive Income.</w:t>
      </w:r>
    </w:p>
    <w:p>
      <w:pPr>
        <w:spacing w:after="0" w:line="176"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We currently anticipate that approximately $668 of unrecognized tax benefits will be settled through federal and state audits or will be recognized because of the expiration of statute of limitations during fiscal 2019. Future recognition of potential interest or penalties, if any, will be recorded as a component of our income tax provision. Due to the impact of deferred tax accounting, $2,153 of unrecognized tax benefits, if recognized, would affect the effective tax rate.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20"/>
          </w:cols>
          <w:pgMar w:left="24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reconciliation of the federal statutory rate to the effective income tax rate for the fiscal years ended:</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620" w:type="dxa"/>
            <w:vAlign w:val="bottom"/>
          </w:tcPr>
          <w:p>
            <w:pPr>
              <w:spacing w:after="0"/>
              <w:rPr>
                <w:sz w:val="15"/>
                <w:szCs w:val="15"/>
                <w:color w:val="auto"/>
              </w:rPr>
            </w:pPr>
          </w:p>
        </w:tc>
        <w:tc>
          <w:tcPr>
            <w:tcW w:w="21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29,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corporate statutory rate</w:t>
            </w:r>
          </w:p>
        </w:tc>
        <w:tc>
          <w:tcPr>
            <w:tcW w:w="5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5.3%</w:t>
            </w: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2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0.5%</w:t>
            </w:r>
          </w:p>
        </w:tc>
        <w:tc>
          <w:tcPr>
            <w:tcW w:w="2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w:t>
            </w: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0.6%</w:t>
            </w:r>
          </w:p>
        </w:tc>
        <w:tc>
          <w:tcPr>
            <w:tcW w:w="2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contingency reserves</w:t>
            </w:r>
          </w:p>
        </w:tc>
        <w:tc>
          <w:tcPr>
            <w:tcW w:w="2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0.6%</w:t>
            </w:r>
          </w:p>
        </w:tc>
        <w:tc>
          <w:tcPr>
            <w:tcW w:w="2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2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Impacts related to the Tax Act</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20.7%</w:t>
            </w:r>
          </w:p>
        </w:tc>
        <w:tc>
          <w:tcPr>
            <w:tcW w:w="2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22.7%</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We file consolidated income tax returns with all our domestic subsidiaries, which are periodically audited by various federal, state and foreign jurisdictions. We are generally no longer subject to federal, state, or foreign income tax examinations for years prior to 2014.</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lease certain property and equipment under various non-cancelable operating leases. Some of the leases include options for renewal or extension on various terms. Most of the leases require us to pay property taxes, insurance and maintenance of the leased assets. Certain leases also have provisions for additional contingent rentals based on revenues. Store rent expense is included in “Other store operating expenses” or “Pre-opening costs” accordingly, and rent expense related to our corporate offices is included in “General and administrative expenses” in the Consolidated Statements of Comprehensive Income. For fiscal 2018, rent expense for operating leases was $113,007, including contingent rentals of $3,526. For fiscal 2017, rent expense for operating leases was $96,814, including contingent rentals of $3,427. For fiscal 2016, rent expense for operating leases was $77,964, including contingent rentals of $4,263. At February 3, 2019, future minimum lease payments, including any periods covered by renewal options we are reasonably assured of exercising are:</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
        </w:trPr>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$121,550</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$117,033</w:t>
            </w:r>
          </w:p>
        </w:tc>
        <w:tc>
          <w:tcPr>
            <w:tcW w:w="16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$111,045</w:t>
            </w:r>
          </w:p>
        </w:tc>
        <w:tc>
          <w:tcPr>
            <w:tcW w:w="16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$104,049</w:t>
            </w: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$100,712</w:t>
            </w:r>
          </w:p>
        </w:tc>
        <w:tc>
          <w:tcPr>
            <w:tcW w:w="16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$1,229,784</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$1,784,173</w:t>
            </w: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February 3, 2019, we also had lease commitments on equipment as follows: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
        </w:trPr>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4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$951</w:t>
            </w:r>
          </w:p>
        </w:tc>
        <w:tc>
          <w:tcPr>
            <w:tcW w:w="15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$875</w:t>
            </w:r>
          </w:p>
        </w:tc>
        <w:tc>
          <w:tcPr>
            <w:tcW w:w="16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$597</w:t>
            </w:r>
          </w:p>
        </w:tc>
        <w:tc>
          <w:tcPr>
            <w:tcW w:w="16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$19</w:t>
            </w:r>
          </w:p>
        </w:tc>
        <w:tc>
          <w:tcPr>
            <w:tcW w:w="2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$2,655</w:t>
            </w:r>
          </w:p>
        </w:tc>
      </w:tr>
    </w:tbl>
    <w:p>
      <w:pPr>
        <w:spacing w:after="0" w:line="198"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As of February 3, 2019, we have signed operating lease agreements for ten future sites which are expected to open in fiscal 2019. The landlords have fulfilled the obligations to commit us to the lease terms under these agreements and therefore, the future obligations related to these locations are included in the table above.</w:t>
      </w:r>
    </w:p>
    <w:p>
      <w:pPr>
        <w:spacing w:after="0" w:line="176"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As of February 3, 2019, we have signed fourteen additional lease agreements for future sites. Our commitments under these agreements are contingent, upon among other things, the landlord’s delivery of access to the premises for construction. Future obligations related to these agreements are not included in the table above.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240" w:top="455" w:right="4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left="200" w:right="60" w:firstLine="441"/>
        <w:spacing w:after="0" w:line="257"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 As of February 3, 2019, the Company had a total share repurchase authorization of $400,000 which expires at the end of fiscal 2020, and there was approximately $70,137 of share repurchase authorization remaining. On April 2, 2019, our Board of Directors approved an additional $200,000 in authorization under our existing share repurchase program.</w:t>
      </w:r>
    </w:p>
    <w:p>
      <w:pPr>
        <w:spacing w:after="0" w:line="200" w:lineRule="exact"/>
        <w:rPr>
          <w:sz w:val="20"/>
          <w:szCs w:val="20"/>
          <w:color w:val="auto"/>
        </w:rPr>
      </w:pPr>
    </w:p>
    <w:p>
      <w:pPr>
        <w:spacing w:after="0" w:line="204"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The Company considers several factors in determining when to execute share repurchases, including among other things, current cash needs, capacity for leverage, cost of borrowings, its results of operations and the market price of its common stock. The following table provides, on a settlement date basis, the number of shares repurchased, average price paid per share and total amount paid for share repurchases for fiscal 2018, 2017 and 2016:</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5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2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2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3,080,419</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2,636,616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566,756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Toal cash paid for share repurchases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151,913</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and are not included in the table above. During the fiscal year ended 2018, we withheld 16,251 shares of common stock to satisfy $673 of employees’ tax obligations.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of Directors declared the following dividends in fiscal 2018:</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Dividend per</w:t>
            </w:r>
          </w:p>
        </w:tc>
        <w:tc>
          <w:tcPr>
            <w:tcW w:w="2200" w:type="dxa"/>
            <w:vAlign w:val="bottom"/>
            <w:vMerge w:val="restart"/>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60"/>
        </w:trPr>
        <w:tc>
          <w:tcPr>
            <w:tcW w:w="220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center"/>
              <w:ind w:right="8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September 11, 2018</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66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September 25, 2018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5,842</w:t>
            </w:r>
          </w:p>
        </w:tc>
        <w:tc>
          <w:tcPr>
            <w:tcW w:w="7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October 10,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13, 2018</w:t>
            </w:r>
          </w:p>
        </w:tc>
        <w:tc>
          <w:tcPr>
            <w:tcW w:w="9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26, 2018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7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10, 2019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On March 11, 2019, our Board of Directors declared a quarterly cash dividend of $0.15 per share on each of its outstanding common shares, such dividend to be paid on April 10, 2019, to shareholders of record on March 26, 2019.</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200" w:right="200" w:firstLine="441"/>
        <w:spacing w:after="0" w:line="255" w:lineRule="auto"/>
        <w:rPr>
          <w:sz w:val="20"/>
          <w:szCs w:val="20"/>
          <w:color w:val="auto"/>
        </w:rPr>
      </w:pPr>
      <w:r>
        <w:rPr>
          <w:rFonts w:ascii="Times New Roman" w:cs="Times New Roman" w:eastAsia="Times New Roman" w:hAnsi="Times New Roman"/>
          <w:sz w:val="18"/>
          <w:szCs w:val="18"/>
          <w:color w:val="auto"/>
        </w:rPr>
        <w:t>The Company maintains an equity incentive plan under which it may grant awards denominated in the Company’s common stock or units of the Company’s common stock, as well as cash variable compensation awards. The Company’s long-term incentive compensation provides awards to executive and management personnel as well as directors. Prior to October 2014, we issued share-based awards under our 2010 Stock Incentive Plan. Outstanding grants under this plan include fully vested performance-based options and time-based options which vest over a five-year period from the grant date. Share-based awards granted after October 2014 and beyond were issued pursuant to the terms of our 2014 Stock Incentive Plan. We may grant stock options, restricted stock or restricted stock units (“RSU’s”) to executive and management personnel as well as directors. The maximum number of shares of common stock issuable under the 2014 Stock Incentive Plan is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240" w:top="455" w:right="4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1" w:lineRule="auto"/>
        <w:rPr>
          <w:sz w:val="20"/>
          <w:szCs w:val="20"/>
          <w:color w:val="auto"/>
        </w:rPr>
      </w:pPr>
      <w:r>
        <w:rPr>
          <w:rFonts w:ascii="Times New Roman" w:cs="Times New Roman" w:eastAsia="Times New Roman" w:hAnsi="Times New Roman"/>
          <w:sz w:val="18"/>
          <w:szCs w:val="18"/>
          <w:color w:val="auto"/>
        </w:rPr>
        <w:t>3,100,000 shares. Time-based options granted to employees generally become exercisable ratably over a three-year period from the grant date. Certain time-based options granted to executives at the IPO date vest 50% after a period of three years and 50% after a period of four years. Performance-based RSU’s awarded to employees fully vest after three years, subject to the achievement of performance conditions. Time-based RSU’s have various service periods not exceeding five years.</w:t>
      </w:r>
    </w:p>
    <w:p>
      <w:pPr>
        <w:spacing w:after="0" w:line="18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Options granted under both plans terminate on the ten-year anniversary of the grants. Stock option awards generally provide continued vesting, in the event of termination, for employees that reach age 60 or greater and have at least ten years of service or for employees that reach age 65 (“retired employees”). Unvested stock options, restricted stock and RSU’s are generally forfeited by employees who terminate prior to vesting and prorated for retired employees.</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Each share granted subject to a stock option award or time-based RSU award reduces the number of shares available under our stock incentive plans by one share. Each share granted subject to a performance RSU award reduces the number of shares available under our stock incentive plans by a range of one share if the target performance is achieved, up to a maximum of two shares for performance above target and a minimum of no shares if performance is below a minimum threshold target.</w:t>
      </w:r>
    </w:p>
    <w:p>
      <w:pPr>
        <w:spacing w:after="0" w:line="180"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Compensation expense associated with share-based equity awards granted has been calculated as required by current accounting standards related to stock compensation. The valuation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For all stock options granted after our IPO, we have obtained fair value valuation analyses prepared by an independent third-party valuation firm, and the analyses utilized the market-determined share price. Since our stock had not been publicly traded prior to our IPO, the expected volatility was based on an average of the historical volatility of certain of our competitors’ stocks over the expected term of the share-based awards with the calculation placing more weight on company-specific volatilities each year thereafter. The dividend yield assumption was based on our history. The simplified method was used to estimate the expected term of share-based awards. This method was used because the Company does not have enough historical option activity to derive an expected life. The risk-free interest rate was based on the implied yield on U.S. Treasury zero-coupon issues with a remaining term equivalent to the expected term.</w:t>
      </w:r>
    </w:p>
    <w:p>
      <w:pPr>
        <w:spacing w:after="0" w:line="186"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The significant assumptions used in determining the underlying fair value of the weighted-average options granted in fiscal 2018, 2017 and 2016 were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Fiscal 2018</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Fiscal 2017</w:t>
            </w:r>
          </w:p>
        </w:tc>
        <w:tc>
          <w:tcPr>
            <w:tcW w:w="6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Fiscal 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5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 in years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calculated value</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20.54</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related to stock option plans was $3,185, $4,875, and $3,483 during the fiscal years ended February 3, 2019, February 4, 2018, and January 29, 2017, respectively.</w:t>
      </w:r>
    </w:p>
    <w:p>
      <w:pPr>
        <w:spacing w:after="0" w:line="180" w:lineRule="exact"/>
        <w:rPr>
          <w:sz w:val="20"/>
          <w:szCs w:val="20"/>
          <w:color w:val="auto"/>
        </w:rPr>
      </w:pPr>
    </w:p>
    <w:p>
      <w:pPr>
        <w:ind w:left="200" w:right="640" w:firstLine="441"/>
        <w:spacing w:after="0" w:line="282" w:lineRule="auto"/>
        <w:rPr>
          <w:sz w:val="20"/>
          <w:szCs w:val="20"/>
          <w:color w:val="auto"/>
        </w:rPr>
      </w:pPr>
      <w:r>
        <w:rPr>
          <w:rFonts w:ascii="Times New Roman" w:cs="Times New Roman" w:eastAsia="Times New Roman" w:hAnsi="Times New Roman"/>
          <w:sz w:val="18"/>
          <w:szCs w:val="18"/>
          <w:color w:val="auto"/>
        </w:rPr>
        <w:t>Compensation expense for RSU’s and restricted shares is based on the market price of the shares underlying the awards on the grant date. Compensation expense for RSU’s based on performance reflects the estimated</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80"/>
          </w:cols>
          <w:pgMar w:left="240" w:top="455"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6" w:lineRule="auto"/>
        <w:rPr>
          <w:sz w:val="20"/>
          <w:szCs w:val="20"/>
          <w:color w:val="auto"/>
        </w:rPr>
      </w:pPr>
      <w:r>
        <w:rPr>
          <w:rFonts w:ascii="Times New Roman" w:cs="Times New Roman" w:eastAsia="Times New Roman" w:hAnsi="Times New Roman"/>
          <w:sz w:val="18"/>
          <w:szCs w:val="18"/>
          <w:color w:val="auto"/>
        </w:rPr>
        <w:t>probability that performance conditions at target or above will be met, and time-based RSU’s and restricted shares are expensed ratably over the service period. We recorded compensation expense related to our RSU’s and restricted shares awards of $4,237, $4,041, and $2,345 during the fiscal years ended February 3, 2019, February 4, 2018, and January 29, 2017, respectively.</w:t>
      </w:r>
    </w:p>
    <w:p>
      <w:pPr>
        <w:spacing w:after="0" w:line="176"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Transactions related to stock option awards during fiscal 2018 were as follows: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840" w:type="dxa"/>
            <w:vAlign w:val="bottom"/>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360" w:type="dxa"/>
            <w:vAlign w:val="bottom"/>
          </w:tcPr>
          <w:p>
            <w:pPr>
              <w:spacing w:after="0"/>
              <w:rPr>
                <w:sz w:val="15"/>
                <w:szCs w:val="15"/>
                <w:color w:val="auto"/>
              </w:rPr>
            </w:pPr>
          </w:p>
        </w:tc>
        <w:tc>
          <w:tcPr>
            <w:tcW w:w="19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4,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1,001,403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709,979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(55,611)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(345,497)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3,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February 3, 2019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3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right="480" w:firstLine="441"/>
        <w:spacing w:after="0" w:line="258" w:lineRule="auto"/>
        <w:rPr>
          <w:sz w:val="20"/>
          <w:szCs w:val="20"/>
          <w:color w:val="auto"/>
        </w:rPr>
      </w:pPr>
      <w:r>
        <w:rPr>
          <w:rFonts w:ascii="Times New Roman" w:cs="Times New Roman" w:eastAsia="Times New Roman" w:hAnsi="Times New Roman"/>
          <w:sz w:val="18"/>
          <w:szCs w:val="18"/>
          <w:color w:val="auto"/>
        </w:rPr>
        <w:t>The total intrinsic value of options exercised during fiscal 2018, 2017 and 2016 was $19,524, $30,844, and $50,403, respectively. The unrecognized expense related to our stock option plan totaled approximately $1,750 as of February 3, 2019 and will be expensed over a weighted average of 1.9 years. For options outstanding at February 3, 2019, the weighted average remaining contractual life was 6.1 years and the aggregate intrinsic value was $36,800. For options exercisable at February 3, 2019, the weighted average remaining contractual life was 5.3 years and the aggregate intrinsic value was $34,000.</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Transactions related to time-based and performance-based RSU’s during fiscal 2018 were as follows: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4, 2018</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units based on performance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(115,562)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February 3,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Fair value of our time-based and performance-based RSU’s and restricted stock is based on our closing stock price on the date of grant. The total fair value of shares vested during fiscal 2018, 2017 and 2016 was approximately $4,812, $426 and $360, respectively. The unrecognized expense related to our time-based and performance-based RSU’s was approximately $5,400 as of February 3, 2019 and will be expensed over a weighted average 2.4 years.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Stock option exercise activity and share unit conversion in fiscal 2018 were satisfied through the issuance of new shares.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We sponsor a plan to provide retirement benefits under the provisions of Section 401(k) of the Internal Revenue Code (the “401(k) Plan”) for all employees who have completed a specified term of service. We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240" w:top="455" w:right="4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8" w:lineRule="auto"/>
        <w:rPr>
          <w:sz w:val="20"/>
          <w:szCs w:val="20"/>
          <w:color w:val="auto"/>
        </w:rPr>
      </w:pPr>
      <w:r>
        <w:rPr>
          <w:rFonts w:ascii="Times New Roman" w:cs="Times New Roman" w:eastAsia="Times New Roman" w:hAnsi="Times New Roman"/>
          <w:sz w:val="18"/>
          <w:szCs w:val="18"/>
          <w:color w:val="auto"/>
        </w:rPr>
        <w:t>provide for a guaranteed matching of 25% of employee contributions, up to a maximum of 6% of eligible employee compensation, as defined by the 401(k) Plan. We also have a discretionary contribution dependent upon attaining a specified performance target. Should we achieve the performance target, it would contribute an additional 25% of qualified employee contributions. Employees may elect to contribute up to 50% of their eligible compensation on a pretax basis. Benefits under the 401(k) Plan are limited to the assets of the 401(k) Plan. Expenses related to our contributions to the 401(k) Plan were $692, $1,089, $889 for fiscal 2018, 2017 and 2016, respectively.</w:t>
      </w:r>
    </w:p>
    <w:p>
      <w:pPr>
        <w:spacing w:after="0" w:line="184" w:lineRule="exact"/>
        <w:rPr>
          <w:sz w:val="20"/>
          <w:szCs w:val="20"/>
          <w:color w:val="auto"/>
        </w:rPr>
      </w:pPr>
    </w:p>
    <w:p>
      <w:pPr>
        <w:ind w:left="200" w:right="120" w:firstLine="441"/>
        <w:spacing w:after="0" w:line="253" w:lineRule="auto"/>
        <w:rPr>
          <w:sz w:val="20"/>
          <w:szCs w:val="20"/>
          <w:color w:val="auto"/>
        </w:rPr>
      </w:pPr>
      <w:r>
        <w:rPr>
          <w:rFonts w:ascii="Times New Roman" w:cs="Times New Roman" w:eastAsia="Times New Roman" w:hAnsi="Times New Roman"/>
          <w:sz w:val="18"/>
          <w:szCs w:val="18"/>
          <w:color w:val="auto"/>
        </w:rPr>
        <w:t>We offer a deferred compensation plan that permits a select group of management or highly compensated employees to defer a portion of their compensation. Under this plan, eligible employees may elect to defer up to 50% of their base salary on a pre-tax basis each plan year. Each pay period, we match 25% of the employee’s contributions up to the first 6% of salary deferred. At the end of each year, if our performance target is met, we contribute an additional amount, equal to the employer match contributed each pay period. Any contributions to a participant’s account vest in equal portions over a five-year period and become immediately vested upon termination of a participant’s employment on or after age 65 or by reason of the participant’s death or disability, and upon a change of control (as defined). We recognized $135, $246, and $237 of deferred compensation expense in fiscal 2018, 2017 and 2016, respectively. The deferred compensation plan assets are invested through a rabbi trust. Assets in the rabbi trust are invested in certain mutual funds that cover an investment spectrum ranging from equities to money market instruments and are available to satisfy the claims of our creditors in the event of bankruptcy or insolvency. These mutual funds have published market prices and are reported at fair value using quoted prices available on identical assets and liabilities in active markets, representing Level One assets as defined by GAAP. As of February 3, 2019 and February 4, 2018, $7,409 and $7,059, respectively, of deferred compensation plan assets are included in “Other assets and deferred charges” and the offsetting deferred compensation plan liabilities are included in “Other liabilities” in the accompanying Consolidated Balance Sheets.</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21" w:lineRule="exact"/>
        <w:rPr>
          <w:sz w:val="20"/>
          <w:szCs w:val="20"/>
          <w:color w:val="auto"/>
        </w:rPr>
      </w:pPr>
    </w:p>
    <w:p>
      <w:pPr>
        <w:ind w:left="200" w:right="360" w:firstLine="441"/>
        <w:spacing w:after="0" w:line="261"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80"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On June 30, 2017, we agreed to settle litigation related to alleged violations of the Employee Retirement Income Security Act. The settlement agreement was preliminarily approved by the court on December 7, 2018, and the court has set a hearing concerning final approval for May 9, 2019. To cover the estimated net costs of settlement, including estimated payment to any opt-in members and class attorneys, as well as related settlement administration costs, we recorded a net charge of $2,550 (representing $7,500 of gross settlement costs less $4,950 of insurance recoveries) during fiscal 2017. The charge was recorded in general and administrative expenses in our Consolidated Statements of Comprehensive Income. No additional settlement liabilities or recoveries related to this litigation were recorded during fiscal 2018. The actual amount of any settlement payment could vary from our estimate and will be subject to many factors including approval by the court, the claims process and other matters typically associated with the settlement of litigation.</w:t>
      </w:r>
    </w:p>
    <w:p>
      <w:pPr>
        <w:spacing w:after="0" w:line="185"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During fiscal 2017, three major hurricanes made landfall impacting areas where we operate our stores, which negatively impacted store revenues. During fiscal 2018, we recognized business interruption insurance recoveries of approximately $3,075 related to the events, which are included in “Other store operating expenses” in the Consolidated Statements of Comprehensive Income. During fiscal 2018, we also recognized property insurance recoveries of approximately $541, related to the events, which resulted in a net gain on disposal of fixed assets of approximately $180, which is included in “Other store operating expenses” in the Consolidated Statements of Comprehensive Income.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24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shareholders by the weighted average number of common shares outstanding for the reporting period. Potential dilutive shares consist of the incremental common shares issuable upon the exercise of outstanding stock options, unvested time-based RSU’s and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For fiscal 2018 and fiscal 2017, we excluded approximately 52,000 and 31,000 anti-dilutive options from the calculation of common equivalent shares.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computation of EPS, basic and diluted for the fiscal years ended:</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17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February 4, 2018</w:t>
            </w:r>
          </w:p>
        </w:tc>
        <w:tc>
          <w:tcPr>
            <w:tcW w:w="18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117,221</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39,047,106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41,276,314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41,951,770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dilutive impact of equity-based awards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928,016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1,306,695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1,336,822</w:t>
            </w:r>
          </w:p>
        </w:tc>
        <w:tc>
          <w:tcPr>
            <w:tcW w:w="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and common equivalent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(dilutive)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39,975,122</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42,583,009</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43,288,592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6000" w:type="dxa"/>
            <w:vAlign w:val="bottom"/>
          </w:tcPr>
          <w:p>
            <w:pPr>
              <w:ind w:left="5320"/>
              <w:spacing w:after="0"/>
              <w:rPr>
                <w:sz w:val="20"/>
                <w:szCs w:val="20"/>
                <w:color w:val="auto"/>
              </w:rPr>
            </w:pPr>
            <w:r>
              <w:rPr>
                <w:rFonts w:ascii="Times New Roman" w:cs="Times New Roman" w:eastAsia="Times New Roman" w:hAnsi="Times New Roman"/>
                <w:sz w:val="18"/>
                <w:szCs w:val="18"/>
                <w:color w:val="auto"/>
              </w:rPr>
              <w:t>F-23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12: Selected Quarterly Financial Information (unaudited)</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Fiscal 2018 Quarters Ended</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5/6/2018</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8/5/2018</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11/4/2018</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2/3/2019</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319,188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products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39,695,421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39,355,105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38,892,288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38,245,612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40,612,388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40,280,301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39,855,648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39,065,459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open at end of period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Fiscal 2017 Quarters Ended</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4/30/2017</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7/30/2017</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10/29/2017</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2/4/2018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products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42,027,551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41,460,651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41,077,206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40,568,751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43,522,403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42,830,873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42,250,611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41,699,060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open at end of period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fourth quarter of fiscal 2018 consists of 13 weeks and the fourth quarter of fiscal 2017 consists of 14 weeks.</w:t>
      </w:r>
    </w:p>
    <w:p>
      <w:pPr>
        <w:spacing w:after="0" w:line="225"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Our revenues and operations are influenced by seasonal shifts in consumer spending. Revenues associated with spring and year-end holidays have historically been higher. Our third quarter, which encompasses the back-to-school fall season, has historically had lower revenues as compared to the other quarters.</w:t>
      </w:r>
    </w:p>
    <w:p>
      <w:pPr>
        <w:spacing w:after="0" w:line="176"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Net income for the fourth quarter of fiscal 2017 includes a benefit to our income tax provision related to the favorable impact of the Tax Act (refer to Note 6 for further discussion of income taxes).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240" w:top="455" w:right="4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3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504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D&amp;B Leasing, Inc.</w:t>
            </w:r>
          </w:p>
        </w:tc>
        <w:tc>
          <w:tcPr>
            <w:tcW w:w="5040" w:type="dxa"/>
            <w:vAlign w:val="bottom"/>
            <w:shd w:val="clear" w:color="auto" w:fill="CCEEFF"/>
          </w:tcPr>
          <w:p>
            <w:pPr>
              <w:spacing w:after="0"/>
              <w:rPr>
                <w:sz w:val="17"/>
                <w:szCs w:val="17"/>
                <w:color w:val="auto"/>
              </w:rPr>
            </w:pPr>
          </w:p>
        </w:tc>
        <w:tc>
          <w:tcPr>
            <w:tcW w:w="23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D&amp;B Marketing Company, LLC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DANB Texas, Inc.</w:t>
            </w:r>
          </w:p>
        </w:tc>
        <w:tc>
          <w:tcPr>
            <w:tcW w:w="5040" w:type="dxa"/>
            <w:vAlign w:val="bottom"/>
            <w:shd w:val="clear" w:color="auto" w:fill="CCEEFF"/>
          </w:tcPr>
          <w:p>
            <w:pPr>
              <w:spacing w:after="0"/>
              <w:rPr>
                <w:sz w:val="17"/>
                <w:szCs w:val="17"/>
                <w:color w:val="auto"/>
              </w:rPr>
            </w:pPr>
          </w:p>
        </w:tc>
        <w:tc>
          <w:tcPr>
            <w:tcW w:w="2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FHC Limited</w:t>
            </w:r>
          </w:p>
        </w:tc>
        <w:tc>
          <w:tcPr>
            <w:tcW w:w="504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I, L.P.</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Holdings,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Management Corporation,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Alabama,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Alaska,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Arkansas,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California,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Connecticut,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Colorado,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Florida,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Georgia,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Hawaii,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Idaho,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Illinois,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Dave &amp; Buster’s of Indiana, Inc.</w:t>
            </w:r>
          </w:p>
        </w:tc>
        <w:tc>
          <w:tcPr>
            <w:tcW w:w="5040" w:type="dxa"/>
            <w:vAlign w:val="bottom"/>
            <w:shd w:val="clear" w:color="auto" w:fill="CCEEFF"/>
          </w:tcPr>
          <w:p>
            <w:pPr>
              <w:spacing w:after="0"/>
              <w:rPr>
                <w:sz w:val="17"/>
                <w:szCs w:val="17"/>
                <w:color w:val="auto"/>
              </w:rPr>
            </w:pPr>
          </w:p>
        </w:tc>
        <w:tc>
          <w:tcPr>
            <w:tcW w:w="2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Indiana</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Iowa, Inc.</w:t>
            </w:r>
          </w:p>
        </w:tc>
        <w:tc>
          <w:tcPr>
            <w:tcW w:w="504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Kansas,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Kansas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Kentucky,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Louisiana,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Maryland,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Massachusetts,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Nebraska,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Nebraska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Dave &amp; Buster’s of Nevada, Inc.</w:t>
            </w:r>
          </w:p>
        </w:tc>
        <w:tc>
          <w:tcPr>
            <w:tcW w:w="5040" w:type="dxa"/>
            <w:vAlign w:val="bottom"/>
          </w:tcPr>
          <w:p>
            <w:pPr>
              <w:spacing w:after="0"/>
              <w:rPr>
                <w:sz w:val="17"/>
                <w:szCs w:val="17"/>
                <w:color w:val="auto"/>
              </w:rPr>
            </w:pPr>
          </w:p>
        </w:tc>
        <w:tc>
          <w:tcPr>
            <w:tcW w:w="2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Dave &amp; Buster’s of New Hampshire, Inc.</w:t>
            </w:r>
          </w:p>
        </w:tc>
        <w:tc>
          <w:tcPr>
            <w:tcW w:w="50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New Jersey, Inc.</w:t>
            </w:r>
          </w:p>
        </w:tc>
        <w:tc>
          <w:tcPr>
            <w:tcW w:w="504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New Mexico,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New York,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Oklahoma,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Oklahoma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Oregon,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Pennsylvania,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Pittsburgh,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Puerto Rico,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South Carolina,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 Carolina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Utah,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Virginia,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of Washington,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of Wisconsin,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Tango Acquisition,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License Corporation</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Tango of Arizona,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of Arundel,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Tango of Farmingdale,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of Franklin,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Tango of Houston,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of North Carolina,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Tango of Tennessee, Inc.</w:t>
            </w:r>
          </w:p>
        </w:tc>
        <w:tc>
          <w:tcPr>
            <w:tcW w:w="50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of Westbury, Inc.</w:t>
            </w:r>
          </w:p>
        </w:tc>
        <w:tc>
          <w:tcPr>
            <w:tcW w:w="50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6131646 Canada, Inc.</w:t>
            </w:r>
          </w:p>
        </w:tc>
        <w:tc>
          <w:tcPr>
            <w:tcW w:w="50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bl>
    <w:p>
      <w:pPr>
        <w:sectPr>
          <w:pgSz w:w="11900" w:h="16838" w:orient="portrait"/>
          <w:cols w:equalWidth="0" w:num="1">
            <w:col w:w="11040"/>
          </w:cols>
          <w:pgMar w:left="440" w:top="117" w:right="4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333-199239) on Form S-8 of Dave &amp; Buster’s Entertainment, Inc. of our reports dated April 2, 2019, with respect to the consolidated balance sheets of Dave &amp; Buster’s Entertainment, Inc. as of February 3, 2019 and February 4, 2018, and the related consolidated statements of comprehensive income, stockholders’ equity, and cash flows for each of the fiscal years ended February 3, 2019, February 4, 2018, and January 29, 2017, and the related notes (collectively, the consolidated financial statements), and the effectiveness of internal control over financial reporting as of February 3, 2019, which reports appear in the February 3, 2019 annual report on Form 10-K of Dave &amp; Buster’s Entertainment,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2019</w:t>
      </w:r>
    </w:p>
    <w:p>
      <w:pPr>
        <w:sectPr>
          <w:pgSz w:w="11900" w:h="16838" w:orient="portrait"/>
          <w:cols w:equalWidth="0" w:num="1">
            <w:col w:w="11020"/>
          </w:cols>
          <w:pgMar w:left="440" w:top="117" w:right="4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A. Jenkins,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300" w:hanging="436"/>
        <w:spacing w:after="0" w:line="276" w:lineRule="auto"/>
        <w:tabs>
          <w:tab w:leader="none" w:pos="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860" w:right="120" w:hanging="424"/>
        <w:spacing w:after="0" w:line="266"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0" w:right="260" w:hanging="424"/>
        <w:spacing w:after="0" w:line="266"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0" w:right="420" w:hanging="424"/>
        <w:spacing w:after="0" w:line="282"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60" w:right="20" w:hanging="424"/>
        <w:spacing w:after="0" w:line="266"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6"/>
        <w:spacing w:after="0" w:line="282"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60" w:right="660" w:hanging="424"/>
        <w:spacing w:after="0" w:line="282"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0" w:right="360" w:hanging="424"/>
        <w:spacing w:after="0" w:line="282"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April 2, 2019</w:t>
      </w:r>
      <w:r>
        <w:rPr>
          <w:sz w:val="20"/>
          <w:szCs w:val="20"/>
          <w:color w:val="auto"/>
        </w:rPr>
        <w:tab/>
      </w:r>
      <w:r>
        <w:rPr>
          <w:rFonts w:ascii="Times New Roman" w:cs="Times New Roman" w:eastAsia="Times New Roman" w:hAnsi="Times New Roman"/>
          <w:sz w:val="17"/>
          <w:szCs w:val="17"/>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17145</wp:posOffset>
            </wp:positionV>
            <wp:extent cx="32156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81" w:name="page82"/>
    <w:bookmarkEnd w:id="81"/>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 DeProspero, Interim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40" w:right="140" w:hanging="436"/>
        <w:spacing w:after="0" w:line="266"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100" w:hanging="436"/>
        <w:spacing w:after="0" w:line="282"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320" w:hanging="436"/>
        <w:spacing w:after="0" w:line="276" w:lineRule="auto"/>
        <w:tabs>
          <w:tab w:leader="none" w:pos="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860" w:right="140" w:hanging="424"/>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0" w:right="280" w:hanging="424"/>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0" w:right="440" w:hanging="424"/>
        <w:spacing w:after="0" w:line="282"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60" w:right="40" w:hanging="424"/>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right="20" w:hanging="436"/>
        <w:spacing w:after="0" w:line="282"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60" w:right="680" w:hanging="424"/>
        <w:spacing w:after="0" w:line="282"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0" w:right="380" w:hanging="424"/>
        <w:spacing w:after="0" w:line="282"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2019</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Joe DeProspero</w:t>
            </w:r>
          </w:p>
        </w:tc>
      </w:tr>
      <w:tr>
        <w:trPr>
          <w:trHeight w:val="191"/>
        </w:trPr>
        <w:tc>
          <w:tcPr>
            <w:tcW w:w="586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Joe DeProspero</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040"/>
          </w:cols>
          <w:pgMar w:left="440" w:top="117" w:right="4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Annual Report of Dave &amp; Buster’s Entertainment, Inc. (the “Company”) on Form 10-K for the period ended February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as filed with the Securities and Exchange Commission on the date hereof (the “Report”), I, Brian A. Jenkins, Chief Executive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18 U.S.C. Section 1350, that:</w:t>
      </w:r>
    </w:p>
    <w:p>
      <w:pPr>
        <w:spacing w:after="0" w:line="112" w:lineRule="exact"/>
        <w:rPr>
          <w:sz w:val="20"/>
          <w:szCs w:val="20"/>
          <w:color w:val="auto"/>
        </w:rPr>
      </w:pPr>
    </w:p>
    <w:p>
      <w:pPr>
        <w:ind w:left="860" w:right="20" w:hanging="424"/>
        <w:spacing w:after="0" w:line="282"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860" w:right="480" w:hanging="424"/>
        <w:spacing w:after="0" w:line="282"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2019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Brian A. Jenkins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Annual Report of Dave &amp; Buster’s Entertainment, Inc. (the “Company”) on Form 10-K for the period ended February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as filed with the Securities and Exchange Commission on the date hereof (the “Report”), I, Joe DeProspero, Interim Chief Financial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18 U.S.C. Section 1350, that:</w:t>
      </w:r>
    </w:p>
    <w:p>
      <w:pPr>
        <w:spacing w:after="0" w:line="112" w:lineRule="exact"/>
        <w:rPr>
          <w:sz w:val="20"/>
          <w:szCs w:val="20"/>
          <w:color w:val="auto"/>
        </w:rPr>
      </w:pPr>
    </w:p>
    <w:p>
      <w:pPr>
        <w:ind w:left="860" w:right="20" w:hanging="424"/>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860" w:right="480" w:hanging="424"/>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2019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Joe DeProspero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9"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68" Type="http://schemas.openxmlformats.org/officeDocument/2006/relationships/hyperlink" Target="http://www.sec.gov/Archives/edgar/data/1525769/000114420417032049/v468800_ex3-1.htm" TargetMode="External"/><Relationship Id="rId69" Type="http://schemas.openxmlformats.org/officeDocument/2006/relationships/hyperlink" Target="http://www.sec.gov/Archives/edgar/data/1525769/000114420417032049/v468800_ex3-2.htm" TargetMode="External"/><Relationship Id="rId70" Type="http://schemas.openxmlformats.org/officeDocument/2006/relationships/hyperlink" Target="http://www.sec.gov/Archives/edgar/data/1525769/000119312514350516/d735753dex41.htm" TargetMode="External"/><Relationship Id="rId71" Type="http://schemas.openxmlformats.org/officeDocument/2006/relationships/hyperlink" Target="http://www.sec.gov/Archives/edgar/data/1525769/000119312515323448/d17514dex101.htm" TargetMode="External"/><Relationship Id="rId72" Type="http://schemas.openxmlformats.org/officeDocument/2006/relationships/hyperlink" Target="http://www.sec.gov/Archives/edgar/data/943823/000119312510185917/dex103.htm" TargetMode="External"/><Relationship Id="rId73" Type="http://schemas.openxmlformats.org/officeDocument/2006/relationships/hyperlink" Target="http://www.sec.gov/Archives/edgar/data/943823/000119312511165456/dex102.htm" TargetMode="External"/><Relationship Id="rId74" Type="http://schemas.openxmlformats.org/officeDocument/2006/relationships/hyperlink" Target="http://www.sec.gov/Archives/edgar/data/943823/000119312513156522/d451929dex106.htm" TargetMode="External"/><Relationship Id="rId75" Type="http://schemas.openxmlformats.org/officeDocument/2006/relationships/hyperlink" Target="http://www.sec.gov/Archives/edgar/data/1525769/000119312514368094/d800928dex41.htm" TargetMode="External"/><Relationship Id="rId76" Type="http://schemas.openxmlformats.org/officeDocument/2006/relationships/hyperlink" Target="http://www.sec.gov/Archives/edgar/data/1525769/000119312515323448/d17514dex107.htm" TargetMode="External"/><Relationship Id="rId77" Type="http://schemas.openxmlformats.org/officeDocument/2006/relationships/hyperlink" Target="http://www.sec.gov/Archives/edgar/data/1525769/000119312515323448/d17514dex108.htm" TargetMode="External"/><Relationship Id="rId78" Type="http://schemas.openxmlformats.org/officeDocument/2006/relationships/hyperlink" Target="http://www.sec.gov/Archives/edgar/data/1525769/000119312515323448/d17514dex109.htm" TargetMode="External"/><Relationship Id="rId80" Type="http://schemas.openxmlformats.org/officeDocument/2006/relationships/hyperlink" Target="http://www.sec.gov/Archives/edgar/data/1525769/000119312515323448/d17514dex1010.htm" TargetMode="External"/><Relationship Id="rId81" Type="http://schemas.openxmlformats.org/officeDocument/2006/relationships/hyperlink" Target="http://www.sec.gov/Archives/edgar/data/1525769/000119312514335587/d735753dex1011.htm" TargetMode="External"/><Relationship Id="rId82" Type="http://schemas.openxmlformats.org/officeDocument/2006/relationships/hyperlink" Target="http://www.sec.gov/Archives/edgar/data/1525769/000119312514350516/d735753dex1012.htm" TargetMode="External"/><Relationship Id="rId83" Type="http://schemas.openxmlformats.org/officeDocument/2006/relationships/hyperlink" Target="http://www.sec.gov/Archives/edgar/data/1525769/000114420417044736/v47386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2019-12-28T14:04:47Z</dcterms:created>
  <dcterms:modified xsi:type="dcterms:W3CDTF">2019-12-28T14:04:47Z</dcterms:modified>
</cp:coreProperties>
</file>