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Lipman Nathaniel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1221 S. BELT LINE RD.,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5"/>
        <w:gridCol w:w="904"/>
        <w:gridCol w:w="773"/>
        <w:gridCol w:w="600"/>
        <w:gridCol w:w="349"/>
        <w:gridCol w:w="932"/>
        <w:gridCol w:w="456"/>
        <w:gridCol w:w="798"/>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6.775</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30,715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bought in multiple transactions at prices ranging from $6.77 to $6.78, inclusive. The reporting person undertakes to provide to Dave &amp; Buster's Entertainment, Inc., any security holder of Dave &amp; Buster's Entertainment, Inc. or the staff of the Securities and Exchange Commission, upon request, full information regarding the number of shares bought at each separate price within the range set forth in footnote (1)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Sherri M.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3103" TargetMode="External"/><Relationship Id="rId5" Type="http://schemas.openxmlformats.org/officeDocument/2006/relationships/hyperlink" Target="http://www.sec.gov/cgi-bin/browse-edgar?action=getcompany&amp;CIK=0001525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3513</Characters>
  <CharactersWithSpaces>4097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