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00" w:right="100" w:hanging="424"/>
        <w:spacing w:after="0" w:line="236"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October 31, 2021</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00" w:right="80" w:hanging="424"/>
        <w:spacing w:after="0" w:line="256" w:lineRule="auto"/>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29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3999230</wp:posOffset>
            </wp:positionH>
            <wp:positionV relativeFrom="paragraph">
              <wp:posOffset>-7620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163195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158750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2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spacing w:after="0"/>
              <w:rPr>
                <w:sz w:val="18"/>
                <w:szCs w:val="18"/>
                <w:color w:val="auto"/>
              </w:rPr>
            </w:pPr>
          </w:p>
        </w:tc>
        <w:tc>
          <w:tcPr>
            <w:tcW w:w="4820" w:type="dxa"/>
            <w:vAlign w:val="bottom"/>
            <w:gridSpan w:val="2"/>
          </w:tcPr>
          <w:p>
            <w:pPr>
              <w:jc w:val="right"/>
              <w:ind w:right="2164"/>
              <w:spacing w:after="0"/>
              <w:rPr>
                <w:sz w:val="20"/>
                <w:szCs w:val="20"/>
                <w:color w:val="auto"/>
              </w:rPr>
            </w:pPr>
            <w:r>
              <w:rPr>
                <w:rFonts w:ascii="Arial" w:cs="Arial" w:eastAsia="Arial" w:hAnsi="Arial"/>
                <w:sz w:val="18"/>
                <w:szCs w:val="18"/>
                <w:b w:val="1"/>
                <w:bCs w:val="1"/>
                <w:color w:val="auto"/>
              </w:rPr>
              <w:t>35-2382255</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720" w:type="dxa"/>
            <w:vAlign w:val="bottom"/>
            <w:gridSpan w:val="2"/>
          </w:tcPr>
          <w:p>
            <w:pPr>
              <w:jc w:val="center"/>
              <w:ind w:right="730"/>
              <w:spacing w:after="0"/>
              <w:rPr>
                <w:sz w:val="20"/>
                <w:szCs w:val="20"/>
                <w:color w:val="auto"/>
              </w:rPr>
            </w:pPr>
            <w:r>
              <w:rPr>
                <w:rFonts w:ascii="Arial" w:cs="Arial" w:eastAsia="Arial" w:hAnsi="Arial"/>
                <w:sz w:val="14"/>
                <w:szCs w:val="14"/>
                <w:b w:val="1"/>
                <w:bCs w:val="1"/>
                <w:color w:val="auto"/>
                <w:w w:val="94"/>
              </w:rPr>
              <w:t>(State of Incorporation)</w:t>
            </w: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540" w:type="dxa"/>
            <w:vAlign w:val="bottom"/>
          </w:tcPr>
          <w:p>
            <w:pPr>
              <w:jc w:val="center"/>
              <w:ind w:right="1744"/>
              <w:spacing w:after="0"/>
              <w:rPr>
                <w:sz w:val="20"/>
                <w:szCs w:val="20"/>
                <w:color w:val="auto"/>
              </w:rPr>
            </w:pPr>
            <w:r>
              <w:rPr>
                <w:rFonts w:ascii="Arial" w:cs="Arial" w:eastAsia="Arial" w:hAnsi="Arial"/>
                <w:sz w:val="14"/>
                <w:szCs w:val="14"/>
                <w:b w:val="1"/>
                <w:bCs w:val="1"/>
                <w:color w:val="auto"/>
                <w:w w:val="98"/>
              </w:rPr>
              <w:t>(I.R.S. Employer ID)</w:t>
            </w:r>
          </w:p>
        </w:tc>
        <w:tc>
          <w:tcPr>
            <w:tcW w:w="0" w:type="dxa"/>
            <w:vAlign w:val="bottom"/>
          </w:tcPr>
          <w:p>
            <w:pPr>
              <w:spacing w:after="0"/>
              <w:rPr>
                <w:sz w:val="1"/>
                <w:szCs w:val="1"/>
                <w:color w:val="auto"/>
              </w:rPr>
            </w:pPr>
          </w:p>
        </w:tc>
      </w:tr>
      <w:tr>
        <w:trPr>
          <w:trHeight w:val="394"/>
        </w:trPr>
        <w:tc>
          <w:tcPr>
            <w:tcW w:w="43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1"/>
              </w:rPr>
              <w:t>2481 Mañana Drive, Dallas, Texas, 75220</w:t>
            </w:r>
          </w:p>
        </w:tc>
        <w:tc>
          <w:tcPr>
            <w:tcW w:w="1160" w:type="dxa"/>
            <w:vAlign w:val="bottom"/>
          </w:tcPr>
          <w:p>
            <w:pPr>
              <w:spacing w:after="0"/>
              <w:rPr>
                <w:sz w:val="24"/>
                <w:szCs w:val="24"/>
                <w:color w:val="auto"/>
              </w:rPr>
            </w:pPr>
          </w:p>
        </w:tc>
        <w:tc>
          <w:tcPr>
            <w:tcW w:w="4820" w:type="dxa"/>
            <w:vAlign w:val="bottom"/>
            <w:gridSpan w:val="2"/>
          </w:tcPr>
          <w:p>
            <w:pPr>
              <w:jc w:val="right"/>
              <w:ind w:right="2044"/>
              <w:spacing w:after="0"/>
              <w:rPr>
                <w:sz w:val="20"/>
                <w:szCs w:val="20"/>
                <w:color w:val="auto"/>
              </w:rPr>
            </w:pPr>
            <w:r>
              <w:rPr>
                <w:rFonts w:ascii="Arial" w:cs="Arial" w:eastAsia="Arial" w:hAnsi="Arial"/>
                <w:sz w:val="18"/>
                <w:szCs w:val="18"/>
                <w:b w:val="1"/>
                <w:bCs w:val="1"/>
                <w:color w:val="auto"/>
              </w:rPr>
              <w:t>(214) 357-9588</w:t>
            </w:r>
          </w:p>
        </w:tc>
        <w:tc>
          <w:tcPr>
            <w:tcW w:w="0" w:type="dxa"/>
            <w:vAlign w:val="bottom"/>
          </w:tcPr>
          <w:p>
            <w:pPr>
              <w:spacing w:after="0"/>
              <w:rPr>
                <w:sz w:val="1"/>
                <w:szCs w:val="1"/>
                <w:color w:val="auto"/>
              </w:rPr>
            </w:pPr>
          </w:p>
        </w:tc>
      </w:tr>
      <w:tr>
        <w:trPr>
          <w:trHeight w:val="186"/>
        </w:trPr>
        <w:tc>
          <w:tcPr>
            <w:tcW w:w="43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160" w:type="dxa"/>
            <w:vAlign w:val="bottom"/>
          </w:tcPr>
          <w:p>
            <w:pPr>
              <w:spacing w:after="0"/>
              <w:rPr>
                <w:sz w:val="16"/>
                <w:szCs w:val="16"/>
                <w:color w:val="auto"/>
              </w:rPr>
            </w:pPr>
          </w:p>
        </w:tc>
        <w:tc>
          <w:tcPr>
            <w:tcW w:w="4820" w:type="dxa"/>
            <w:vAlign w:val="bottom"/>
            <w:gridSpan w:val="2"/>
          </w:tcPr>
          <w:p>
            <w:pPr>
              <w:jc w:val="center"/>
              <w:ind w:right="464"/>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r>
        <w:trPr>
          <w:trHeight w:val="295"/>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0" w:type="dxa"/>
            <w:vAlign w:val="bottom"/>
            <w:gridSpan w:val="4"/>
          </w:tcPr>
          <w:p>
            <w:pPr>
              <w:ind w:left="8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vMerge w:val="restart"/>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28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1"/>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81"/>
              </w:rPr>
              <w:t>Common</w:t>
            </w:r>
          </w:p>
        </w:tc>
        <w:tc>
          <w:tcPr>
            <w:tcW w:w="1100" w:type="dxa"/>
            <w:vAlign w:val="bottom"/>
            <w:tcBorders>
              <w:bottom w:val="single" w:sz="8" w:color="auto"/>
            </w:tcBorders>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1"/>
        </w:trPr>
        <w:tc>
          <w:tcPr>
            <w:tcW w:w="660" w:type="dxa"/>
            <w:vAlign w:val="bottom"/>
            <w:vMerge w:val="continue"/>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b w:val="1"/>
                <w:bCs w:val="1"/>
                <w:color w:val="auto"/>
              </w:rPr>
              <w:t>Stock $0.01 par value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PLAY</w:t>
            </w:r>
          </w:p>
        </w:tc>
        <w:tc>
          <w:tcPr>
            <w:tcW w:w="128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171450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4"/>
          <w:szCs w:val="24"/>
          <w:color w:val="auto"/>
        </w:rPr>
      </w:pPr>
    </w:p>
    <w:p>
      <w:pPr>
        <w:ind w:left="62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18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jc w:val="both"/>
        <w:ind w:left="180" w:right="200" w:firstLine="440"/>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left="18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18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47" w:lineRule="exact"/>
        <w:rPr>
          <w:sz w:val="24"/>
          <w:szCs w:val="24"/>
          <w:color w:val="auto"/>
        </w:rPr>
      </w:pPr>
    </w:p>
    <w:p>
      <w:pPr>
        <w:ind w:left="18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80" w:right="1120" w:firstLine="440"/>
        <w:spacing w:after="0" w:line="273"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December 2, 2021, the registrant had 48,422,820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146050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189230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00"/>
          </w:cols>
          <w:pgMar w:left="26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660"/>
        <w:spacing w:after="0" w:line="266" w:lineRule="auto"/>
        <w:rPr>
          <w:sz w:val="20"/>
          <w:szCs w:val="20"/>
          <w:color w:val="auto"/>
        </w:rPr>
      </w:pPr>
      <w:r>
        <w:rPr>
          <w:rFonts w:ascii="Arial" w:cs="Arial" w:eastAsia="Arial" w:hAnsi="Arial"/>
          <w:sz w:val="18"/>
          <w:szCs w:val="18"/>
          <w:b w:val="1"/>
          <w:bCs w:val="1"/>
          <w:color w:val="auto"/>
        </w:rPr>
        <w:t>DAVE &amp; BUSTER’S ENTERTAINMENT, INC. FORM 10-Q FOR QUARTERLY PERIOD ENDED OCTOBER 31, 2021 TABLE OF CONTENTS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00" w:type="dxa"/>
            <w:vAlign w:val="bottom"/>
            <w:gridSpan w:val="4"/>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860" w:type="dxa"/>
            <w:vAlign w:val="bottom"/>
            <w:vMerge w:val="continue"/>
          </w:tcPr>
          <w:p>
            <w:pPr>
              <w:spacing w:after="0"/>
              <w:rPr>
                <w:sz w:val="14"/>
                <w:szCs w:val="14"/>
                <w:color w:val="auto"/>
              </w:rPr>
            </w:pPr>
          </w:p>
        </w:tc>
        <w:tc>
          <w:tcPr>
            <w:tcW w:w="2400" w:type="dxa"/>
            <w:vAlign w:val="bottom"/>
            <w:tcBorders>
              <w:bottom w:val="single" w:sz="8" w:color="0000EE"/>
            </w:tcBorders>
            <w:gridSpan w:val="8"/>
            <w:vMerge w:val="continue"/>
          </w:tcPr>
          <w:p>
            <w:pPr>
              <w:spacing w:after="0"/>
              <w:rPr>
                <w:sz w:val="14"/>
                <w:szCs w:val="14"/>
                <w:color w:val="auto"/>
              </w:rPr>
            </w:pPr>
          </w:p>
        </w:tc>
        <w:tc>
          <w:tcPr>
            <w:tcW w:w="7400" w:type="dxa"/>
            <w:vAlign w:val="bottom"/>
            <w:gridSpan w:val="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7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17"/>
                <w:szCs w:val="17"/>
                <w:color w:val="auto"/>
              </w:rPr>
            </w:pPr>
          </w:p>
        </w:tc>
        <w:tc>
          <w:tcPr>
            <w:tcW w:w="54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90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11"/>
          </w:tcPr>
          <w:p>
            <w:pPr>
              <w:ind w:left="4600"/>
              <w:spacing w:after="0"/>
              <w:rPr>
                <w:sz w:val="20"/>
                <w:szCs w:val="20"/>
                <w:color w:val="auto"/>
              </w:rPr>
            </w:pPr>
            <w:r>
              <w:rPr>
                <w:rFonts w:ascii="Arial" w:cs="Arial" w:eastAsia="Arial" w:hAnsi="Arial"/>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6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0" w:type="dxa"/>
            <w:vAlign w:val="bottom"/>
          </w:tcPr>
          <w:p>
            <w:pPr>
              <w:jc w:val="center"/>
              <w:ind w:left="63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jc w:val="center"/>
              <w:ind w:left="650"/>
              <w:spacing w:after="0"/>
              <w:rPr>
                <w:sz w:val="20"/>
                <w:szCs w:val="20"/>
                <w:color w:val="auto"/>
              </w:rPr>
            </w:pPr>
            <w:r>
              <w:rPr>
                <w:rFonts w:ascii="Arial" w:cs="Arial" w:eastAsia="Arial" w:hAnsi="Arial"/>
                <w:sz w:val="18"/>
                <w:szCs w:val="18"/>
                <w:b w:val="1"/>
                <w:bCs w:val="1"/>
                <w:color w:val="auto"/>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0" w:type="dxa"/>
            <w:vAlign w:val="bottom"/>
          </w:tcPr>
          <w:p>
            <w:pPr>
              <w:jc w:val="center"/>
              <w:ind w:left="650"/>
              <w:spacing w:after="0"/>
              <w:rPr>
                <w:sz w:val="20"/>
                <w:szCs w:val="20"/>
                <w:color w:val="auto"/>
              </w:rPr>
            </w:pPr>
            <w:r>
              <w:rPr>
                <w:rFonts w:ascii="Arial" w:cs="Arial" w:eastAsia="Arial" w:hAnsi="Arial"/>
                <w:sz w:val="18"/>
                <w:szCs w:val="18"/>
                <w:color w:val="auto"/>
                <w:w w:val="87"/>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October 31,</w:t>
            </w: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27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86"/>
              </w:rPr>
              <w:t>Current assets: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67,646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70,064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Property and equipment (net of $891,352 and $798,804 accumulated depreciation as of October 31, 2021 and January 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779,518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815,027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Operating lease right of use assets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1,038,269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1,037,569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2,350,716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2,352,824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vMerge w:val="restart"/>
          </w:tcPr>
          <w:p>
            <w:pPr>
              <w:jc w:val="center"/>
              <w:ind w:right="127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39,295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271,636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1,270,929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1,267,791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484,677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596,388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04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2"/>
              </w:rPr>
              <w:t>Common stock, par value $0.01; authorized: 400,000,000 shares; issued: 61,364,015 shares at October 31, 2021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540"/>
              <w:spacing w:after="0"/>
              <w:rPr>
                <w:sz w:val="20"/>
                <w:szCs w:val="20"/>
                <w:color w:val="auto"/>
              </w:rPr>
            </w:pPr>
            <w:r>
              <w:rPr>
                <w:rFonts w:ascii="Arial" w:cs="Arial" w:eastAsia="Arial" w:hAnsi="Arial"/>
                <w:sz w:val="18"/>
                <w:szCs w:val="18"/>
                <w:color w:val="auto"/>
                <w:w w:val="89"/>
              </w:rPr>
              <w:t>60,488,833 shares at January 31, 2021; outstanding: 48,342,301 shares at October 31, 2021 and 47,646,606 shares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3"/>
          </w:tcPr>
          <w:p>
            <w:pPr>
              <w:ind w:left="540"/>
              <w:spacing w:after="0"/>
              <w:rPr>
                <w:sz w:val="20"/>
                <w:szCs w:val="20"/>
                <w:color w:val="auto"/>
              </w:rPr>
            </w:pPr>
            <w:r>
              <w:rPr>
                <w:rFonts w:ascii="Arial" w:cs="Arial" w:eastAsia="Arial" w:hAnsi="Arial"/>
                <w:sz w:val="18"/>
                <w:szCs w:val="18"/>
                <w:color w:val="auto"/>
              </w:rPr>
              <w:t>January 31, 2021</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545,168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531,191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Treasury stock, 13,021,714 and 12,842,227 shares as of October 31, 2021 and January 31, 2021, respectively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(603,745)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(595,970)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226,491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2,350,716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2,352,824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6"/>
              </w:rPr>
              <w:t>Thirteen Weeks</w:t>
            </w: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Thirteen Weeks</w:t>
            </w:r>
          </w:p>
        </w:tc>
      </w:tr>
      <w:tr>
        <w:trPr>
          <w:trHeight w:val="162"/>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Ended</w:t>
            </w:r>
          </w:p>
        </w:tc>
      </w:tr>
      <w:tr>
        <w:trPr>
          <w:trHeight w:val="171"/>
        </w:trPr>
        <w:tc>
          <w:tcPr>
            <w:tcW w:w="81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October 31, 2021</w:t>
            </w:r>
          </w:p>
        </w:tc>
        <w:tc>
          <w:tcPr>
            <w:tcW w:w="6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November 1, 2020</w:t>
            </w:r>
          </w:p>
        </w:tc>
      </w:tr>
      <w:tr>
        <w:trPr>
          <w:trHeight w:val="27"/>
        </w:trPr>
        <w:tc>
          <w:tcPr>
            <w:tcW w:w="8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38,346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210,229</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70,706</w:t>
            </w:r>
          </w:p>
        </w:tc>
      </w:tr>
      <w:tr>
        <w:trPr>
          <w:trHeight w:val="27"/>
        </w:trPr>
        <w:tc>
          <w:tcPr>
            <w:tcW w:w="8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317,976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109,052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30,082</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10,664</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22,531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7,244</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52,613</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17,908</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78,995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27,704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103,322</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70,783</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34,381</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34,384</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293,507</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165,095</w:t>
            </w:r>
          </w:p>
        </w:tc>
        <w:tc>
          <w:tcPr>
            <w:tcW w:w="120" w:type="dxa"/>
            <w:vAlign w:val="bottom"/>
          </w:tcPr>
          <w:p>
            <w:pPr>
              <w:spacing w:after="0"/>
              <w:rPr>
                <w:sz w:val="20"/>
                <w:szCs w:val="20"/>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(56,043)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13,423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8,213</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Income (loss) before benefit for income taxes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(65,160)</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(17,117)</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(48,043)</w:t>
            </w:r>
          </w:p>
        </w:tc>
        <w:tc>
          <w:tcPr>
            <w:tcW w:w="12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 (loss)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1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r>
      <w:tr>
        <w:trPr>
          <w:trHeight w:val="27"/>
        </w:trPr>
        <w:tc>
          <w:tcPr>
            <w:tcW w:w="8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(46,639)</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48,277,358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47,613,741</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49,283,503</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47,613,741</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Thirty-Nine Weeks</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Thirty-Nine Weeks</w:t>
            </w:r>
          </w:p>
        </w:tc>
      </w:tr>
      <w:tr>
        <w:trPr>
          <w:trHeight w:val="162"/>
        </w:trPr>
        <w:tc>
          <w:tcPr>
            <w:tcW w:w="6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Ended</w:t>
            </w:r>
          </w:p>
        </w:tc>
      </w:tr>
      <w:tr>
        <w:trPr>
          <w:trHeight w:val="178"/>
        </w:trPr>
        <w:tc>
          <w:tcPr>
            <w:tcW w:w="6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2021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c>
          <w:tcPr>
            <w:tcW w:w="120" w:type="dxa"/>
            <w:vAlign w:val="bottom"/>
          </w:tcPr>
          <w:p>
            <w:pPr>
              <w:spacing w:after="0"/>
              <w:rPr>
                <w:sz w:val="15"/>
                <w:szCs w:val="15"/>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9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316,511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119,268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644,443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200,423</w:t>
            </w:r>
          </w:p>
        </w:tc>
      </w:tr>
      <w:tr>
        <w:trPr>
          <w:trHeight w:val="27"/>
        </w:trPr>
        <w:tc>
          <w:tcPr>
            <w:tcW w:w="6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960,954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319,691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86,366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32,667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21,997</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150,095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209,897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85,197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292,883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229,137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35,587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104,355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104,896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8,781</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518,262</w:t>
            </w:r>
          </w:p>
        </w:tc>
        <w:tc>
          <w:tcPr>
            <w:tcW w:w="120" w:type="dxa"/>
            <w:vAlign w:val="bottom"/>
          </w:tcPr>
          <w:p>
            <w:pPr>
              <w:spacing w:after="0"/>
              <w:rPr>
                <w:sz w:val="20"/>
                <w:szCs w:val="20"/>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(198,571)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41,971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22,491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1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95,832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(221,966)</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(71,777)</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(150,189)</w:t>
            </w:r>
          </w:p>
        </w:tc>
        <w:tc>
          <w:tcPr>
            <w:tcW w:w="120" w:type="dxa"/>
            <w:vAlign w:val="bottom"/>
          </w:tcPr>
          <w:p>
            <w:pPr>
              <w:spacing w:after="0"/>
              <w:rPr>
                <w:sz w:val="20"/>
                <w:szCs w:val="20"/>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 (loss)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Unrealized gain (loss) on derivatives, net of tax</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7"/>
        </w:trPr>
        <w:tc>
          <w:tcPr>
            <w:tcW w:w="6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(loss)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(2,304)</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comprehensive income (loss)</w:t>
            </w:r>
          </w:p>
        </w:tc>
        <w:tc>
          <w:tcPr>
            <w:tcW w:w="1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87,116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(152,493)</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Basic</w:t>
            </w:r>
          </w:p>
        </w:tc>
        <w:tc>
          <w:tcPr>
            <w:tcW w:w="194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9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48,050,558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42,185,163</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49,257,269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42,185,163</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thousands, except share amounts)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4"/>
          </w:tcPr>
          <w:p>
            <w:pPr>
              <w:ind w:left="120"/>
              <w:spacing w:after="0"/>
              <w:rPr>
                <w:sz w:val="20"/>
                <w:szCs w:val="20"/>
                <w:color w:val="auto"/>
              </w:rPr>
            </w:pPr>
            <w:r>
              <w:rPr>
                <w:rFonts w:ascii="Arial" w:cs="Arial" w:eastAsia="Arial" w:hAnsi="Arial"/>
                <w:sz w:val="14"/>
                <w:szCs w:val="14"/>
                <w:b w:val="1"/>
                <w:bCs w:val="1"/>
                <w:color w:val="auto"/>
                <w:w w:val="93"/>
              </w:rPr>
              <w:t>Thirteen Weeks Ended October 31, 2021</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48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7"/>
            <w:vMerge w:val="restart"/>
          </w:tcPr>
          <w:p>
            <w:pPr>
              <w:jc w:val="right"/>
              <w:ind w:right="133"/>
              <w:spacing w:after="0"/>
              <w:rPr>
                <w:sz w:val="20"/>
                <w:szCs w:val="20"/>
                <w:color w:val="auto"/>
              </w:rPr>
            </w:pPr>
            <w:r>
              <w:rPr>
                <w:rFonts w:ascii="Arial" w:cs="Arial" w:eastAsia="Arial" w:hAnsi="Arial"/>
                <w:sz w:val="14"/>
                <w:szCs w:val="14"/>
                <w:b w:val="1"/>
                <w:bCs w:val="1"/>
                <w:color w:val="auto"/>
                <w:w w:val="94"/>
              </w:rPr>
              <w:t>Treasury Stock At Cost</w:t>
            </w:r>
          </w:p>
        </w:tc>
        <w:tc>
          <w:tcPr>
            <w:tcW w:w="280" w:type="dxa"/>
            <w:vAlign w:val="bottom"/>
            <w:gridSpan w:val="2"/>
            <w:vMerge w:val="restart"/>
          </w:tcPr>
          <w:p>
            <w:pPr>
              <w:spacing w:after="0"/>
              <w:rPr>
                <w:sz w:val="10"/>
                <w:szCs w:val="10"/>
                <w:color w:val="auto"/>
              </w:rPr>
            </w:pPr>
          </w:p>
        </w:tc>
        <w:tc>
          <w:tcPr>
            <w:tcW w:w="1240" w:type="dxa"/>
            <w:vAlign w:val="bottom"/>
            <w:gridSpan w:val="5"/>
          </w:tcPr>
          <w:p>
            <w:pPr>
              <w:jc w:val="center"/>
              <w:ind w:right="201"/>
              <w:spacing w:after="0" w:line="119"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1480" w:type="dxa"/>
            <w:vAlign w:val="bottom"/>
            <w:tcBorders>
              <w:bottom w:val="single" w:sz="8" w:color="auto"/>
            </w:tcBorders>
            <w:gridSpan w:val="7"/>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501"/>
              <w:spacing w:after="0" w:line="158"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860" w:type="dxa"/>
            <w:vAlign w:val="bottom"/>
            <w:gridSpan w:val="2"/>
            <w:vMerge w:val="restart"/>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Amt.</w:t>
            </w:r>
          </w:p>
        </w:tc>
        <w:tc>
          <w:tcPr>
            <w:tcW w:w="4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5"/>
          </w:tcPr>
          <w:p>
            <w:pPr>
              <w:ind w:left="1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ind w:right="155"/>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Amt.</w:t>
            </w:r>
          </w:p>
        </w:tc>
        <w:tc>
          <w:tcPr>
            <w:tcW w:w="280" w:type="dxa"/>
            <w:vAlign w:val="bottom"/>
            <w:gridSpan w:val="2"/>
            <w:vMerge w:val="restart"/>
          </w:tcPr>
          <w:p>
            <w:pPr>
              <w:spacing w:after="0"/>
              <w:rPr>
                <w:sz w:val="10"/>
                <w:szCs w:val="10"/>
                <w:color w:val="auto"/>
              </w:rPr>
            </w:pPr>
          </w:p>
        </w:tc>
        <w:tc>
          <w:tcPr>
            <w:tcW w:w="1240" w:type="dxa"/>
            <w:vAlign w:val="bottom"/>
            <w:gridSpan w:val="5"/>
          </w:tcPr>
          <w:p>
            <w:pPr>
              <w:jc w:val="center"/>
              <w:ind w:right="201"/>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8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1, 2021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61,276,473</w:t>
            </w:r>
          </w:p>
        </w:tc>
        <w:tc>
          <w:tcPr>
            <w:tcW w:w="640" w:type="dxa"/>
            <w:vAlign w:val="bottom"/>
            <w:gridSpan w:val="5"/>
            <w:shd w:val="clear" w:color="auto" w:fill="CCEEFF"/>
          </w:tcPr>
          <w:p>
            <w:pPr>
              <w:jc w:val="center"/>
              <w:ind w:left="110"/>
              <w:spacing w:after="0"/>
              <w:rPr>
                <w:sz w:val="20"/>
                <w:szCs w:val="20"/>
                <w:color w:val="auto"/>
              </w:rPr>
            </w:pPr>
            <w:r>
              <w:rPr>
                <w:rFonts w:ascii="Arial" w:cs="Arial" w:eastAsia="Arial" w:hAnsi="Arial"/>
                <w:sz w:val="18"/>
                <w:szCs w:val="18"/>
                <w:color w:val="auto"/>
                <w:w w:val="89"/>
              </w:rPr>
              <w:t>$613</w:t>
            </w:r>
          </w:p>
        </w:tc>
        <w:tc>
          <w:tcPr>
            <w:tcW w:w="9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$540,348</w:t>
            </w:r>
          </w:p>
        </w:tc>
        <w:tc>
          <w:tcPr>
            <w:tcW w:w="1300" w:type="dxa"/>
            <w:vAlign w:val="bottom"/>
            <w:gridSpan w:val="6"/>
            <w:shd w:val="clear" w:color="auto" w:fill="CCEEFF"/>
          </w:tcPr>
          <w:p>
            <w:pPr>
              <w:jc w:val="right"/>
              <w:ind w:right="150"/>
              <w:spacing w:after="0"/>
              <w:rPr>
                <w:sz w:val="20"/>
                <w:szCs w:val="20"/>
                <w:color w:val="auto"/>
              </w:rPr>
            </w:pPr>
            <w:r>
              <w:rPr>
                <w:rFonts w:ascii="Arial" w:cs="Arial" w:eastAsia="Arial" w:hAnsi="Arial"/>
                <w:sz w:val="18"/>
                <w:szCs w:val="18"/>
                <w:color w:val="auto"/>
              </w:rPr>
              <w:t>13,020,098</w:t>
            </w:r>
          </w:p>
        </w:tc>
        <w:tc>
          <w:tcPr>
            <w:tcW w:w="94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w w:val="89"/>
              </w:rPr>
              <w:t>$(603,686)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$298,896</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$229,875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81"/>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foreign currency translation</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5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9"/>
              </w:rPr>
              <w:t>Unrealized gain on derivatives, net of tax</w:t>
            </w:r>
          </w:p>
        </w:tc>
        <w:tc>
          <w:tcPr>
            <w:tcW w:w="5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3,778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87,542</w:t>
            </w: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1,042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1,616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October 31, 2021</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61,364,015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545,168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13,021,714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(603,745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309,481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jc w:val="right"/>
              <w:ind w:right="581"/>
              <w:spacing w:after="0"/>
              <w:rPr>
                <w:sz w:val="20"/>
                <w:szCs w:val="20"/>
                <w:color w:val="auto"/>
              </w:rPr>
            </w:pPr>
            <w:r>
              <w:rPr>
                <w:rFonts w:ascii="Arial" w:cs="Arial" w:eastAsia="Arial" w:hAnsi="Arial"/>
                <w:sz w:val="14"/>
                <w:szCs w:val="14"/>
                <w:b w:val="1"/>
                <w:bCs w:val="1"/>
                <w:color w:val="auto"/>
                <w:w w:val="92"/>
              </w:rPr>
              <w:t>Thirteen Weeks Ended November 1, 2020</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gridSpan w:val="10"/>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7"/>
            <w:vMerge w:val="restart"/>
          </w:tcPr>
          <w:p>
            <w:pPr>
              <w:jc w:val="right"/>
              <w:ind w:right="81"/>
              <w:spacing w:after="0"/>
              <w:rPr>
                <w:sz w:val="20"/>
                <w:szCs w:val="20"/>
                <w:color w:val="auto"/>
              </w:rPr>
            </w:pPr>
            <w:r>
              <w:rPr>
                <w:rFonts w:ascii="Arial" w:cs="Arial" w:eastAsia="Arial" w:hAnsi="Arial"/>
                <w:sz w:val="14"/>
                <w:szCs w:val="14"/>
                <w:b w:val="1"/>
                <w:bCs w:val="1"/>
                <w:color w:val="auto"/>
              </w:rPr>
              <w:t>Treasury Stock At Cost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tcPr>
          <w:p>
            <w:pPr>
              <w:jc w:val="center"/>
              <w:ind w:right="61"/>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Borders>
              <w:bottom w:val="single" w:sz="8" w:color="auto"/>
            </w:tcBorders>
            <w:gridSpan w:val="10"/>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Borders>
              <w:bottom w:val="single" w:sz="8" w:color="auto"/>
            </w:tcBorders>
            <w:gridSpan w:val="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261"/>
              <w:spacing w:after="0" w:line="158"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3"/>
            <w:vMerge w:val="restart"/>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Amt.</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5"/>
          </w:tcPr>
          <w:p>
            <w:pPr>
              <w:ind w:left="1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Amt.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tcPr>
          <w:p>
            <w:pPr>
              <w:jc w:val="center"/>
              <w:ind w:right="81"/>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8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bottom w:val="single" w:sz="8" w:color="auto"/>
            </w:tcBorders>
            <w:gridSpan w:val="4"/>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2, 2020</w:t>
            </w:r>
          </w:p>
        </w:tc>
        <w:tc>
          <w:tcPr>
            <w:tcW w:w="14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60,422,212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$604</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$526,253</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12,827,300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$(595,728)</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(12,077)</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$331,319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$250,371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(48,043)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(48,043)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foreign currency translation gain</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9"/>
              </w:rPr>
              <w:t>Unrealized gain on derivatives, net of tax</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81"/>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61,518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4"/>
          </w:tcPr>
          <w:p>
            <w:pPr>
              <w:ind w:left="32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271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14,401</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November 1, 2020</w:t>
            </w: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60,483,730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529,523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12,841,701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(595,957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(10,673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thousands, except share amounts)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rPr>
              <w:t>Thirty-Nine Weeks Ended October 31, 2021</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Treasury Stock At Cost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Amt.</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Paid-In</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7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31, 2021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60,488,833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$605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$531,191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12,842,227</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$(595,970)</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$226,491</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$153,232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3"/>
          </w:tcPr>
          <w:p>
            <w:pPr>
              <w:jc w:val="center"/>
              <w:ind w:left="27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82,990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82,990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1020" w:type="dxa"/>
            <w:vAlign w:val="bottom"/>
            <w:gridSpan w:val="3"/>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1020" w:type="dxa"/>
            <w:vAlign w:val="bottom"/>
            <w:gridSpan w:val="3"/>
          </w:tcPr>
          <w:p>
            <w:pPr>
              <w:jc w:val="center"/>
              <w:ind w:left="27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4,114</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3"/>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9,936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875,182</w:t>
            </w: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4,041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3"/>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179,487</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(7,775)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 October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61,364,015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545,168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13,021,714</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(603,745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309,481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11"/>
          </w:tcPr>
          <w:p>
            <w:pPr>
              <w:jc w:val="right"/>
              <w:ind w:right="401"/>
              <w:spacing w:after="0"/>
              <w:rPr>
                <w:sz w:val="20"/>
                <w:szCs w:val="20"/>
                <w:color w:val="auto"/>
              </w:rPr>
            </w:pPr>
            <w:r>
              <w:rPr>
                <w:rFonts w:ascii="Arial" w:cs="Arial" w:eastAsia="Arial" w:hAnsi="Arial"/>
                <w:sz w:val="14"/>
                <w:szCs w:val="14"/>
                <w:b w:val="1"/>
                <w:bCs w:val="1"/>
                <w:color w:val="auto"/>
              </w:rPr>
              <w:t>Thirty-Nine Weeks Ended November 1, 2020</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4"/>
            <w:vMerge w:val="restart"/>
          </w:tcPr>
          <w:p>
            <w:pPr>
              <w:jc w:val="right"/>
              <w:ind w:right="93"/>
              <w:spacing w:after="0"/>
              <w:rPr>
                <w:sz w:val="20"/>
                <w:szCs w:val="20"/>
                <w:color w:val="auto"/>
              </w:rPr>
            </w:pPr>
            <w:r>
              <w:rPr>
                <w:rFonts w:ascii="Arial" w:cs="Arial" w:eastAsia="Arial" w:hAnsi="Arial"/>
                <w:sz w:val="14"/>
                <w:szCs w:val="14"/>
                <w:b w:val="1"/>
                <w:bCs w:val="1"/>
                <w:color w:val="auto"/>
              </w:rPr>
              <w:t>Treasury Stock At Cost</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1"/>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8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21"/>
              <w:spacing w:after="0" w:line="158"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Amt.</w:t>
            </w:r>
          </w:p>
        </w:tc>
        <w:tc>
          <w:tcPr>
            <w:tcW w:w="160" w:type="dxa"/>
            <w:vAlign w:val="bottom"/>
            <w:vMerge w:val="restart"/>
          </w:tcPr>
          <w:p>
            <w:pPr>
              <w:spacing w:after="0"/>
              <w:rPr>
                <w:sz w:val="10"/>
                <w:szCs w:val="10"/>
                <w:color w:val="auto"/>
              </w:rPr>
            </w:pPr>
          </w:p>
        </w:tc>
        <w:tc>
          <w:tcPr>
            <w:tcW w:w="8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Paid-In</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Amt.</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41"/>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2,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43,386,852</w:t>
            </w:r>
          </w:p>
        </w:tc>
        <w:tc>
          <w:tcPr>
            <w:tcW w:w="6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$434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$339,161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12,783,512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$(595,041)</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$ 433,465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$ 169,650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(150,189)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(150,189)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Unrealized loss on derivatives, net of tax</w:t>
            </w:r>
          </w:p>
        </w:tc>
        <w:tc>
          <w:tcPr>
            <w:tcW w:w="880" w:type="dxa"/>
            <w:vAlign w:val="bottom"/>
            <w:gridSpan w:val="2"/>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17,096,878</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185,018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185,189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58,189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November 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60,483,730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605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529,523</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12,841,701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(595,957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$ 283,276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$ 206,774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Thirty-Nine Weeks</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Thirty-Nine Weeks</w:t>
            </w:r>
          </w:p>
        </w:tc>
      </w:tr>
      <w:tr>
        <w:trPr>
          <w:trHeight w:val="148"/>
        </w:trPr>
        <w:tc>
          <w:tcPr>
            <w:tcW w:w="7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r>
      <w:tr>
        <w:trPr>
          <w:trHeight w:val="178"/>
        </w:trPr>
        <w:tc>
          <w:tcPr>
            <w:tcW w:w="7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October 31, 2021</w:t>
            </w:r>
          </w:p>
        </w:tc>
        <w:tc>
          <w:tcPr>
            <w:tcW w:w="300" w:type="dxa"/>
            <w:vAlign w:val="bottom"/>
          </w:tcPr>
          <w:p>
            <w:pPr>
              <w:spacing w:after="0"/>
              <w:rPr>
                <w:sz w:val="15"/>
                <w:szCs w:val="15"/>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November 1, 2020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82,990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(150,189)</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Adjustments to reconcile net income (loss) to net cash provided by operating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104,355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104,896</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4,088</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13,727</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(17,730)</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Loss on disposal of fixed assets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debt extinguishment or refinancing</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9,936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5,344</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w:t>
            </w: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7,745</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2,761</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(42,243)</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2,580</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 and deferred charges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(3,419)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(11,945)</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44,742</w:t>
            </w: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(2,639)</w:t>
            </w: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198,498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(31,754)</w:t>
            </w:r>
          </w:p>
        </w:tc>
        <w:tc>
          <w:tcPr>
            <w:tcW w:w="120" w:type="dxa"/>
            <w:vAlign w:val="bottom"/>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(63,559)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(72,604)</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property and equipment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(72,370)</w:t>
            </w:r>
          </w:p>
        </w:tc>
        <w:tc>
          <w:tcPr>
            <w:tcW w:w="120" w:type="dxa"/>
            <w:vAlign w:val="bottom"/>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37,000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688,000</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debt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(760,250)</w:t>
            </w: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Net proceeds from the issuance of common stock</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182,207</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(4,891)</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(16,805)</w:t>
            </w: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Debt issuance costs and prepayment premiums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r>
      <w:tr>
        <w:trPr>
          <w:trHeight w:val="27"/>
        </w:trPr>
        <w:tc>
          <w:tcPr>
            <w:tcW w:w="7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(120,375)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87,810</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(16,314)</w:t>
            </w:r>
          </w:p>
        </w:tc>
        <w:tc>
          <w:tcPr>
            <w:tcW w:w="12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24,655</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Increase (decrease) in fixed asset accounts payable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6,314</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(12,315)</w:t>
            </w: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(refund received) for income taxes, net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16,043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(9,281)</w:t>
            </w: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Cash paid for interest, net</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43,910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17,306</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8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thirteen weeks ended October 31, 2021, we opened one new store located in Bellevue, Washington and during the thirty-nine weeks ended October 31, 2021, we opened three new stores. At October 31, 2021, we owned and operated 143 stores located in 40 states, Puerto Rico and one Canadian province.</w:t>
      </w:r>
    </w:p>
    <w:p>
      <w:pPr>
        <w:spacing w:after="0" w:line="178"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Company operates on a 52 or 53-week fiscal year that ends on the Sunday after the Saturday closest to January 31. Each quarterly period reported has 13 weeks. Fiscal 2021 and 2020, which end on January 30, 2022 and January 31, 2021, respectively, contain 52 weeks.</w:t>
      </w:r>
    </w:p>
    <w:p>
      <w:pPr>
        <w:spacing w:after="0" w:line="12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31, 2021, included in our Annual Report on Form 10-K as filed with the SEC.</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COVID-19 Considerations </w:t>
      </w:r>
      <w:r>
        <w:rPr>
          <w:rFonts w:ascii="Arial" w:cs="Arial" w:eastAsia="Arial" w:hAnsi="Arial"/>
          <w:sz w:val="16"/>
          <w:szCs w:val="16"/>
          <w:color w:val="auto"/>
        </w:rPr>
        <w:t>— On March 11, 2020, the World Health Organization declared the COVID-19 outbreak to be a global pandemic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as state and local guidelines began to allow dining rooms and arcades to open at limited capacity and/or limited hours of operation. By the end of fiscal 2020, 107 of our 140 stores were open and operating in limited capacity, including five new stores for which construction had commenced prior to the outbreak of the COVID-19 pandemic. The Company re-opened the remaining 34 stores that had been temporarily closed by August 1, 2021, the end of the second quarter of fiscal 2021.</w:t>
      </w:r>
    </w:p>
    <w:p>
      <w:pPr>
        <w:spacing w:after="0" w:line="166"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As stores were re-opened during fiscal 2020, typically in limited capacity, the Company reduced labor and other operating costs. During fiscal 2020, the Company also negotiated with landlords and other vendors to negotiate relief from cash payments under existing lease and trade payable obligations, extending or reducing payment terms with several vendors. Regarding negotiations with landlords, a total of 126 initial rent relief agreements related to our operating locations and corporate headquarters were executed during fiscal 2020, which generally provided for rent deferrals on all or a portion of rent for up to six months. As the COVID-19 pandemic continued to impact our business into the fourth quarter, the Company renewed negotiations with the majority of these landlords in order to provide additional rent relief, generally seeking to delay or extend the terms of deferral pay back periods and/or provide rent relief beyond the periods in the initial agreements. The second phase of negotiations resulted in 99 additional rent relief agreements, the last of which were executed in the third quarter of fiscal 2021.</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to reducing or deferring expenditures, including capital expenditures and discretionary spending, during the first half of fiscal 2020, the Company obtained additional liquidity through the sale of common stock, which resulted in net proceeds of $182,207. On October 27, 2020, D&amp;B Inc completed the private sale of $550,000 in aggregate principal amount of 7.625% senior secured notes due 2025. At the same time, the revolving credit commitments under our existing credit facility were extended through August 17, 2024, and the suspension of our financial ratio covenants was extended until the last day of the first quarter of fiscal year 2022. On September 20, 2021, the Company redeemed $55,000 outstanding principal amount of the senior secured notes. See Note 3, Debt, for more information on these transactions.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measures taken by the Company as well as the re-opening of the Company’s stores provide sufficient liquidity to meet estimated cash flow needs and covenant compliance obligations for at least the next twelve months from the issuance of the financial statements. We cannot predict whether, when or the manner in which the conditions surrounding COVID-19, particularly as a result of new variants of COVID-19, will change, including possible vaccination or mask mandates, capacity restrictions or re-closures of our currently open stores and customer engagement with our brand.</w:t>
      </w:r>
    </w:p>
    <w:p>
      <w:pPr>
        <w:spacing w:after="0" w:line="15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thirty-nine weeks ended October 31, 2021 are not necessarily indicative of results that may be expected for any other interim period or for the fiscal year ending January 30, 2022.</w:t>
      </w:r>
    </w:p>
    <w:p>
      <w:pPr>
        <w:spacing w:after="0" w:line="18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We consider transaction settlements in process from credit card companies and all highly-liquid investments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A book overdraft of $8,168 is presented in “Accounts payable” in the Consolidated Balance Sheets as of January 31, 2021. There was no book overdraft as of October 31, 2021. Changes in the book overdraft position are presented within “Net cash provided by (used in) operating activities” within the Consolidated Statements of Cash Flows.</w:t>
      </w:r>
    </w:p>
    <w:p>
      <w:pPr>
        <w:spacing w:after="0" w:line="17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borrowings under our revolving credit facility was $62,114 as of January 31, 2021, and the fair value of our senior secured notes was $527,776 and $576,033 as of October 31, 2021 and January 31, 2021, respectively.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6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During the thirteen and thirty-nine weeks ended November 1, 2020, the Company recorded an impairment charge for its long-lived assets, including ROU assets, of $0 and $6,746, respectively, primarily driven by the expected impact of the COVID-19 pandemic on future cash flows of specific stores. During the thirty-nine weeks ended October 31, 2021, the Company did not identify triggering events which would require a change in management’s estimate regarding the recoverability of store asset values, and no impairment related to our operating stores was recognized. The Company has determined no events and circumstances existed during the thirty-nine weeks ended October 31, 2021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7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During the thirteen and thirty-nine weeks ended November 1, 2020, the Company recorded an impairment loss and related contract termination costs of $0 and $6,981 related to projects in development and discussions to terminate several executed lease contracts that had not yet commenced, which is included in “Other store operating expenses” in the Consolidated Statements of Comprehensive Income (Loss). There were no impairment charges related to our potential future sites during the thirty-nine weeks ended October 31, 2021.</w:t>
      </w:r>
    </w:p>
    <w:p>
      <w:pPr>
        <w:spacing w:after="0" w:line="63"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 Effective February 28, 2019, the Company entered into three interest rate swap agreements to manage our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movements on our 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which mature August 17, 2022, totals $350,000 and the fixed rate of interest for all agreements is 2.47%.</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8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then current forward interest rate curve, the Company discontinued the hedging relationship as of April 14, 2020 (de-designation date). Given the continued existence of the hedged interest payments, the Company is reclassifying its accumulated other comprehensive loss of $17,609 as of the de-designation date into “Interest expense, net” using a straight-line approach over the remaining life of the originally designated hedging relationship. The amount of pre-tax losses in accumulated other comprehensive loss reclassified into interest expense subsequent to the de-designation date was $5,660 and $4,088 for the thirty-nine weeks ended October 31, 2021 and November 1, 2020, respectively, and the Company expects to reclassify $5,975 within the next twelve months. Effective with the de-designation, any gain or loss on the derivatives are recognized in earnings in the period in which the change occurs. For the thirty-nine weeks ended October 31, 2021 and November 1, 2020, a gain of $92 and a loss of $1,578, respectively, were recognized, which are included in “Other store operating expenses” in the Consolidated Statements of Comprehensive Income (Loss).</w:t>
      </w:r>
    </w:p>
    <w:p>
      <w:pPr>
        <w:spacing w:after="0" w:line="17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w:t>
      </w:r>
    </w:p>
    <w:p>
      <w:pPr>
        <w:spacing w:after="0" w:line="18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Credit risk related to the failure of our counterparties to perform under the terms of the swap agreements is minimized by entering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derivative instruments were outstanding as of the end of the periods indicated:</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w w:val="89"/>
              </w:rPr>
              <w:t>Balance Sheet Location</w:t>
            </w: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October 31, 2021</w:t>
            </w:r>
          </w:p>
        </w:tc>
        <w:tc>
          <w:tcPr>
            <w:tcW w:w="130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w w:val="92"/>
              </w:rPr>
              <w:t>January 31,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(6,384)</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Interest rate swaps</w:t>
            </w: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(6,384)</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in accumulated other comprehensive loss related to our derivative instruments: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7"/>
              </w:rPr>
              <w:t>Thirteen weeks ended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6"/>
              </w:rPr>
              <w:t>Thirty-nine weeks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October 31, 2021</w:t>
            </w:r>
          </w:p>
        </w:tc>
        <w:tc>
          <w:tcPr>
            <w:tcW w:w="240" w:type="dxa"/>
            <w:vAlign w:val="bottom"/>
          </w:tcPr>
          <w:p>
            <w:pPr>
              <w:spacing w:after="0"/>
              <w:rPr>
                <w:sz w:val="14"/>
                <w:szCs w:val="14"/>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October 31, 2021</w:t>
            </w:r>
          </w:p>
        </w:tc>
        <w:tc>
          <w:tcPr>
            <w:tcW w:w="240" w:type="dxa"/>
            <w:vAlign w:val="bottom"/>
          </w:tcPr>
          <w:p>
            <w:pPr>
              <w:spacing w:after="0"/>
              <w:rPr>
                <w:sz w:val="14"/>
                <w:szCs w:val="14"/>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10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recorded in accumulated other</w:t>
            </w:r>
          </w:p>
        </w:tc>
        <w:tc>
          <w:tcPr>
            <w:tcW w:w="7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Loss reclassified into income (1)</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(1,886)</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(1,886)</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(5,660)</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(4,566)</w:t>
            </w: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(benefit) in</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1,546</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r>
    </w:tbl>
    <w:p>
      <w:pPr>
        <w:spacing w:after="0" w:line="62" w:lineRule="exact"/>
        <w:rPr>
          <w:sz w:val="20"/>
          <w:szCs w:val="20"/>
          <w:color w:val="auto"/>
        </w:rPr>
      </w:pPr>
    </w:p>
    <w:p>
      <w:pPr>
        <w:ind w:left="540" w:hanging="424"/>
        <w:spacing w:after="0"/>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Amounts reclassified into income are included in “Interest expense, net” in the Consolidated Statements of Comprehensive Income (Loss).</w:t>
      </w:r>
    </w:p>
    <w:p>
      <w:pPr>
        <w:spacing w:after="0" w:line="20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Amusement revenues are primarily recognized upon utilization of game play credits on power cards purchased and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thirty-nine weeks ended October 31, 2021, we recognized revenue of approximately $12,900 and $37,700, respectively, related to the amount in deferred amusement revenue as of the end of fiscal 2020.</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8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thirty-nine weeks ended October 31, 2021, we recognized revenue of approximately $1,200 and $3,000, respectively, related to the amount in deferred gift card revenue as of the end of fiscal 2020, of which approximately $690 and $930, respectively, was breakage revenue.</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Stockholders’ equity </w:t>
      </w:r>
      <w:r>
        <w:rPr>
          <w:rFonts w:ascii="Arial" w:cs="Arial" w:eastAsia="Arial" w:hAnsi="Arial"/>
          <w:sz w:val="16"/>
          <w:szCs w:val="16"/>
          <w:color w:val="auto"/>
        </w:rPr>
        <w:t>— In our consolidated financial statements, the Company treats shares withheld for tax purposes on behalf of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connection with the vesting of time-based and performance restricted stock units as common stock repurchases because they reduce the number of shares that would have been issued upon vesting. During the thirty-nine weeks ended October 31, 2021 and November 1, 2020, we withheld 179,487 and 58,189 shares of common stock to satisfy $7,775 and $916 of employees’ tax obligations, respectively. The share activity in the thirty-nine weeks ended November 1, 2020 includes the settlements of $2,517 cash obligations through the issuance of 160,540 shares of common stock.</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14, 2020, pursuant to an open market sale agreement, the Company sold 6,149,936 shares of its common stock at a price of $12.20 per share, for proceeds of $75,000, prior to deducting offering expenses related to the offering. During May 2020, the Company entered into an underwriting agreement, pursuant to which it sold an additional 10,593,416 shares of its common stock (including shares under an over-allotment option) at a price of $10.44 per share, for proceeds of $110,600, prior to deducting offering costs.</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 The Rights Plan expired on March 17, 2021.</w:t>
      </w:r>
    </w:p>
    <w:p>
      <w:pPr>
        <w:spacing w:after="0" w:line="188"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 Basic net income (loss) per share is computed by dividing net income (loss) available to common shareholders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basic 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the thirteen weeks ended October 31, 2021 and November 1, 2020, the Company excluded anti-dilutive awards from the calculation of approximately 236,279 and 1,652,925, respectively. For the thirty-nine weeks ended October 31, 2021 and November 1, 2020, the Company excluded anti-dilutive awards from the calculation of approximately 161,093 and 1,523,945, respectively. Basic weighted average shares outstanding are reconciled to diluted weighted average shares outstanding as follows: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1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Thirteen weeks ended</w:t>
            </w:r>
          </w:p>
        </w:tc>
        <w:tc>
          <w:tcPr>
            <w:tcW w:w="27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Thirty-nine weeks ended</w:t>
            </w:r>
          </w:p>
        </w:tc>
      </w:tr>
      <w:tr>
        <w:trPr>
          <w:trHeight w:val="155"/>
        </w:trPr>
        <w:tc>
          <w:tcPr>
            <w:tcW w:w="4300" w:type="dxa"/>
            <w:vAlign w:val="bottom"/>
          </w:tcPr>
          <w:p>
            <w:pPr>
              <w:spacing w:after="0"/>
              <w:rPr>
                <w:sz w:val="13"/>
                <w:szCs w:val="13"/>
                <w:color w:val="auto"/>
              </w:rPr>
            </w:pPr>
          </w:p>
        </w:tc>
        <w:tc>
          <w:tcPr>
            <w:tcW w:w="15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480" w:type="dxa"/>
            <w:vAlign w:val="bottom"/>
          </w:tcPr>
          <w:p>
            <w:pPr>
              <w:spacing w:after="0"/>
              <w:rPr>
                <w:sz w:val="13"/>
                <w:szCs w:val="13"/>
                <w:color w:val="auto"/>
              </w:rPr>
            </w:pPr>
          </w:p>
        </w:tc>
        <w:tc>
          <w:tcPr>
            <w:tcW w:w="15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October 31, 2021</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November 1, 2020</w:t>
            </w:r>
          </w:p>
        </w:tc>
        <w:tc>
          <w:tcPr>
            <w:tcW w:w="40" w:type="dxa"/>
            <w:vAlign w:val="bottom"/>
          </w:tcPr>
          <w:p>
            <w:pPr>
              <w:spacing w:after="0"/>
              <w:rPr>
                <w:sz w:val="13"/>
                <w:szCs w:val="13"/>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48,277,358</w:t>
            </w: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47,613,741</w:t>
            </w:r>
          </w:p>
        </w:tc>
        <w:tc>
          <w:tcPr>
            <w:tcW w:w="4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48,050,558</w:t>
            </w:r>
          </w:p>
        </w:tc>
        <w:tc>
          <w:tcPr>
            <w:tcW w:w="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42,185,163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Weighted average dilutive impact of awards (1)</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1,006,145</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1,206,711</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49,283,503</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47,613,741</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49,257,269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42,185,163</w:t>
            </w:r>
          </w:p>
        </w:tc>
      </w:tr>
    </w:tbl>
    <w:p>
      <w:pPr>
        <w:spacing w:after="0" w:line="229"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exclude all potential common and common equivalent shares for periods when there is a net loss.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Recently adopted accounting guidance </w:t>
      </w:r>
      <w:r>
        <w:rPr>
          <w:rFonts w:ascii="Arial" w:cs="Arial" w:eastAsia="Arial" w:hAnsi="Arial"/>
          <w:sz w:val="18"/>
          <w:szCs w:val="18"/>
          <w:color w:val="auto"/>
        </w:rPr>
        <w:t>— 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allocations, the calculation of income taxes in interim periods, and the recognition of deferred taxes for taxable goodwill. The Company adopted this standard as of the beginning of fiscal year 2021, and the adoption did not have a material impact on our consolidated financial statements.</w:t>
      </w:r>
    </w:p>
    <w:p>
      <w:pPr>
        <w:spacing w:after="0" w:line="188"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March 2020, the FASB issued ASU 2020-04,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Reference Rate Reform (Topic 848): Facilitation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Effects of Reference Reform on Financial Reporting</w:t>
      </w:r>
      <w:r>
        <w:rPr>
          <w:rFonts w:ascii="Arial" w:cs="Arial" w:eastAsia="Arial" w:hAnsi="Arial"/>
          <w:sz w:val="18"/>
          <w:szCs w:val="18"/>
          <w:color w:val="auto"/>
        </w:rPr>
        <w:t>, which provides temporary optional expedients and exceptions to the current guidance for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and hedging relationships 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Although the Company has swap agreements based on LIBOR rates, the guidance is not expected to have an impact on our consolidated financial statements due to the de-designation of our hedging relationships in fiscal 2020.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October 31, 2021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2021</w:t>
            </w: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92,909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78,852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portion of operating lease liabilities, net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51,735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46,471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13,846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portion of deferred occupancy costs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22,564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36,121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Deferred gift card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9,564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10,918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derivatives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Utilities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5,453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4,151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insurance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and use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4,177</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11,321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8,753</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234,790</w:t>
            </w:r>
          </w:p>
        </w:tc>
        <w:tc>
          <w:tcPr>
            <w:tcW w:w="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0" w:hanging="424"/>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balance of leasehold incentive receivables of $3,823 and $8,763 as of October 31, 2021 and January 31, 2021, respectively, is reflected as a reduction of the current portion of operating lease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consists of the following:</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2"/>
              </w:rPr>
              <w:t>October 31, 2021</w:t>
            </w:r>
          </w:p>
        </w:tc>
        <w:tc>
          <w:tcPr>
            <w:tcW w:w="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2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Less debt issuance costs</w:t>
            </w:r>
          </w:p>
        </w:tc>
        <w:tc>
          <w:tcPr>
            <w:tcW w:w="2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(10,323)</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(13,612)</w:t>
            </w: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484,677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596,388</w:t>
            </w: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9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minimum liquidity (primarily availability under the credit facility) of $150,000. The second amendment extended the maturity date of the $500,000 revolving portion of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facility from August 17, 2022 to August 17, 2024, increased the interest rate spread to 4.00% during the financial covenant suspension period,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instituted a 1.00% utilization fee during that same time. The utilization fee is due at maturity. The financial covenant suspension period may end earlier,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Company’s election, if certain predetermined financial covenant ratios are achieved. After the financial covenant suspension period, the interest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rate spread ranges from 1.25% to 3.00%. The second amendment terminated the term loan portion of the credit facility, which triggered payment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$1,900 of lender debt costs associated with the first amendment. The first amendment, effective April 14, 2020, provided initial relief from compliance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financial covenants after the COVID-19 pandemic and increased the interest rate spread on variable rate debt to 2.00% plus a LIBOR floor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w:t>
      </w:r>
    </w:p>
    <w:p>
      <w:pPr>
        <w:spacing w:after="0" w:line="211"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On September 20, 2021, the Company redeemed $55,000 outstanding principal amount of the Notes. In connection with the early redemption of the Notes, the Company paid a prepayment premium of $1,650, plus accrued and unpaid interest to the date of redemption, pursuant to the terms of the indenture governing the Notes. Additionally, the early redemption of the Notes resulted in a loss on extinguishment of $1,179 related to a proportionate amount of unamortized issuance costs. Refer to Note 8 regarding additional early redemption in fiscal 2021.</w:t>
      </w:r>
    </w:p>
    <w:p>
      <w:pPr>
        <w:spacing w:after="0" w:line="17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For the thirty-nine weeks ended October 31, 2021 and November 1, 2020, respectively, the Company’s weighted average interest rate on outstanding borrowings was 10.26% and 4.17%, respectively. At October 31, 2021, we had letters of credit outstanding of $10,486 and an unused commitment balance of $489,514 under the revolving credit facility.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 sets forth our recorded interest expense, net:</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October 31, 2021</w:t>
            </w:r>
          </w:p>
        </w:tc>
        <w:tc>
          <w:tcPr>
            <w:tcW w:w="300" w:type="dxa"/>
            <w:vAlign w:val="bottom"/>
          </w:tcPr>
          <w:p>
            <w:pPr>
              <w:spacing w:after="0"/>
              <w:rPr>
                <w:sz w:val="13"/>
                <w:szCs w:val="13"/>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30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6,092</w:t>
            </w:r>
          </w:p>
        </w:tc>
        <w:tc>
          <w:tcPr>
            <w:tcW w:w="6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33,921</w:t>
            </w:r>
          </w:p>
        </w:tc>
        <w:tc>
          <w:tcPr>
            <w:tcW w:w="86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associated with swap agreements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1,886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5,660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currently lease most of the buildings or sites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 for the fiscal year ended:</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8"/>
              </w:rPr>
              <w:t>Thirteen Weeks Ended</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2"/>
              </w:rPr>
              <w:t>November 1, 2020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2"/>
              </w:rPr>
              <w:t>November 1, 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33,915</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33,278</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100,506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Variable lease cost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7,862</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5,351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22,492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41,898</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38,731</w:t>
            </w:r>
          </w:p>
        </w:tc>
        <w:tc>
          <w:tcPr>
            <w:tcW w:w="300" w:type="dxa"/>
            <w:vAlign w:val="bottom"/>
          </w:tcPr>
          <w:p>
            <w:pPr>
              <w:spacing w:after="0"/>
              <w:rPr>
                <w:sz w:val="21"/>
                <w:szCs w:val="21"/>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123,429</w:t>
            </w:r>
          </w:p>
        </w:tc>
        <w:tc>
          <w:tcPr>
            <w:tcW w:w="32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auto"/>
                <w:w w:val="89"/>
              </w:rPr>
              <w:t>14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During fiscal 2020, the Company entered into 126 initial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As the COVID-19 pandemic continued to impact our business into the fourth quarter of fiscal 2020, the Company renewed negotiations with the majority of these landlords in order to provide additional rent relief, generally seeking to delay or extend the terms of deferral pay back periods and/or provide rent relief beyond the periods in the initial agreements. The second phase of negotiations resulted in 99 additional rent relief agreements, the last of which were executed in the third quarter of fiscal 2021. The Company has elected to apply the practical expedient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A total of 208 of our 225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or as short payments. The current portion of deferred occupancy costs or short pays is included in “Accrued liabilities” and the balance, or $12,175 and $16,243 as of October 31, 2021 and January 31, 2021, respectively, is included in “Other liabilities” in the Consolidated Balance Sheets.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During fiscal 2020, the Company settled a portion of the cases at the approximate amount estimated and accrued.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Share-Based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Compensation expense related to stock options and restricted stock units is included in “General and administrative expenses” in the Consolidated Statements of Comprehensive Income (Loss) and is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November 1, 2020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November 1, 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3,690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9,490</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9,936</w:t>
            </w:r>
          </w:p>
        </w:tc>
        <w:tc>
          <w:tcPr>
            <w:tcW w:w="9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Transactions related to stock option awards during the thirty-nine weeks ended October 31, 2021 were as follows: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20" w:type="dxa"/>
            <w:vAlign w:val="bottom"/>
            <w:gridSpan w:val="7"/>
          </w:tcPr>
          <w:p>
            <w:pPr>
              <w:ind w:left="280"/>
              <w:spacing w:after="0"/>
              <w:rPr>
                <w:sz w:val="20"/>
                <w:szCs w:val="20"/>
                <w:color w:val="auto"/>
              </w:rPr>
            </w:pPr>
            <w:r>
              <w:rPr>
                <w:rFonts w:ascii="Arial" w:cs="Arial" w:eastAsia="Arial" w:hAnsi="Arial"/>
                <w:sz w:val="14"/>
                <w:szCs w:val="14"/>
                <w:b w:val="1"/>
                <w:bCs w:val="1"/>
                <w:color w:val="auto"/>
              </w:rPr>
              <w:t>2014 Stock Incentive Plan</w:t>
            </w: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400"/>
              <w:spacing w:after="0" w:line="133" w:lineRule="exact"/>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Wtd. Avg.</w:t>
            </w:r>
          </w:p>
        </w:tc>
        <w:tc>
          <w:tcPr>
            <w:tcW w:w="50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3" w:lineRule="exact"/>
              <w:rPr>
                <w:sz w:val="20"/>
                <w:szCs w:val="20"/>
                <w:color w:val="auto"/>
              </w:rPr>
            </w:pPr>
            <w:r>
              <w:rPr>
                <w:rFonts w:ascii="Arial" w:cs="Arial" w:eastAsia="Arial" w:hAnsi="Arial"/>
                <w:sz w:val="14"/>
                <w:szCs w:val="14"/>
                <w:b w:val="1"/>
                <w:bCs w:val="1"/>
                <w:color w:val="auto"/>
                <w:w w:val="95"/>
              </w:rPr>
              <w:t>Wtd. Avg.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9"/>
              </w:rPr>
              <w:t>of Options</w:t>
            </w:r>
          </w:p>
        </w:tc>
        <w:tc>
          <w:tcPr>
            <w:tcW w:w="2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of Options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1,231,601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36.77</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173,563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(203,861)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16.48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(100,009)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(13,167)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45.75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1,014,573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40.73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73,554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Exercisable at October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950,187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4"/>
              </w:rPr>
              <w:t>39.97</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total intrinsic value of options exercised during the thirty-nine weeks ended October 31, 2021 was $8,756. The unrecognized expense related to our stock option plan totaled approximately $125 as of October 31, 2021 and will be expensed over a weighted average period of 0.4 years.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restricted stock units during the thirty-nine weeks ended October 31, 2021,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r>
      <w:tr>
        <w:trPr>
          <w:trHeight w:val="171"/>
        </w:trPr>
        <w:tc>
          <w:tcPr>
            <w:tcW w:w="6540" w:type="dxa"/>
            <w:vAlign w:val="bottom"/>
          </w:tcPr>
          <w:p>
            <w:pPr>
              <w:spacing w:after="0"/>
              <w:rPr>
                <w:sz w:val="14"/>
                <w:szCs w:val="14"/>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1,116,341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301,847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47.82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Performance adjusted units</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362,491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5"/>
          </w:tcPr>
          <w:p>
            <w:pPr>
              <w:jc w:val="right"/>
              <w:ind w:right="280"/>
              <w:spacing w:after="0"/>
              <w:rPr>
                <w:sz w:val="20"/>
                <w:szCs w:val="20"/>
                <w:color w:val="auto"/>
              </w:rPr>
            </w:pPr>
            <w:r>
              <w:rPr>
                <w:rFonts w:ascii="Arial" w:cs="Arial" w:eastAsia="Arial" w:hAnsi="Arial"/>
                <w:sz w:val="18"/>
                <w:szCs w:val="18"/>
                <w:color w:val="auto"/>
              </w:rPr>
              <w:t>(571,312)</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15.39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(51,686)</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Outstanding at October 31, 2021</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1,157,681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40" w:type="dxa"/>
            <w:vAlign w:val="bottom"/>
          </w:tcPr>
          <w:p>
            <w:pPr>
              <w:spacing w:after="0"/>
              <w:rPr>
                <w:sz w:val="19"/>
                <w:szCs w:val="19"/>
                <w:color w:val="auto"/>
              </w:rPr>
            </w:pPr>
          </w:p>
        </w:tc>
      </w:tr>
      <w:tr>
        <w:trPr>
          <w:trHeight w:val="250"/>
        </w:trPr>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Fair value of our time-based and performance-based restricted stock units is based on our closing stock price on the date of grant. The grant date fair value of market stock units was determined using a Monte-Carlo simulation model. The unrecognized expense related to restricted stock units was $13,692 as of October 31, 2021 and will be expensed over a weighted average period of 1.8 years.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thirty-nine weeks ended October 31, 2021 and November 1, 2020, excess tax expense (benefit) of $(6,034) and $431, respectively, were recognized in the “Provision (benefit) for income taxes” in the Consolidated Statement of Comprehensive Income (Loss) and classified as a source in operating activities in the Consolidated Statement of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Due to government delays in processing these claims, we do not expect to receive a majority of these funds until fiscal 2022.</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8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505"/>
        <w:spacing w:after="0" w:line="311" w:lineRule="auto"/>
        <w:rPr>
          <w:sz w:val="20"/>
          <w:szCs w:val="20"/>
          <w:color w:val="auto"/>
        </w:rPr>
      </w:pPr>
      <w:r>
        <w:rPr>
          <w:rFonts w:ascii="Arial" w:cs="Arial" w:eastAsia="Arial" w:hAnsi="Arial"/>
          <w:sz w:val="16"/>
          <w:szCs w:val="16"/>
          <w:color w:val="auto"/>
        </w:rPr>
        <w:t>The effective tax rate for the thirty-nine weeks ended October 31, 2021, was 13.4%, compared to a benefit of 32.3% for the thirty-nine weeks ended November 1, 2020. The current year tax provision includes higher excess tax benefits associated with share-based compensation while the prior year tax provision was a tax benefit primarily due to the impact of the pre-tax loss and the impact of the tax provisions within the CARES Act.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Subsequent Event</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November 11, 2021, the Company redeemed an additional $55,000 outstanding principal amount of the Notes using available cash and funds from its revolving credit facility. In connection with the early redemption of the Notes, the Company paid a prepayment premium of $1,650, plus accrued and unpaid interest to the date of redemption, pursuant to the terms of the indenture governing the Notes. The early redemption of the Notes resulted in a loss on extinguishment of approximately $1,100 related to a proportionate amount of unamortized issuance costs. At November 28, 2021, the Company’s total debt outstanding was $463,000, consisting of $440,000 of Notes and $23,000 in borrowing under the revolving credit facility.</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December 7, 2021, the Company filed notice with the credit facility administrative agent to immediately terminate the covenant suspension period.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320" w:top="486" w:right="5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31, 2021.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31, 2021.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March 11, 2020, the World Health Organization declared the COVID-19 outbreak to be a global pandemic and on March 13, 2020, the United States declared a National Public Health Emergency.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as state and local guidelines began to allow dining rooms and arcades to open at limited capacity and/or limited hours of operation. By the end of fiscal 2020, 107 of our 140 stores were open and operating in limited capacity, including five new stores for which construction had commenced prior to the outbreak of the COVID-19 pandemic. The Company re-opened the remaining 34 stores that had been temporarily closed by August 1, 2021, the end of the second quarter of fiscal 2021.</w:t>
      </w:r>
    </w:p>
    <w:p>
      <w:pPr>
        <w:spacing w:after="0" w:line="16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Company continues to be subject to risks and uncertainties as a result of the COVID-19 pandemic, particularly as a result of new variants of COVID-19, which appears to be causing an increase in COVID-19 cases. Public health officials and medical professionals have warned that a resurgence of COVID-19 cases may continue, particularly if vaccination rates do not quickly increase or if additional potent variants emerge. It is unclear how long a resurgence may last, how severe it may be, and what safety measures governments may impose in response to it. For instance, a few jurisdictions that our stores operate have recently imposed proof of vaccination requirements for our customers and team members, and many of our stores have face mask requirements. We cannot predict with certainty how quickly our customers will return to our stores once all restrictions have been lifted or the impact this will have on consumer spending habits. Additionally, in connection with the COVID-19 pandemic, there have been disruptions in various food and amusement supply chains, and we have incurred expenses to recall, hire and retain team members as our operating stores have re-opened and the majority of operating hour and capacity restrictions have been lifted.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Third Quarter 2021 Highlights</w:t>
      </w:r>
    </w:p>
    <w:p>
      <w:pPr>
        <w:spacing w:after="0" w:line="135" w:lineRule="exact"/>
        <w:rPr>
          <w:sz w:val="20"/>
          <w:szCs w:val="20"/>
          <w:color w:val="auto"/>
        </w:rPr>
      </w:pPr>
    </w:p>
    <w:p>
      <w:pPr>
        <w:ind w:left="1540" w:right="18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totaled $317,976 compared with $299,352 in the third quarter of 2019. Revenues totaled $109,052 in the third quarter of 2020, which ended with 104 of our 137 stores open and operating in limited capacity.</w:t>
      </w:r>
    </w:p>
    <w:p>
      <w:pPr>
        <w:spacing w:after="0" w:line="75" w:lineRule="exact"/>
        <w:rPr>
          <w:rFonts w:ascii="Arial" w:cs="Arial" w:eastAsia="Arial" w:hAnsi="Arial"/>
          <w:sz w:val="18"/>
          <w:szCs w:val="18"/>
          <w:color w:val="auto"/>
        </w:rPr>
      </w:pPr>
    </w:p>
    <w:p>
      <w:pPr>
        <w:jc w:val="both"/>
        <w:ind w:left="1540" w:right="160" w:hanging="331"/>
        <w:spacing w:after="0" w:line="342"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Overall comparable store sales were relatively flat, decreasing 0.4% compared with the same period in 2019 and increased 189.3% compared with the same period in 2020, which ended with 84 of our 114 comparable stores open and operating in limited capacity.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20" w:hanging="331"/>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totaled $10,585, or $0.21 per diluted share, compared with net income of $482, or $0.02 per diluted share in the same period of 2019. In the same period of 2020, we recorded a net loss of $48,043.</w:t>
      </w:r>
    </w:p>
    <w:p>
      <w:pPr>
        <w:spacing w:after="0" w:line="75" w:lineRule="exact"/>
        <w:rPr>
          <w:rFonts w:ascii="Arial" w:cs="Arial" w:eastAsia="Arial" w:hAnsi="Arial"/>
          <w:sz w:val="18"/>
          <w:szCs w:val="18"/>
          <w:color w:val="auto"/>
        </w:rPr>
      </w:pPr>
    </w:p>
    <w:p>
      <w:pPr>
        <w:ind w:left="1540" w:right="20" w:hanging="331"/>
        <w:spacing w:after="0" w:line="286"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EBITDA totaled $58,850, or 18.5% of revenues, compared with EBITDA of $39,839 or 13.3% of revenues in the third quarter of 2019. The increase in EBITDA over fiscal 2019 is largely driven by the higher mix of amusements, reductions in hourly labor costs, and reduced discretionary marketing spend. We recorded an EBITDA loss of $21,659 in the third quarter of 2020.</w:t>
      </w:r>
    </w:p>
    <w:p>
      <w:pPr>
        <w:spacing w:after="0" w:line="70" w:lineRule="exact"/>
        <w:rPr>
          <w:rFonts w:ascii="Arial" w:cs="Arial" w:eastAsia="Arial" w:hAnsi="Arial"/>
          <w:sz w:val="17"/>
          <w:szCs w:val="17"/>
          <w:color w:val="auto"/>
        </w:rPr>
      </w:pPr>
    </w:p>
    <w:p>
      <w:pPr>
        <w:ind w:left="1540" w:right="300" w:hanging="331"/>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the quarter with $27,005 in cash and approximately $340,000 of liquidity available under the Company’s revolving credit facility, net of a $150,000 minimum liquidity covenant and $10,486 in letters of credit.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stores, which average 40,000 square feet, range in size between 16,000 and 70,000 square feet. Our stores are generally open seven days a week, with normal hours of operation typically from 11:30 a.m. to midnight.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monitor and analyze several key performance measures to manage our business and evaluate financial and operating performance. These measures include: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comparison of sales to the same period of prior years for the comparable store base.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2021 is defined as stores open for a full 18 months before the beginning of fiscal 2020 and excludes two stores that the Company elected not to reopen after they were closed in March 2020 due to local operating limitations. At October 31, 2021, our comparable store base consisted of 114 stores.</w:t>
      </w:r>
    </w:p>
    <w:p>
      <w:pPr>
        <w:spacing w:after="0" w:line="16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November 2, 2020 and October 31, 2021, we opened six new stores (three in fiscal 2020 and three in fiscal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(loss)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or 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7"/>
          <w:szCs w:val="17"/>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operate on a 52 or 53-week fiscal year that ends on the Sunday after the Saturday closest to January 31. Each quarterly period has 13 weeks,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except in a 53-week year when the fourth quarter has 14 weeks. All references to the third quarter of 2021 relate to the 13-week period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31, 2021. All references to the third quarter of 2020 relate to the 13-week period ended November 1, 2020. All references to the third quarter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2019 relate to the 13-week period ended November 3, 2019. Fiscal 2021, fiscal 2020 and fiscal 2019 consist of 52 weeks. All dollar amounts 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thousands, unless otherwise noted, except share and per share amounts.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Our new stores historically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9"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cost of products will remain stable or that federal, state or local minimum wage rates will not increase beyond amounts currently legislated, the effects of any supplier price increase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Thirteen Weeks Ended October 31, 2021 Compared to Thirteen Weeks Ended November 1, 2020</w:t>
      </w:r>
    </w:p>
    <w:p>
      <w:pPr>
        <w:spacing w:after="0" w:line="121" w:lineRule="exact"/>
        <w:rPr>
          <w:sz w:val="20"/>
          <w:szCs w:val="20"/>
          <w:color w:val="auto"/>
        </w:rPr>
      </w:pPr>
    </w:p>
    <w:p>
      <w:pPr>
        <w:jc w:val="both"/>
        <w:ind w:left="12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31, 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1, 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107,747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38,346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210,229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70,706</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317,976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109,052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30,082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10,664</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3"/>
              </w:rPr>
              <w:t>Cost of amusement and other (as a percentage of amusement and other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22,531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7,244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52,613</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17,908</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78,995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27,704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103,322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70,783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22,104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11,746</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34,381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34,384</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2,570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293,507</w:t>
            </w: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165,095</w:t>
            </w: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151.4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24,469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5"/>
              </w:rPr>
              <w:t>(56,043)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13,423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8,213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Income (loss) before benefit for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(65,160)</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5"/>
              </w:rPr>
              <w:t>(17,117)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10,585</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(48,043</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Change in comparable store sales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Company-owned stores at end of period (1)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at end of period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62"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As of the end of the third quarter of fiscal 2020, 104 of our 137 total stores and 84 of our 114 comparable stores were open and operating in limited capacity. Our comparable store count as of the end of the third quarter of fiscal 2020 excludes a store in Chicago, Illinois and a store in Houston, Texas, which were at or near the end of their respective lease terms, when the Company decided not to re-open.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320" w:top="486"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31,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$10,585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$(48,043)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13,423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8,213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(2,368)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(17,117)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34,381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34,384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58,850</w:t>
            </w:r>
          </w:p>
        </w:tc>
        <w:tc>
          <w:tcPr>
            <w:tcW w:w="3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(21,659)</w:t>
            </w: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3,778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2,570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costs (1)</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3,112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68,209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(15,971)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27" w:lineRule="auto"/>
        <w:tabs>
          <w:tab w:leader="none" w:pos="5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Primarily represents costs related to currency transaction (gains) or losses. The third quarter of fiscal 2021 includes a $3,230 severance obligation to the Company’s former Chief Executive Officer, who terminated his service in this position effective September 30, 2021.</w:t>
      </w:r>
    </w:p>
    <w:p>
      <w:pPr>
        <w:spacing w:after="0" w:line="310" w:lineRule="exact"/>
        <w:rPr>
          <w:rFonts w:ascii="Arial" w:cs="Arial" w:eastAsia="Arial" w:hAnsi="Arial"/>
          <w:sz w:val="24"/>
          <w:szCs w:val="24"/>
          <w:color w:val="auto"/>
          <w:vertAlign w:val="superscript"/>
        </w:rPr>
      </w:pPr>
    </w:p>
    <w:p>
      <w:pPr>
        <w:ind w:left="560"/>
        <w:spacing w:after="0"/>
        <w:rPr>
          <w:rFonts w:ascii="Arial" w:cs="Arial" w:eastAsia="Arial" w:hAnsi="Arial"/>
          <w:sz w:val="24"/>
          <w:szCs w:val="24"/>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left="237"/>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31,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November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$24,469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(56,043)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22,104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11,746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34,381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34,384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Pre-opening costs</w:t>
            </w:r>
          </w:p>
        </w:tc>
        <w:tc>
          <w:tcPr>
            <w:tcW w:w="1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2,092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2,570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83,046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Thirteen Weeks</w:t>
            </w:r>
          </w:p>
        </w:tc>
        <w:tc>
          <w:tcPr>
            <w:tcW w:w="1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Thirteen Weeks</w:t>
            </w:r>
          </w:p>
        </w:tc>
      </w:tr>
      <w:tr>
        <w:trPr>
          <w:trHeight w:val="162"/>
        </w:trPr>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r>
      <w:tr>
        <w:trPr>
          <w:trHeight w:val="171"/>
        </w:trPr>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October 31,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5"/>
              </w:rPr>
              <w:t>November 1, 2020</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20,616</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Games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1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29,213</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21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4,709</w:t>
            </w:r>
          </w:p>
        </w:tc>
      </w:tr>
      <w:tr>
        <w:trPr>
          <w:trHeight w:val="364"/>
        </w:trPr>
        <w:tc>
          <w:tcPr>
            <w:tcW w:w="3480" w:type="dxa"/>
            <w:vAlign w:val="bottom"/>
          </w:tcPr>
          <w:p>
            <w:pPr>
              <w:spacing w:after="0"/>
              <w:rPr>
                <w:sz w:val="24"/>
                <w:szCs w:val="24"/>
                <w:color w:val="auto"/>
              </w:rPr>
            </w:pPr>
          </w:p>
        </w:tc>
        <w:tc>
          <w:tcPr>
            <w:tcW w:w="1900" w:type="dxa"/>
            <w:vAlign w:val="bottom"/>
          </w:tcPr>
          <w:p>
            <w:pPr>
              <w:jc w:val="right"/>
              <w:ind w:right="101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26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response to the COVID-19 outbreak, which was declared a global pandemic on March 11, 2020 and a National Public Health Emergency in the United States on March 13, 2020, the Company temporarily closed all of our stores by March 20, 2020. On April 30, 2020, our first store re-opened to the public, as state and local guidelines began to allow dining rooms and arcades to open with capacity and other restrictions, with two additional stores offering limited food and beverage for off-premises dining by the end of our first quarter of fiscal 2020. By the end of the third quarter of fiscal 2020, 104 of our 137 stores were open and operating with a combination of limited menus, reduced dining room seating, reduced games in the midway, reduced operating hours and other restrictions referred to as “limited operations”. Of these 104 open stores, 84 were comparable stores. By the end of our second quarter of the current fiscal year, all of the Company’s stores were open and operating, the majority of which having no operating restrictions.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October 31, 2021</w:t>
            </w:r>
          </w:p>
        </w:tc>
        <w:tc>
          <w:tcPr>
            <w:tcW w:w="2000" w:type="dxa"/>
            <w:vAlign w:val="bottom"/>
            <w:gridSpan w:val="4"/>
          </w:tcPr>
          <w:p>
            <w:pPr>
              <w:ind w:left="580"/>
              <w:spacing w:after="0" w:line="155" w:lineRule="exact"/>
              <w:rPr>
                <w:sz w:val="20"/>
                <w:szCs w:val="20"/>
                <w:color w:val="auto"/>
              </w:rPr>
            </w:pPr>
            <w:r>
              <w:rPr>
                <w:rFonts w:ascii="Arial" w:cs="Arial" w:eastAsia="Arial" w:hAnsi="Arial"/>
                <w:sz w:val="14"/>
                <w:szCs w:val="14"/>
                <w:b w:val="1"/>
                <w:bCs w:val="1"/>
                <w:color w:val="auto"/>
              </w:rPr>
              <w:t>November 1, 2020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3"/>
                <w:szCs w:val="13"/>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317,976</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208,924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store operating weeks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revenues</w:t>
            </w:r>
          </w:p>
        </w:tc>
        <w:tc>
          <w:tcPr>
            <w:tcW w:w="1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259,206</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169,614</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Comparable store operating weeks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 revenues</w:t>
            </w:r>
          </w:p>
        </w:tc>
        <w:tc>
          <w:tcPr>
            <w:tcW w:w="1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55,356</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35,264</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Noncomparable store operating weeks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and deferrals</w:t>
            </w:r>
          </w:p>
        </w:tc>
        <w:tc>
          <w:tcPr>
            <w:tcW w:w="1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Total revenues increased $208,924, or 191.6%, to $317,976 in the third quarter of fiscal 2021 compared to total revenues of $109,052 in the third quarter of fiscal 2020. The increase in revenue is attributable primarily to more store operating weeks in the third quarter of fiscal 2021 compared to the prior year due to temporary store closures during the third quarter of fiscal 2020, as a result of the COVID-19 pandemic. For the thirteen weeks ended October 1, 2021, we derived 22.7% of our total revenue from food sales, 11.2% from beverage sales, 65.5% from amusement sales and 0.6% from other sources. For the thirteen weeks ended November 1, 2020, we derived 23.2% of our total revenue from food sales, 12.0% from beverage sales, 64.4% from amusement sales and less than 0.4% from other sources. The shift in mix from food and beverage sales to amusement sales of 109 basis points is due, in part, to reduced special events and less discounting of amusements, offset somewhat by food price increases effective midway through the third quarter of fiscal 2021.</w:t>
      </w:r>
    </w:p>
    <w:p>
      <w:pPr>
        <w:spacing w:after="0" w:line="178"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Comparable store revenue increased $169,614 or 189.3%, in the third quarter of fiscal 2021 compared to the third quarter of fiscal 2020, due primarily to an 49.2% increase in comparable store operating weeks. Comparable store sales in the third quarter of fiscal 2021 were approximately 99.6% of the levels achieved pre-pandemic during the third quarter of fiscal 2019. Our individual comparable stores generally experienced gradual increases in weekly sales performance as operating weeks increased. Individual store performance after re-opening was also impacted by changes in local operating restrictions and consumer reactions to changes in local COVID-19 infection rates.</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Food sales at comparable stores increased by $39,049, or 187.8%, to $59,842 in the third quarter of fiscal 2021 from $20,793 in the third quarter of fiscal 2020. Beverage sales at comparable stores increased by $19,129, or 176.6%, to $29,959 in the third quarter of fiscal 2021 from $10,830 in the 2020 comparison period. Comparable store amusement and other revenues in the third quarter of fiscal 2021 increased by $111,436, or 192.2%, to $169,405 from $57,969 in the comparable period of fiscal 2020.</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Non-comparable store revenue increased $35,264 in the third quarter of fiscal 2021 compared to the third quarter of fiscal 2020, for the same reasons noted above, including 144 more store operating weeks.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total cost of products was $52,613 for the third quarter of fiscal 2021 and $17,908 for the third quarter of fiscal 2020. The total cost of products as a percentage of total revenues increased 10 basis points to 16.5% for the third quarter of fiscal 2021 compared to 16.4% for the third quarter of fiscal 2020.</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Cost of food and beverage products increased to $30,082 compared to $10,664 for the third quarter of fiscal 2020. Cost of food and beverage products, as a percentage of food and beverage revenues, increased 10 basis points to 27.9% for the third quarter of fiscal 2021 from 27.8% for the third quarter of fiscal 2020. The impact of year-over-year cost increases primarily in meat and poultry products were partially offset by lower closure-related spoilage costs and food price increases effective midway through the third quarter of fiscal 2021.</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Cost of amusement and other increased to $22,531 in the third quarter of fiscal 2021 compared to $7,244 in the third quarter of fiscal 2020. The costs of amusement and other, as a percentage of amusement and other revenues, increased 50 basis points to 10.7% for the third quarter of fiscal 2021 from 10.2% in the third quarter of fiscal 2020. This increase was driven primarily by higher freight costs and higher cost per ticket resulting from disruptions in the supply chain.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Total operating payroll and benefits increased by $51,291, or 185.1%, to $78,995 in the third quarter of fiscal 2021 compared to $27,704 in the third quarter of fiscal 2020. Nearly all our store workforce, except a small team of essential personnel, were furloughed in mid-March 2020. Hourly team members began to return as stores re-opened at reduced staffing levels. The total cost of operating payroll and benefits as a percentage of total revenues was 24.8% in the third quarter of fiscal 2021 compared to 25.4% in the third quarter of fiscal 2020. This decrease is primarily due to favorable leveraging on management labor and benefits and lower labor hours due to labor efficiency initiatives and hourly labor staffing shortages, partially offset by increases in the hourly labor cost and higher incentive compensation, including referral and retention incentives implemented during the second quarter of fiscal 2021.</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Other store operating expenses increased by $32,539, or 46.0%, to $103,322 in the third quarter of fiscal 2021 compared to $70,783 in the third quarter of fiscal 2020. The increase is primarily due to the impact of increased store weeks during the third quarter of fiscal 2021 on costs such as utilities, supplies, maintenance, and other services. Other store operating expense as a percentage of total revenues decreased to 32.5% in the third quarter of fiscal 2021 compared to 64.9% in the third quarter of fiscal 2020. This decrease was due primarily to favorable sales leveraging on occupancy costs and utilities and reduced marketing spend in the third quarter of fiscal 2021.</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General and administrative expenses increased by $10,358, or 88.2%, to $22,104 in the third quarter of fiscal 2021 compared to $11,746 in the third quarter of fiscal 2020. The increase in general and administrative expenses was driven primarily by higher incentive compensation, professional fees, salaries and benefits, board fees, officer insurance, and share-based compensation. The third quarter of fiscal 2021 also includes a $3,230 severance obligation to the Company’s former Chief Executive Officer, who terminated his service in this position effective September 30, 2021. During the third quarter of fiscal 2020, some corporate team members continued on furlough and board fees remained suspended.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Depreciation and amortization expense was relatively flat at $34,381 in the third quarter of fiscal 2021 compared to $34,384 in the third quarter of fiscal 2020. Increased depreciation due to our 2021 and 2020 capital expenditures for new stores, operating initiatives, games and maintenance capital, was offset by other assets reaching the end of their depreciable lives.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Pre-opening costs decreased by $478 to $2,092 in the third quarter of fiscal 2021 compared to $2,570 in the third quarter of fiscal 2020 due to a decrease in the number of planned new store openings after construction was reduced as a result of impacts of the COVID-19 pandemic which began during the first quarter of fiscal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 and Loss on debt extinguishment / refinancing</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Interest expense, net increased by $5,210 to $13,423 in the third quarter of fiscal 2021 compared to $8,213 in the third quarter of fiscal 2020 due primarily to an increase in the weighted average effective interest rate, offset slightly by a decrease in average outstanding debt. In connection with the September 20, 2021 early extinguishment of a portion of the Notes, The Company recorded a loss on extinguishment of $2,829 during the third quarter of fiscal 2021. In connection with the October 27, 2020 debt refinancing, the Company recorded a charge of $904 during the third quarter of fiscal 2020. These events are explained further in Note 3 to the Unaudited Consolidated Financial Statements.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effective tax rate for the third quarter of fiscal 2021 was a benefit of 28.8%, compared to a benefit of 26.3% for the third quarter of fiscal 2020. The current quarter tax provision includes higher excess tax benefits associated with share-based compensation and the reduction of certain valuation allowances related to our state net operating loss carryovers. The prior quarter tax provision was a tax benefit primarily due to the impact of the pre-tax loss and the impact of the tax provisions within the CARES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Thirty-Nine Weeks Ended October 31, 2021 Compared to the Thirty-Nine Weeks Ended November 1, 2020</w:t>
      </w:r>
    </w:p>
    <w:p>
      <w:pPr>
        <w:spacing w:after="0" w:line="121" w:lineRule="exact"/>
        <w:rPr>
          <w:sz w:val="20"/>
          <w:szCs w:val="20"/>
          <w:color w:val="auto"/>
        </w:rPr>
      </w:pPr>
    </w:p>
    <w:p>
      <w:pPr>
        <w:jc w:val="both"/>
        <w:ind w:left="12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Thirty-Nine Weeks</w:t>
            </w:r>
          </w:p>
        </w:tc>
        <w:tc>
          <w:tcPr>
            <w:tcW w:w="12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October 31,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November 1, 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316,511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9"/>
              </w:rPr>
              <w:t>$ 119,268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644,443</w:t>
            </w:r>
          </w:p>
        </w:tc>
        <w:tc>
          <w:tcPr>
            <w:tcW w:w="3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1160" w:type="dxa"/>
            <w:vAlign w:val="bottom"/>
            <w:gridSpan w:val="3"/>
          </w:tcPr>
          <w:p>
            <w:pPr>
              <w:jc w:val="right"/>
              <w:ind w:right="221"/>
              <w:spacing w:after="0"/>
              <w:rPr>
                <w:sz w:val="20"/>
                <w:szCs w:val="20"/>
                <w:color w:val="auto"/>
              </w:rPr>
            </w:pPr>
            <w:r>
              <w:rPr>
                <w:rFonts w:ascii="Arial" w:cs="Arial" w:eastAsia="Arial" w:hAnsi="Arial"/>
                <w:sz w:val="18"/>
                <w:szCs w:val="18"/>
                <w:color w:val="auto"/>
              </w:rPr>
              <w:t>200,423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960,954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86,366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1160" w:type="dxa"/>
            <w:vAlign w:val="bottom"/>
            <w:gridSpan w:val="3"/>
          </w:tcPr>
          <w:p>
            <w:pPr>
              <w:jc w:val="right"/>
              <w:ind w:right="221"/>
              <w:spacing w:after="0"/>
              <w:rPr>
                <w:sz w:val="20"/>
                <w:szCs w:val="20"/>
                <w:color w:val="auto"/>
              </w:rPr>
            </w:pPr>
            <w:r>
              <w:rPr>
                <w:rFonts w:ascii="Arial" w:cs="Arial" w:eastAsia="Arial" w:hAnsi="Arial"/>
                <w:sz w:val="18"/>
                <w:szCs w:val="18"/>
                <w:color w:val="auto"/>
              </w:rPr>
              <w:t>32,667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63,729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11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21,997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150,095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209,897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1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85,197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292,883</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160" w:type="dxa"/>
            <w:vAlign w:val="bottom"/>
            <w:gridSpan w:val="3"/>
          </w:tcPr>
          <w:p>
            <w:pPr>
              <w:jc w:val="right"/>
              <w:ind w:right="221"/>
              <w:spacing w:after="0"/>
              <w:rPr>
                <w:sz w:val="20"/>
                <w:szCs w:val="20"/>
                <w:color w:val="auto"/>
              </w:rPr>
            </w:pPr>
            <w:r>
              <w:rPr>
                <w:rFonts w:ascii="Arial" w:cs="Arial" w:eastAsia="Arial" w:hAnsi="Arial"/>
                <w:sz w:val="18"/>
                <w:szCs w:val="18"/>
                <w:color w:val="auto"/>
              </w:rPr>
              <w:t>229,137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57,665</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1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35,587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104,355</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160" w:type="dxa"/>
            <w:vAlign w:val="bottom"/>
            <w:gridSpan w:val="3"/>
          </w:tcPr>
          <w:p>
            <w:pPr>
              <w:jc w:val="right"/>
              <w:ind w:right="221"/>
              <w:spacing w:after="0"/>
              <w:rPr>
                <w:sz w:val="20"/>
                <w:szCs w:val="20"/>
                <w:color w:val="auto"/>
              </w:rPr>
            </w:pPr>
            <w:r>
              <w:rPr>
                <w:rFonts w:ascii="Arial" w:cs="Arial" w:eastAsia="Arial" w:hAnsi="Arial"/>
                <w:sz w:val="18"/>
                <w:szCs w:val="18"/>
                <w:color w:val="auto"/>
              </w:rPr>
              <w:t>104,896</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1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8,781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18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820,322</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518,262</w:t>
            </w: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140,632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1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(198,571)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41,971</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160" w:type="dxa"/>
            <w:vAlign w:val="bottom"/>
            <w:gridSpan w:val="3"/>
          </w:tcPr>
          <w:p>
            <w:pPr>
              <w:jc w:val="right"/>
              <w:ind w:right="221"/>
              <w:spacing w:after="0"/>
              <w:rPr>
                <w:sz w:val="20"/>
                <w:szCs w:val="20"/>
                <w:color w:val="auto"/>
              </w:rPr>
            </w:pPr>
            <w:r>
              <w:rPr>
                <w:rFonts w:ascii="Arial" w:cs="Arial" w:eastAsia="Arial" w:hAnsi="Arial"/>
                <w:sz w:val="18"/>
                <w:szCs w:val="18"/>
                <w:color w:val="auto"/>
              </w:rPr>
              <w:t>22,491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1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904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95,832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(221,966)</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(69.4)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(71,777)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82,990</w:t>
            </w:r>
          </w:p>
        </w:tc>
        <w:tc>
          <w:tcPr>
            <w:tcW w:w="3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(150,189</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comparable store sales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195.8%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Company-owned stores at end of period (1)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at end of period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62" w:lineRule="auto"/>
        <w:tabs>
          <w:tab w:leader="none" w:pos="5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As of the end of the third quarter of fiscal 2020, 104 of our 137 total stores and 84 of our 114 comparable stores were open and operating in limited capacity. Our comparable store count as of the end of the third quarter of fiscal 2020 excludes a store in Chicago, Illinois and a store in Houston, Texas, which were at or near the end of their respective lease terms, when the Company decided not to re-open.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320" w:top="486"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Thirty-Nine Weeks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Thirty-Nine Weeks</w:t>
            </w:r>
          </w:p>
        </w:tc>
      </w:tr>
      <w:tr>
        <w:trPr>
          <w:trHeight w:val="162"/>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4"/>
                <w:szCs w:val="14"/>
                <w:b w:val="1"/>
                <w:bCs w:val="1"/>
                <w:color w:val="auto"/>
                <w:w w:val="92"/>
              </w:rPr>
              <w:t>October 31,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1, 2020</w:t>
            </w:r>
          </w:p>
        </w:tc>
        <w:tc>
          <w:tcPr>
            <w:tcW w:w="200" w:type="dxa"/>
            <w:vAlign w:val="bottom"/>
            <w:tcBorders>
              <w:bottom w:val="single" w:sz="8" w:color="CCEEFF"/>
            </w:tcBorders>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82,990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0"/>
              </w:rPr>
              <w:t>(150,189)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41,971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22,491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 refinancing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904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12,842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(71,777)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104,355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104,896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244,987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(93,675)</w:t>
            </w:r>
          </w:p>
        </w:tc>
        <w:tc>
          <w:tcPr>
            <w:tcW w:w="2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Impairment of long-lived assets and lease termination costs</w:t>
            </w:r>
          </w:p>
        </w:tc>
        <w:tc>
          <w:tcPr>
            <w:tcW w:w="100" w:type="dxa"/>
            <w:vAlign w:val="bottom"/>
          </w:tcPr>
          <w:p>
            <w:pPr>
              <w:spacing w:after="0"/>
              <w:rPr>
                <w:sz w:val="18"/>
                <w:szCs w:val="18"/>
                <w:color w:val="auto"/>
              </w:rPr>
            </w:pP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13,727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5,344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5,427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8,781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264,066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27"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Primarily represents costs related to currency transaction (gains) or losses. The third quarter of fiscal 2021 includes a $3,230 severance obligation to the Company’s former Chief Executive Officer, who terminated his service in this position effective September 30, 2021.</w:t>
      </w:r>
    </w:p>
    <w:p>
      <w:pPr>
        <w:spacing w:after="0" w:line="310" w:lineRule="exact"/>
        <w:rPr>
          <w:rFonts w:ascii="Arial" w:cs="Arial" w:eastAsia="Arial" w:hAnsi="Arial"/>
          <w:sz w:val="24"/>
          <w:szCs w:val="24"/>
          <w:color w:val="auto"/>
          <w:vertAlign w:val="superscript"/>
        </w:rPr>
      </w:pPr>
    </w:p>
    <w:p>
      <w:pPr>
        <w:ind w:left="560"/>
        <w:spacing w:after="0"/>
        <w:rPr>
          <w:rFonts w:ascii="Arial" w:cs="Arial" w:eastAsia="Arial" w:hAnsi="Arial"/>
          <w:sz w:val="24"/>
          <w:szCs w:val="24"/>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Thirty-Nine Weeks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Thirty-Nine Weeks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October 31,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$140,632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(198,571)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57,665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35,587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104,355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104,896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Pre-opening costs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5,427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8,781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308,079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(49,307)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reflects accrual-based capital additions. Capital additions do not include any reductions for Payments from landlords.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Thirty-Nine Weeks</w:t>
            </w:r>
          </w:p>
        </w:tc>
        <w:tc>
          <w:tcPr>
            <w:tcW w:w="4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Thirty-Nine Weeks</w:t>
            </w:r>
          </w:p>
        </w:tc>
      </w:tr>
      <w:tr>
        <w:trPr>
          <w:trHeight w:val="162"/>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r>
      <w:tr>
        <w:trPr>
          <w:trHeight w:val="171"/>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2021</w:t>
            </w:r>
          </w:p>
        </w:tc>
        <w:tc>
          <w:tcPr>
            <w:tcW w:w="420" w:type="dxa"/>
            <w:vAlign w:val="bottom"/>
          </w:tcPr>
          <w:p>
            <w:pPr>
              <w:spacing w:after="0"/>
              <w:rPr>
                <w:sz w:val="14"/>
                <w:szCs w:val="1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November 1, 2020</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1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Games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12,809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9,079</w:t>
            </w: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16,692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2,988</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1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69,873</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60,289</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18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7,802</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8,723</w:t>
            </w:r>
          </w:p>
        </w:tc>
      </w:tr>
      <w:tr>
        <w:trPr>
          <w:trHeight w:val="364"/>
        </w:trPr>
        <w:tc>
          <w:tcPr>
            <w:tcW w:w="3480" w:type="dxa"/>
            <w:vAlign w:val="bottom"/>
          </w:tcPr>
          <w:p>
            <w:pPr>
              <w:spacing w:after="0"/>
              <w:rPr>
                <w:sz w:val="24"/>
                <w:szCs w:val="24"/>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Thirty-Nine Weeks Ended</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9"/>
              </w:rPr>
              <w:t>October 31, 2021</w:t>
            </w:r>
          </w:p>
        </w:tc>
        <w:tc>
          <w:tcPr>
            <w:tcW w:w="1900" w:type="dxa"/>
            <w:vAlign w:val="bottom"/>
            <w:gridSpan w:val="4"/>
          </w:tcPr>
          <w:p>
            <w:pPr>
              <w:ind w:left="480"/>
              <w:spacing w:after="0" w:line="155" w:lineRule="exact"/>
              <w:rPr>
                <w:sz w:val="20"/>
                <w:szCs w:val="20"/>
                <w:color w:val="auto"/>
              </w:rPr>
            </w:pPr>
            <w:r>
              <w:rPr>
                <w:rFonts w:ascii="Arial" w:cs="Arial" w:eastAsia="Arial" w:hAnsi="Arial"/>
                <w:sz w:val="14"/>
                <w:szCs w:val="14"/>
                <w:b w:val="1"/>
                <w:bCs w:val="1"/>
                <w:color w:val="auto"/>
              </w:rPr>
              <w:t>November 1, 2020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960,954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319,691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641,263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store operating weeks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revenues</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794,033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525,607</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Comparable store operating weeks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 revenues</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124,840</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Noncomparable store operating weeks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and deferrals</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(12,682)</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(9,184)</w:t>
            </w: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Total revenues increased $641,263, or 200.6%, to $960,954 in the thirty-nine weeks ended October 31, 2021 compared to total revenues of $319,691 in the comparable period of fiscal 2020. The increase in revenue is attributable primarily to more store operating weeks in the thirty-nine weeks ended October 31, 2021 compared to the prior year which was impacted by more temporary store closures and store capacity limitations due to the COVID-19 pandemic. For the thirty-nine weeks ended October 31, 2021, we derived 22.4% of our total revenue from food sales, 10.5% from beverage sales, 66.7% from amusement sales and 0.4% from other sources. For the thirty-nine weeks ended November 1, 2020, we derived 24.6% of our total revenue from food sales, 12.7% from beverage sales, 62.2% from amusement sales and 0.5% from other sources. The shift in mix from food and beverage sales to amusement sales of 452 basis points is due, in part, to reduced special events, less discounting of amusements, and greater capacity restrictions in our dining area due to the impacts of the COVID-19 pandemic.</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Comparable store revenue increased $525,607 or 195.8%, in the thirty-nine weeks ended October 31, 2021 compared to the comparable period of fiscal 2020, due primarily to a 94.3% increase in comparable store operating weeks. Comparable store sales and comparable store weeks in the thirty-nine weeks ended October 31, 2021 were approximately 88.0% and 95.4%, respectively, of the levels achieved pre-pandemic during the thirty-nine weeks ended November 3, 2019.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9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Food sales at comparable stores increased by $111,111, or 169.3%, to $176,738 in the thirty-nine weeks ended October 31, 2021 from $65,627 in the comparable period of fiscal 2020. Beverage sales at comparable stores increased by $49,967, or 145.3%, to $84,348 in the thirty-nine weeks ended October 31, 2021 from $34,381 in the 2020 comparison period. Comparable store amusement and other revenues in the thirty-nine weeks ended October 31, 2021 increased by $364,529, or 216.4%, to $532,947 from $168,418 in the comparable thirty-nine weeks of fiscal 2020.</w:t>
      </w:r>
    </w:p>
    <w:p>
      <w:pPr>
        <w:spacing w:after="0" w:line="15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Non-comparable store revenue increased $124,840 in the thirty-nine weeks ended October 31, 2021 compared to the comparable period of fiscal 2020, for the same reasons noted above, including 563 more store operating weeks.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total cost of products was $150,095 for the thirty-nine weeks ended October 31, 2021 and $54,664 for the comparable period of fiscal 2020. The total cost of products as a percentage of total revenues decreased 150 basis points to 15.6% for the thirty-nine weeks ended October 31, 2021 compared to 17.1% for the comparable period of fiscal 2020.</w:t>
      </w:r>
    </w:p>
    <w:p>
      <w:pPr>
        <w:spacing w:after="0" w:line="184"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Cost of food and beverage products increased to $86,366 for the thirty-nine weeks ended October 31, 2021 compared to $32,667 for the comparable period of fiscal 2020. Cost of food and beverage products, as a percentage of food and beverage revenues, decreased 10 basis points to 27.3% for the thirty-nine weeks ended October 31, 2021 from 27.4% for the comparable period of fiscal 2020. The impact of year-over-year cost increases in food products, including meat and poultry, were offset by lower closure-related spoilage costs.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Cost of amusement and other increased to $63,729 in the thirty-nine weeks ended October 31, 2021 compared to $21,997 in the comparable period of fiscal 2020. The costs of amusement and other, as a percentage of amusement and other revenues, decreased 110 basis points to 9.9% for the thirty-nine weeks ended October 31, 2021 from 11.0% in the comparable period of fiscal 2020. This decrease was driven primarily by lower ticket redemption activity as a percent of tickets issued during the first half of fiscal 2021, offset somewhat by higher freight costs and higher cost per ticket resulting from disruptions in the supply chain.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Total operating payroll and benefits increased by $124,700, or 146.4%, to $209,897 in the thirty-nine weeks ended October 31, 2021 compared to $85,197 in the thirty-nine weeks ended November 1, 2020. Nearly all our store workforce, with the exception of a small team of essential personnel, were furloughed in mid-March 2020. Hourly team members began to return as stores re-opened at reduced staffing levels. The total cost of operating payroll and benefits as a percentage of total revenues was 21.8% in the thirty-nine weeks ended October 31, 2021 compared to 26.6% in the thirty-nine weeks ended November 1, 2020. This decrease is primarily due to favorable leveraging on management labor and benefits and lower labor hours due to labor efficiency initiatives and hourly labor staffing shortages, partially offset by increases in the hourly labor costs and higher incentive compensation, including referral and retention incentives implemented during the second quarter of fiscal 2021.</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store operating expenses increased by $63,746, or 27.8%, to $292,883 in the thirty-nine weeks ended October 31, 2021 compared to</w:t>
      </w:r>
    </w:p>
    <w:p>
      <w:pPr>
        <w:spacing w:after="0" w:line="35"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$229,137 in the thirty-nine weeks ended November 1, 2020. The increase is primarily due to the impact of increased store weeks during the thirty-nine weeks ended October 31, 2021 on costs such as utilities, supplies, maintenance, and other services. These increases were offset somewhat by a $13,727 charge for impairment of long-lived assets and lease termination costs incurred during the thirty-nine weeks ended November 1, 2020. Other store operating expense as a percentage of total revenues decreased to 30.5% in the thirty-nine weeks ended October 31, 2021 compared to 71.8% in the thirty-nine weeks ended November 1, 2020. This decrease was due primarily to favorable sales leveraging on occupancy costs and utilities and the absence of any impairment charges in fiscal 2021.</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increased by $22,078, or 62.0%, to $57,665 in the thirty-nine weeks ended October 31, 2021 compared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$35,587 in the thirty-nine weeks ended November 1, 2020. The increase in general and administrative expenses was driven primarily by higher incentive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salaries and benefits, professional fees, board fees, officer insurance, and share-based compensation. The third quarter of fiscal 2021 also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includes a $3,230 severance obligation to the Company’s former Chief Executive Officer, who terminated his service in this position effective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Effective near the end of March 2020, as a result of the impacts of the COVID-19 pandemic, most of our corporate team members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furloughed, with reduced pay and benefits for the remaining team members for a twelve-week period, and board fees were temporarily suspended.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Share-based compensation was also lower during that same time due to changes in performance stock unit expense.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Depreciation and amortization expense was relatively flat at $104,355 in the thirty-nine weeks ended October 31, 2021 compared to $104,896 in the thirty-nine weeks ended November 1, 2020. Increased depreciation due to our 2021 and 2020 capital expenditures for new stores, operating initiatives, games and maintenance capital, was offset by other assets reaching the end of their depreciable lives.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Pre-opening costs decreased by $3,354 to $5,427 in the thirty-nine weeks ended October 31, 2021 compared to $8,781 in the thirty-nine weeks ended November 1, 2020 due to a decrease in the number of planned new store openings after construction was reduced as a result of impacts of the COVID-19 pandemic which began during the first quarter of fiscal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 and Loss on debt extinguishment / refinancing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Interest expense, net increased by $19,480 to $41,971 in the thirty-nine weeks ended October 31, 2021 compared to $22,491 in the thirty-nine weeks ended November 1, 2020 due primarily to an increase in the weighted average effective interest rate, offset slightly by a decrease in average outstanding debt. In connection with the September 20, 2021 early extinguishment of a portion of the Notes, the Company recorded a loss on extinguishment of $2,829 during the third quarter of fiscal 2021. In connection with the October 27, 2020 debt refinancing, the Company recorded a charge of $904 during the third quarter of fiscal 2020. These events are explained further in Note 3 to the Unaudited Consolidated Financial Statements.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effective tax rate for the thirty-nine weeks ended October 31, 2021, was 13.4%, compared to a benefit of 32.3% for the thirty-nine weeks ended November 1, 2020. The current year tax provision includes higher excess tax benefits associated with share-based compensation while the prior year was a tax benefit primarily due to the impact of the pre-tax loss and the impact of the tax provisions within the CARES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response to the business disruption caused by the COVID-19 pandemic which began in the first quarter of fiscal 2020, the Company took the following actions to enable it to meet its obligations over the next twelve months:</w:t>
      </w:r>
    </w:p>
    <w:p>
      <w:pPr>
        <w:spacing w:after="0" w:line="76" w:lineRule="exact"/>
        <w:rPr>
          <w:sz w:val="20"/>
          <w:szCs w:val="20"/>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sold shares of our common stock, generating gross proceeds of $185,600;</w:t>
      </w:r>
    </w:p>
    <w:p>
      <w:pPr>
        <w:spacing w:after="0" w:line="130" w:lineRule="exact"/>
        <w:rPr>
          <w:rFonts w:ascii="Arial" w:cs="Arial" w:eastAsia="Arial" w:hAnsi="Arial"/>
          <w:sz w:val="18"/>
          <w:szCs w:val="18"/>
          <w:color w:val="auto"/>
        </w:rPr>
      </w:pPr>
    </w:p>
    <w:p>
      <w:pPr>
        <w:ind w:left="1540" w:right="60" w:hanging="331"/>
        <w:spacing w:after="0" w:line="263"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negotiated two amendments with our lenders, resulting in an extension of the maturity date of our revolving credit facility to August 17, 2024 and relief from testing compliance with certain financial covenants until the last day of the fiscal quarter ending on May 1, 2022;</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issued $550,000 of senior secured notes, maturing November 1, 2025; and</w:t>
      </w:r>
    </w:p>
    <w:p>
      <w:pPr>
        <w:spacing w:after="0" w:line="130" w:lineRule="exact"/>
        <w:rPr>
          <w:rFonts w:ascii="Arial" w:cs="Arial" w:eastAsia="Arial" w:hAnsi="Arial"/>
          <w:sz w:val="18"/>
          <w:szCs w:val="18"/>
          <w:color w:val="auto"/>
        </w:rPr>
      </w:pPr>
    </w:p>
    <w:p>
      <w:pPr>
        <w:ind w:left="1540" w:hanging="331"/>
        <w:spacing w:after="0" w:line="271"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negotiated with our landlords, vendors, and other business partners to temporarily reduce our lease and contract payments and obtain other concessions. During fiscal 2020, a total of 126 initial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COVID-19 pandemic continued to impact our business into the fourth quarter, the Company renewed negotiations with the majority of these landlords in order to provide additional rent relief, generally seeking to delay or extend the terms of deferral pay back periods and/or provide rent relief beyond the periods in the initial agreements. The second phase of negotiations resulted in 99 additional rent relief agreements, the last of which were executed in the third quarter of fiscal 2021.</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Although uncertainty persists surrounding COVID-19, particularly as a result of new variants of COVID-19, including the potential that a resurgence of COVID-19 cases may continue, how long such a resurgence may last, how severe it may be, and what safety measures governments may impose in response to it, as well as how quickly customers will return to our stores, the Company has taken measures to provide sufficient liquidity to meet estimated cash flow needs and covenant compliance obligations for at least the next twelve months. All the Company’s stores were open and operating as of the end of the third quarter of fiscal 2021, and as of October 31, 2021, the Company had cash and cash equivalents of $27,005. We expect to spend between $95,000 and $100,000, net of payments from landlords in capital additions during fiscal 2021. On an ongoing basis, we will continue to pursue long-term operating efficiencies and other cost savings initiatives.</w:t>
      </w:r>
    </w:p>
    <w:p>
      <w:pPr>
        <w:spacing w:after="0" w:line="17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Company is also taking measures to strengthen its financial position. During the third quarter of fiscal 2021, the Company redeemed $55,000 outstanding principal amount of the Notes, and subsequent to the end of our third quarter, the Company redeemed an additional $55,000 outstanding principal amount of the Notes. The early redemptions are expected to reduce net cash interest on the Notes by approximately $8,400 annually.</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Effective April 14, 2020, we amended our existing credit facility, to provide relief from compliance with financial covenants through the third quarter of fiscal 2020. The interest rate spread increased to 2.00% plus a LIBOR floor of 1.00%.</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Dave &amp; Buster’s, Inc. and are unconditionally guaranteed by Dave &amp; Buster’s Holdings, Inc. and certain of Dave &amp; Buster’s, Inc. existing and future wholly owned material domestic subsidiaries, which is substantially the same as the guarantors of the Company’s existing credit facility.</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issuance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a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The utilization fee is due at maturity. The financial covenant suspension period may end earlier, at the Company’s election, if certain predetermined financial covenant ratios are achieved. After the financial covenant suspension period, the interest rate spread ranges from 1.25% to 3.00%. The second amendment terminated the term loan portion of the credit facility, which triggered payment of $1,900 of lender debt costs associated with the first amendment.</w:t>
      </w:r>
    </w:p>
    <w:p>
      <w:pPr>
        <w:spacing w:after="0" w:line="196"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On September 20, 2021, the Company redeemed $55,000 outstanding principal amount of the Notes. In connection with the early redemption of the Notes, the Company paid a prepayment premium of $1,650, plus accrued and unpaid interest to the date of redemption, pursuant to the terms of the indenture governing the Notes. Additionally, the early redemption of the Notes resulted in a loss on extinguishment of $1,179 related to a proportionate amount of unamortized issuance costs.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For the thirty-nine weeks ended October 31, 2021 and November 1, 2020, the Company’s weighted average interest rate on outstanding borrowings was 10.26% and 4.17%, respectively. The rate has increased due to the issuance of the Notes and the second amendment to the credit facility. As of October 31, 2021, we had letters of credit outstanding of $10,486 and an unused commitment balance of $489,514 under the revolving credit facility.</w:t>
      </w:r>
    </w:p>
    <w:p>
      <w:pPr>
        <w:spacing w:after="0" w:line="18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 which were de-designated as hedges effective April 14, 2020, the date of the first amendment to our credit facility.</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 result of the impacts to our business arising from the COVID-19 pandemic, dividend payments are currently suspended, and the previously established share repurchase program was allowed to expire at the end of fiscal 2020.</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cash and cash equivalents of $27,005 on October 31, 2021.</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color w:val="auto"/>
        </w:rPr>
        <w:t>— Cash flow from operations typically provides us with a significant source of liquidity. Our operating cash flows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Cash flow from operating activities increased $230,252 in the thirty-nine weeks ended October 31, 2021 compared to the thirty-nine weeks ended November 1, 2020 driven primarily by the impact of approximately 2,600 more store weeks.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flow from investing activities primarily reflects capital expenditures.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During the thirty-nine weeks ended October 31, 2021, the Company spent approximately $35,700 for new store construction and operating improvement initiatives ($27,900 net of payments from landlords), $12,800 for game refreshment and $15,000 for maintenance capital.</w:t>
      </w:r>
    </w:p>
    <w:p>
      <w:pPr>
        <w:spacing w:after="0" w:line="124"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During the thirty-nine weeks ended November 1, 2020, the Company spent approximately $55,800 for new store construction and operating improvement initiatives ($47,100 net of payments from landlords), $9,500 for game refreshment and $7,300 for maintenance capital.</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 During the thirty-nine weeks ended October 31, 2021, the Company had net repayments of $60,000 of its revolving credit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facility and a repayment related to the early extinguishment of $55,000 principal of the Notes. During the third quarter of fiscal 2020, the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issued $550,000 of the Notes in a private offering, from which the proceeds, along with cash on hand, were used to pay debt issuance costs,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$255,000 balance of the term portion of the credit facility, and $463,000 of outstanding borrowings under the revolving portion of the credit facility.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the offering and primarily during the first and second quarters of fiscal 2020, the Company received $95,750 of net proceeds from borrowings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debt and approximately $182,200 of net proceeds from the issuance of shares of our common stock.</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January 31, 2021, as reported on Form10-K filed with the SEC on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March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variable rate indebtedness under our $500,000 revolving credit facility is based on one-month LIBOR, with a LIBOR floor of 1.00%. Our interest rate swap agreements, with a combined notional amount of $350,000, convert one-month LIBOR to a fixed interest rate of approximately 2.47% through August 17, 2022. At October 31, 2021, one-month LIBOR is below 1.00%.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primary inflationary factors affecting our operations are food, amusement offerings,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 large portion of our hourly employees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general, we have been able to partially offset cost increases resulting from inflation by increasing prices of food and amusement offerings, improving productivity, or other operating changes. We may or may not be able to offset cost increases in the future.</w:t>
      </w:r>
    </w:p>
    <w:p>
      <w:pPr>
        <w:spacing w:after="0" w:line="29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Interim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Interim Chief Executive Officer and Chief Financial Officer have concluded that these disclosure controls and procedures are effective.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third quarter ended October 31, 2021, that have materially affected, or are reasonably likely to materially affect, our internal control over financial reporting.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Company is supplementing the Risk Factors previously disclosed in Item 1A of the Annual Report on Form 10-K for the fiscal year ended January 31, 2021, (the “Annual Report”). The following risk factor should be read in conjunction with the Risk Factors disclosed in the Annual Report.</w:t>
      </w:r>
    </w:p>
    <w:p>
      <w:pPr>
        <w:spacing w:after="0" w:line="12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Occupational Safety and Health Administration vaccine mandate for employers with more than 100 employees could have a material adverse impact on our business, financial condition, and results of operations.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September 9, 2021, President Biden announced plans for the federal Occupational Safety and Health Administration (“OSHA”) to issue an Emergency Temporary Standard (“ETS”) mandating that all employers with more than 100 employees ensure their workers are either fully vaccinated against COVID-19 or produce, on a weekly basis, a negative COVID test (the “vaccine mandate”). On November 4, 2021, OSHA issued the ETS, which will require covered employers to comply with the vaccine mandate beginning January 4, 2022 or face substantial penalties for non-compliance. Currently, the implementation of the vaccine mandate has been blocked by a federal appeals court, subject to the resolution of ongoing litigation challenging the constitutionality of the rules. In addition to the vaccine mandate, it is possible that additional mandates may be announced by local jurisdictions that could impact our workforce and operations. Such mandates could result in increased labor attrition and disruption, as well as difficulty securing future labor needs, and could adversely impact our results of operations.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Although we cannot predict with certainty the impact that the potential vaccine mandate and any other related measures may have on our workforce and operations, these requirements and any future requirements may require significant managerial time and attention to implement, increase our operating costs, result in attrition, including attrition of key employees, and impede our ability to recruit and retain our workforce. These measures also may further disrupt the national supply chain, all of which could have a material adverse effect on our business, financial condition, results of operations and prospects.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repurchases of our common stock under our share repurchase plan during the thirteen weeks ended October 31, 2021.</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139"/>
          </w:cols>
          <w:pgMar w:left="320" w:top="486"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9800" w:type="dxa"/>
            <w:vAlign w:val="bottom"/>
            <w:gridSpan w:val="1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0" w:type="dxa"/>
            <w:vAlign w:val="bottom"/>
            <w:gridSpan w:val="8"/>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1"/>
                <w:szCs w:val="21"/>
                <w:color w:val="auto"/>
              </w:rPr>
            </w:pPr>
          </w:p>
        </w:tc>
        <w:tc>
          <w:tcPr>
            <w:tcW w:w="9920" w:type="dxa"/>
            <w:vAlign w:val="bottom"/>
            <w:gridSpan w:val="14"/>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Transition and Separation Agreement and Release by and between Brian A. Jenkins and Dave &amp; Buster’s Entertainment, Inc. and</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Dave &amp; Buster’s Management Corporation.</w:t>
              </w:r>
            </w:hyperlink>
          </w:p>
        </w:tc>
        <w:tc>
          <w:tcPr>
            <w:tcW w:w="6160" w:type="dxa"/>
            <w:vAlign w:val="bottom"/>
            <w:tcBorders>
              <w:top w:val="single" w:sz="8" w:color="0000EE"/>
            </w:tcBorders>
            <w:gridSpan w:val="6"/>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Interim CEO Letter Agreement by and between Kevin Sheehan and Dave &amp; Buster’s Entertainment, Inc. and Dave &amp; Buster’s</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Management Corporation.</w:t>
              </w:r>
            </w:hyperlink>
          </w:p>
        </w:tc>
        <w:tc>
          <w:tcPr>
            <w:tcW w:w="820" w:type="dxa"/>
            <w:vAlign w:val="bottom"/>
            <w:gridSpan w:val="5"/>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Form of Restricted Stock Unit Agreement by and between Kevin Sheehan and Dave &amp; Buster’s Entertainment, Inc.</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Form of Restricted Stock Unit Agreement by and between Kevin Sheehan and Dave &amp; Buster’s Entertainment, Inc.</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Certification of Kevin Sheehan, Interim Chief Executive Officer of the Registrant, pursuant to 17 CFR 240.13a-14(a) or 17</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CFR 240.15d-14(a).</w:t>
              </w:r>
            </w:hyperlink>
          </w:p>
        </w:tc>
        <w:tc>
          <w:tcPr>
            <w:tcW w:w="7400" w:type="dxa"/>
            <w:vAlign w:val="bottom"/>
            <w:tcBorders>
              <w:top w:val="single" w:sz="8" w:color="0000EE"/>
            </w:tcBorders>
            <w:gridSpan w:val="6"/>
          </w:tcPr>
          <w:p>
            <w:pPr>
              <w:spacing w:after="0"/>
              <w:rPr>
                <w:sz w:val="17"/>
                <w:szCs w:val="17"/>
                <w:color w:val="auto"/>
              </w:rPr>
            </w:pPr>
          </w:p>
        </w:tc>
        <w:tc>
          <w:tcPr>
            <w:tcW w:w="1060" w:type="dxa"/>
            <w:vAlign w:val="bottom"/>
            <w:gridSpan w:val="6"/>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of Scott J. Bowman, Chief Financial Officer of the Registrant, pursuant to 17 CFR 240.13a-14(a) or 17 CFR 240.15d-14(a).</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9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Kevin Sheehan, Interim Chief Executive Officer of the Registrant, pursuant to 18 U.S.C. Section 1350, as adopted</w:t>
              </w:r>
            </w:hyperlink>
          </w:p>
        </w:tc>
        <w:tc>
          <w:tcPr>
            <w:tcW w:w="480" w:type="dxa"/>
            <w:vAlign w:val="bottom"/>
            <w:tcBorders>
              <w:top w:val="single" w:sz="8" w:color="0000EE"/>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pursuant to Section 906 of the Sarbanes-Oxley Act of 2002.</w:t>
              </w:r>
            </w:hyperlink>
          </w:p>
        </w:tc>
        <w:tc>
          <w:tcPr>
            <w:tcW w:w="5600" w:type="dxa"/>
            <w:vAlign w:val="bottom"/>
            <w:gridSpan w:val="8"/>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Scott J. Bowman, Chief Financial Officer of the Registrant, pursuant to 18 U.S.C. Section 1350, as adopted pursuant to</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Section 906 of the Sarbanes-Oxley Act of 2002.</w:t>
              </w:r>
            </w:hyperlink>
          </w:p>
        </w:tc>
        <w:tc>
          <w:tcPr>
            <w:tcW w:w="200" w:type="dxa"/>
            <w:vAlign w:val="bottom"/>
            <w:gridSpan w:val="2"/>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r>
      <w:tr>
        <w:trPr>
          <w:trHeight w:val="330"/>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4"/>
          </w:tcPr>
          <w:p>
            <w:pPr>
              <w:spacing w:after="0"/>
              <w:rPr>
                <w:sz w:val="20"/>
                <w:szCs w:val="20"/>
                <w:color w:val="auto"/>
              </w:rPr>
            </w:pPr>
            <w:r>
              <w:rPr>
                <w:rFonts w:ascii="Arial" w:cs="Arial" w:eastAsia="Arial" w:hAnsi="Arial"/>
                <w:sz w:val="18"/>
                <w:szCs w:val="18"/>
                <w:color w:val="auto"/>
                <w:w w:val="96"/>
              </w:rPr>
              <w:t>XBRL Inline Instance Document—the instance document does not appear in the Interactive Data File because its XBRL tags are</w:t>
            </w: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4"/>
          </w:tcPr>
          <w:p>
            <w:pPr>
              <w:spacing w:after="0"/>
              <w:rPr>
                <w:sz w:val="20"/>
                <w:szCs w:val="20"/>
                <w:color w:val="auto"/>
              </w:rPr>
            </w:pPr>
            <w:r>
              <w:rPr>
                <w:rFonts w:ascii="Arial" w:cs="Arial" w:eastAsia="Arial" w:hAnsi="Arial"/>
                <w:sz w:val="18"/>
                <w:szCs w:val="18"/>
                <w:color w:val="auto"/>
              </w:rPr>
              <w:t>XBRL Inline Taxonomy Extension Schema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4"/>
          </w:tcPr>
          <w:p>
            <w:pPr>
              <w:spacing w:after="0"/>
              <w:rPr>
                <w:sz w:val="20"/>
                <w:szCs w:val="20"/>
                <w:color w:val="auto"/>
              </w:rPr>
            </w:pPr>
            <w:r>
              <w:rPr>
                <w:rFonts w:ascii="Arial" w:cs="Arial" w:eastAsia="Arial" w:hAnsi="Arial"/>
                <w:sz w:val="18"/>
                <w:szCs w:val="18"/>
                <w:color w:val="auto"/>
              </w:rPr>
              <w:t>XBRL Inline Taxonomy Extension Calculation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4"/>
          </w:tcPr>
          <w:p>
            <w:pPr>
              <w:spacing w:after="0"/>
              <w:rPr>
                <w:sz w:val="20"/>
                <w:szCs w:val="20"/>
                <w:color w:val="auto"/>
              </w:rPr>
            </w:pPr>
            <w:r>
              <w:rPr>
                <w:rFonts w:ascii="Arial" w:cs="Arial" w:eastAsia="Arial" w:hAnsi="Arial"/>
                <w:sz w:val="18"/>
                <w:szCs w:val="18"/>
                <w:color w:val="auto"/>
              </w:rPr>
              <w:t>XBRL Inline Taxonomy Extension Definition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4"/>
          </w:tcPr>
          <w:p>
            <w:pPr>
              <w:spacing w:after="0"/>
              <w:rPr>
                <w:sz w:val="20"/>
                <w:szCs w:val="20"/>
                <w:color w:val="auto"/>
              </w:rPr>
            </w:pPr>
            <w:r>
              <w:rPr>
                <w:rFonts w:ascii="Arial" w:cs="Arial" w:eastAsia="Arial" w:hAnsi="Arial"/>
                <w:sz w:val="18"/>
                <w:szCs w:val="18"/>
                <w:color w:val="auto"/>
              </w:rPr>
              <w:t>XBRL Inline Taxonomy Extension Label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4"/>
          </w:tcPr>
          <w:p>
            <w:pPr>
              <w:spacing w:after="0"/>
              <w:rPr>
                <w:sz w:val="20"/>
                <w:szCs w:val="20"/>
                <w:color w:val="auto"/>
              </w:rPr>
            </w:pPr>
            <w:r>
              <w:rPr>
                <w:rFonts w:ascii="Arial" w:cs="Arial" w:eastAsia="Arial" w:hAnsi="Arial"/>
                <w:sz w:val="18"/>
                <w:szCs w:val="18"/>
                <w:color w:val="auto"/>
              </w:rPr>
              <w:t>XBRL Inline Taxonomy Extension Presentation Linkbase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35"/>
        </w:trPr>
        <w:tc>
          <w:tcPr>
            <w:tcW w:w="110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w w:val="97"/>
              </w:rPr>
              <w:t>*  Filed herein</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20" w:type="dxa"/>
            <w:vAlign w:val="bottom"/>
            <w:gridSpan w:val="7"/>
          </w:tcPr>
          <w:p>
            <w:pPr>
              <w:ind w:left="432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Sheehan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Interim Chief Executive Officer</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Bowman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86" w:right="5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AND SEPARATION AGREEMENT AND RELEASE</w:t>
      </w:r>
    </w:p>
    <w:p>
      <w:pPr>
        <w:spacing w:after="0" w:line="121"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This Transition and Separation Agreement and Release (this “Agreement”) is made and entered into by and between Brian A. Jenkins (“Executive”) and Dave &amp; Buster’s Entertainment, Inc. (“D&amp;B”) and Dave &amp; Buster’s Management Corporation (“D&amp;B Management”) (D&amp;B and D&amp;B Management are collectively referred to as the “Company”). Executive and the Company are hereinafter collectively referred to as the “Parties.”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WHEREAS, Executive is currently employed as Chief Executive Officer pursuant to his Employment Agreement dated August 5, 2018 (the “Employment Agreement”);</w:t>
      </w:r>
    </w:p>
    <w:p>
      <w:pPr>
        <w:spacing w:after="0" w:line="170" w:lineRule="exact"/>
        <w:rPr>
          <w:sz w:val="20"/>
          <w:szCs w:val="20"/>
          <w:color w:val="auto"/>
        </w:rPr>
      </w:pPr>
    </w:p>
    <w:p>
      <w:pPr>
        <w:jc w:val="both"/>
        <w:ind w:right="260" w:firstLine="440"/>
        <w:spacing w:after="0" w:line="342" w:lineRule="auto"/>
        <w:rPr>
          <w:sz w:val="20"/>
          <w:szCs w:val="20"/>
          <w:color w:val="auto"/>
        </w:rPr>
      </w:pPr>
      <w:r>
        <w:rPr>
          <w:rFonts w:ascii="Arial" w:cs="Arial" w:eastAsia="Arial" w:hAnsi="Arial"/>
          <w:sz w:val="16"/>
          <w:szCs w:val="16"/>
          <w:color w:val="auto"/>
        </w:rPr>
        <w:t>WHEREAS, Executive plans to retire and resign from his position on the D&amp;B Board of Directors (“Board”) and from all officer and any other director positions at D&amp;B, D&amp;B Management or any of their respective subsidiaries and affiliates, as of the close of business on September 30, 2021;</w:t>
      </w:r>
    </w:p>
    <w:p>
      <w:pPr>
        <w:spacing w:after="0" w:line="12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Executive shall remain employed as a non-officer Senior Advisor to the interim Chief Executive Officer (or any subsequent Chief Executive Officer) through, and retire and resign from employment with D&amp;B, D&amp;B Management and all of their respective subsidiaries and affiliates at the close of business on November 30, 2021 (the “Last Day of Employment”);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Parties agree that the Company is not requiring that Executive execute this Agreement to obtain any wages and bonus payments otherwise owed to him; and</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Executive and the Company and the termination thereof.</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NOW THEREFORE, in consideration of the Recitals and the mutual promises, covenants and agreements set forth herein and in full compromise, release and settlement, accord and satisfaction, and discharge of all the claims or causes of action, known or unknown, possessed by or belonging to the Parties hereto, and intending to be legally bound hereby, the Parties covenant and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OF AGREEMENT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436"/>
        <w:spacing w:after="0" w:line="274" w:lineRule="auto"/>
        <w:tabs>
          <w:tab w:leader="none" w:pos="75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Retirement and Resignation.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the close of business on September 30, 2021, Executive shall retire and resign from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and from all officer and any other director positions at D&amp;B, D&amp;B Management or any of their respective subsidiaries and affiliates. Executive shall remain employed (at the same rate of base salary as in effect on the date hereof) as a non-officer Senior Advisor to the interim Chief Executive Officer (or any subsequent Chief Executive Officer) (as applicable, the “Appointed Successor”) through, and retire and resign from employment with D&amp;B, D&amp;B Management and all of their respective subsidiaries and affiliates at the close of business on November 30, 2021. In all events, Executive shall be paid all base salary earned through the Last Day of Employment.</w:t>
      </w:r>
    </w:p>
    <w:p>
      <w:pPr>
        <w:sectPr>
          <w:pgSz w:w="11900" w:h="16838" w:orient="portrait"/>
          <w:cols w:equalWidth="0" w:num="1">
            <w:col w:w="11020"/>
          </w:cols>
          <w:pgMar w:left="440" w:top="121" w:right="439" w:bottom="1440" w:gutter="0" w:footer="0" w:header="0"/>
        </w:sectPr>
      </w:pPr>
    </w:p>
    <w:bookmarkStart w:id="36" w:name="page37"/>
    <w:bookmarkEnd w:id="36"/>
    <w:p>
      <w:pPr>
        <w:ind w:left="-40" w:right="40" w:firstLine="436"/>
        <w:spacing w:after="0" w:line="303" w:lineRule="auto"/>
        <w:tabs>
          <w:tab w:leader="none" w:pos="715"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Admission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compliance with this Agreement shall not be construed as an admission by the Company of any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or as an admission by the Company of any violation of the rights of Executive or any violation of any order, law, statute, duty, or contract whatsoever against Executive or any person. The Company specifically denies and disclaims any liability to Executive for any alleged violation of any rights of Executive, or for any alleged violation of any order, law, statute, duty, common law rule or contract on the part of the Company.</w:t>
      </w:r>
    </w:p>
    <w:p>
      <w:pPr>
        <w:spacing w:after="0" w:line="150" w:lineRule="exact"/>
        <w:rPr>
          <w:rFonts w:ascii="Arial" w:cs="Arial" w:eastAsia="Arial" w:hAnsi="Arial"/>
          <w:sz w:val="16"/>
          <w:szCs w:val="16"/>
          <w:b w:val="1"/>
          <w:bCs w:val="1"/>
          <w:color w:val="auto"/>
        </w:rPr>
      </w:pPr>
    </w:p>
    <w:p>
      <w:pPr>
        <w:ind w:left="-40" w:right="240" w:firstLine="436"/>
        <w:spacing w:after="0" w:line="282" w:lineRule="auto"/>
        <w:tabs>
          <w:tab w:leader="none" w:pos="71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this Agreement and Executive’s release and other promises set forth herein, the Company shall pay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Executive with the following:</w:t>
      </w:r>
    </w:p>
    <w:p>
      <w:pPr>
        <w:spacing w:after="0" w:line="71" w:lineRule="exact"/>
        <w:rPr>
          <w:sz w:val="20"/>
          <w:szCs w:val="20"/>
          <w:color w:val="auto"/>
        </w:rPr>
      </w:pPr>
    </w:p>
    <w:p>
      <w:pPr>
        <w:ind w:left="920" w:right="80" w:hanging="532"/>
        <w:spacing w:after="0" w:line="25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 Million One Hundred Twenty Thousand Dollars ($3,120,000.00) (the “Severance Amount”), subject to all applicable withholdings, representing an amount equivalent to two (2) times the sum of Executive’s base salary and target annual bonus, to be made in equal, pro rata amounts according to the Company’s normal payroll schedule and procedures over the course of the twenty-four (24) months commencing on the first payroll date of the Company following the sixtieth (60th) day after the Last Day of Employment (the “First Payroll Date”);</w:t>
      </w:r>
    </w:p>
    <w:p>
      <w:pPr>
        <w:spacing w:after="0" w:line="93" w:lineRule="exact"/>
        <w:rPr>
          <w:rFonts w:ascii="Arial" w:cs="Arial" w:eastAsia="Arial" w:hAnsi="Arial"/>
          <w:sz w:val="18"/>
          <w:szCs w:val="18"/>
          <w:color w:val="auto"/>
        </w:rPr>
      </w:pPr>
    </w:p>
    <w:p>
      <w:pPr>
        <w:ind w:left="920" w:right="20" w:hanging="532"/>
        <w:spacing w:after="0" w:line="296"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Fifteen Thousand Six Hundred Ninety-Seven Dollars and Twenty Cents ($15,697.20) (the “COBRA Amount”), subject to all applicable withholdings, representing the total monthly premiums required by Executive to maintain his health insurance benefits provided by the Company’s group health insurance plan for twelve (12) months, in accordance with the requirements of the Consolidated Omnibus Budget Reconciliation Act of 1985 (“COBRA”), to be made in equal, pro rata amounts according to the Company’s normal payroll schedule and procedures over the course of the twelve (12) months commencing on the First Payroll Date;</w:t>
      </w:r>
    </w:p>
    <w:p>
      <w:pPr>
        <w:spacing w:after="0" w:line="66" w:lineRule="exact"/>
        <w:rPr>
          <w:rFonts w:ascii="Arial" w:cs="Arial" w:eastAsia="Arial" w:hAnsi="Arial"/>
          <w:sz w:val="16"/>
          <w:szCs w:val="16"/>
          <w:color w:val="auto"/>
        </w:rPr>
      </w:pPr>
    </w:p>
    <w:p>
      <w:pPr>
        <w:ind w:left="920" w:right="180" w:hanging="532"/>
        <w:spacing w:after="0" w:line="286"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Thirty Thousand Dollars ($30,000.00) (the “Executive Allowance Amount”), subject to all applicable withholdings, representing twelve (12) months of executive allowance, to be made in equal, pro rata amounts according to the Company’s normal payroll schedule and procedures over the course of the twelve (12) months commencing on the First Payroll Date;</w:t>
      </w:r>
    </w:p>
    <w:p>
      <w:pPr>
        <w:spacing w:after="0" w:line="70" w:lineRule="exact"/>
        <w:rPr>
          <w:rFonts w:ascii="Arial" w:cs="Arial" w:eastAsia="Arial" w:hAnsi="Arial"/>
          <w:sz w:val="17"/>
          <w:szCs w:val="17"/>
          <w:color w:val="auto"/>
        </w:rPr>
      </w:pPr>
    </w:p>
    <w:p>
      <w:pPr>
        <w:ind w:left="920" w:hanging="532"/>
        <w:spacing w:after="0" w:line="279"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the extent not previously paid, payment of the annual bonus under the Company’s existing annual bonus plan, which has two six-month components, for the amount accrued and earned for the first half of the Company’s 2021 fiscal year (which earned amount has been determined by the Company pursuant to the terms of such plan to be equal to Seven Hundred Eighty Thousand Dollars ($780,000)), subject to all applicable withholdings, at the time bonuses for such period are paid to bonus participants generally;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0" w:right="499" w:bottom="1440" w:gutter="0" w:footer="0" w:header="0"/>
        </w:sectPr>
      </w:pPr>
    </w:p>
    <w:bookmarkStart w:id="37" w:name="page38"/>
    <w:bookmarkEnd w:id="3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payments under this Section shall not be due, owed, or payable to Executive until each of the following has occurred: (a) the Company’s receipt of this Agreement, signed by Executive; and (b) the Bring-Down Release Effective Date; and the timing of such payments and benefits (and coordination with the release of claims hereunder and the Bring-Down Release) shall be as set forth in Paragraph 8 of the Employment Agreement. Executive agrees to return to the Company any payments received pursuant to this Section 3 in the event that Executive does not materially comply with all post-employment obligations set out in this Agreement, including, but not limited to, the restrictive covenants and the restrictions on disclosure of the Confidential Information of the Company set forth herein and in Paragraph 7 of the Employment Agreement, which are incorporated by reference into and hereby made a part of this Agreement. Nothing herein is intended to limit the protections afforded to Executive upon a change of control pursuant to the Equity Agreements.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Executive’s separation from employment shall be deemed a “termination without cause” (or words of similar import) and a “retirement” following Executive’s 60</w:t>
      </w:r>
      <w:r>
        <w:rPr>
          <w:rFonts w:ascii="Arial" w:cs="Arial" w:eastAsia="Arial" w:hAnsi="Arial"/>
          <w:sz w:val="15"/>
          <w:szCs w:val="15"/>
          <w:color w:val="auto"/>
        </w:rPr>
        <w:t>th</w:t>
      </w:r>
      <w:r>
        <w:rPr>
          <w:rFonts w:ascii="Arial" w:cs="Arial" w:eastAsia="Arial" w:hAnsi="Arial"/>
          <w:sz w:val="18"/>
          <w:szCs w:val="18"/>
          <w:color w:val="auto"/>
        </w:rPr>
        <w:t xml:space="preserve"> birthday for purposes of each of Executive’s outstanding equity awards, and Executive’s entitlement to additional equity compensation will be governed by and subject to the terms and conditions set forth in each of his previous Equity Agreements (for the sake of clarity, as set forth on Annex A hereto). Nothing herein is intended to limit the protections afforded to Executive upon a change of control pursuant to the Equity Agreements.</w:t>
      </w:r>
    </w:p>
    <w:p>
      <w:pPr>
        <w:spacing w:after="0" w:line="184" w:lineRule="exact"/>
        <w:rPr>
          <w:sz w:val="20"/>
          <w:szCs w:val="20"/>
          <w:color w:val="auto"/>
        </w:rPr>
      </w:pPr>
    </w:p>
    <w:p>
      <w:pPr>
        <w:ind w:firstLine="436"/>
        <w:spacing w:after="0" w:line="272" w:lineRule="auto"/>
        <w:tabs>
          <w:tab w:leader="none" w:pos="755"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and agrees that the Company has made no representations to Executive regarding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any amounts received by Executive pursuant to this Agreement. Aside from any tax withholdings as set forth above, Executive agrees that he will pay any and all taxes that may be due on account of any sums of money he receives pursuant to this Agreement and that the Company shall not be liable for any portion of any such taxes. In the event any governmental agency asserts that the Company, or the Released Parties (as defined below), are liable for any taxes on account of any sums of money paid to and/or received by Executive pursuant to or as a result of this Agreement, Executive further agrees that he shall indemnify and hold the Company, and/or the Released Parties (as defined below) harmless from and for any and all claims, obligations and/or liabilities for any and all federal, state and or local taxes which may be or may become due on account of any such sums of money paid to and/or received by Executive under the terms of this Agreement.</w:t>
      </w:r>
    </w:p>
    <w:p>
      <w:pPr>
        <w:spacing w:after="0" w:line="171" w:lineRule="exact"/>
        <w:rPr>
          <w:rFonts w:ascii="Arial" w:cs="Arial" w:eastAsia="Arial" w:hAnsi="Arial"/>
          <w:sz w:val="17"/>
          <w:szCs w:val="17"/>
          <w:b w:val="1"/>
          <w:bCs w:val="1"/>
          <w:color w:val="auto"/>
        </w:rPr>
      </w:pPr>
    </w:p>
    <w:p>
      <w:pPr>
        <w:ind w:right="100" w:firstLine="436"/>
        <w:spacing w:after="0" w:line="261" w:lineRule="auto"/>
        <w:tabs>
          <w:tab w:leader="none" w:pos="7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the foregoing shall constitute an accord and satisfaction and a full and complete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and consideration for his release of all claims and said payment shall constitute the entire amount of monetary consideration provided to him under this Agreement, and Executive will not seek any further compensation for any other claimed damage, costs, or attorneys’ fees in connection with the matters encompassed in this Agreement.</w:t>
      </w:r>
    </w:p>
    <w:p>
      <w:pPr>
        <w:spacing w:after="0" w:line="179" w:lineRule="exact"/>
        <w:rPr>
          <w:rFonts w:ascii="Arial" w:cs="Arial" w:eastAsia="Arial" w:hAnsi="Arial"/>
          <w:sz w:val="18"/>
          <w:szCs w:val="18"/>
          <w:b w:val="1"/>
          <w:bCs w:val="1"/>
          <w:color w:val="auto"/>
        </w:rPr>
      </w:pPr>
    </w:p>
    <w:p>
      <w:pPr>
        <w:ind w:right="100" w:firstLine="436"/>
        <w:spacing w:after="0" w:line="261" w:lineRule="auto"/>
        <w:tabs>
          <w:tab w:leader="none" w:pos="7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Monies Owed &amp; Duty of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to facilitate a smooth transition of his duties (including to the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if applicable) and to perform all business-related tasks reasonably requested of him through his Last Day of Employment. Executive acknowledges that his severance payments are conditioned on his fulfilment of these duties and tasks. Executive also represents that, after his Last Day of Employment, no earned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wages, bonuses, stock awards, vacation, sick leave, overtime, premium pay and/or other monies or any other form of compensation of any kind, will be due to him except as described in this Agreement, and also agrees that no additional amounts will be owed under the Company’s annual bonus plan for FY 2021 other than those earned during the first six-month plan. To the extent Executive has been granted Restricted Stock Units (“RSUs”), Management Share Units (“MSUs”), Performance Share Units (“PSUs”) or Stock Options (“SOs”), the award agreements specific to each of such grants (collectively, the “Equity Agreements”) shall govern the vesting and/or payout of any such RSUs, MSUs, PSUs and SOs.</w:t>
      </w:r>
    </w:p>
    <w:p>
      <w:pPr>
        <w:spacing w:after="0" w:line="172" w:lineRule="exact"/>
        <w:rPr>
          <w:sz w:val="20"/>
          <w:szCs w:val="20"/>
          <w:color w:val="auto"/>
        </w:rPr>
      </w:pPr>
    </w:p>
    <w:p>
      <w:pPr>
        <w:ind w:firstLine="436"/>
        <w:spacing w:after="0" w:line="284" w:lineRule="auto"/>
        <w:tabs>
          <w:tab w:leader="none" w:pos="75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of Claims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to the extent permitted by law, without limitation, hereby irrevocably and unconditionally releases and forever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discharges the Company, its current and former employees, its officers, agents, Board of Directors, supervisors, representatives, attorneys, divisions, parents, subsidiaries, parents’ subsidiaries, affiliates, joint ventures, partners, limited partners and successors, insurers, and all persons acting by, through, under, or in concert with any of them (all together collectively, the “Released Parties”) from any and all charges, complaints, claims, causes of action, debts, sums of money, controversies, agreements, promises, damages and liabilities of any kind or nature whatsoever, both at law and equity, known or unknown, suspected or unsuspected (hereinafter referred to as “claim” or “claims”), arising from conduct occurring on or before the date of this Agreement or arising in any contract between Executive and the Company or the Released Parties, which Executive at any time heretofore had or claimed to have or which he may have or claim to have regarding events that have occurred from the beginning of time through the date this Agreement is signed. Such claims include, but are not limited to, all actions, complaints, claims and grievances, whether actual or potential, known or unknown, and specifically but not exclusively all claims that could potentially be brought arising out of Executive’s employment with the Company. This provision is intended by the Parties to be all-encompassing and to act as a full and total release of any claim and any right to monetary or other recovery arising from any claim, whether specifically enumerated herein or not, that Executive might have or has had, that exists or ever has existed on or prior to the date of this Agreement. All such claims, including related attorneys’ fees and costs, are forever barred by this Agreement (with the exception of any attorneys’ fees and costs incurred to enforce this Agreement) without regard to whether those claims are based on any alleged breach of a duty arising in contract (including but not limited to claims arising under the Employment Agreement) or tort; any alleged unlawful act, any other claim or cause of action; and regardless of the forum in which it might be brought. This release specifically extends to, without limitation, claims or causes of action for wrongful termination, constructive discharge, impairment of ability to compete in the open labor market, breach of an express or implied contract, breach of the covenant of good faith and fair dealing, breach of fiduciary duty, fraud, misrepresentation, defamation, slander, infliction of emotional distress, discrimination, harassment, retaliation, disability, loss of future earnings, and claims under the Texas Constitution, the United States Constitution, and applicable state and federal fair employment laws, federal equal employment opportunity laws, and federal and state labor statutes and regulations, including, but not limited to, the Civil Rights Act of 1964, as amended, the Worker Retraining and Notification Act of 1988, as amended, the Employee Retirement Income Security Act of 1974, as amended, the Racketeer Influenced and Corrupt Company Act, the Family and Medical Leave Act, the Americans With Disabilities Act of 1990, as amended, the Rehabilitation Act of 1973, as amended, the National Labor Relations Act, the Texas Worker’s Compensation Act, the Texas Health and Safety Code, the Texas Minimum Wage Act, the Texas Payday Law, the Texas Commission on Human Rights Act, and the Texas Labor Code, as amended.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 w:name="page40"/>
    <w:bookmarkEnd w:id="39"/>
    <w:p>
      <w:pPr>
        <w:ind w:right="10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also waives and releases to the maximum extent allowed by law all monetary and other relief that may be sought on Executive’s behalf by other persons or agencies. However, notwithstanding the foregoing, nothing in this Agreement shall be construed to affect the rights and responsibilities of the Equal Employment Opportunity Commission (“EEOC”) or Department of Fair Employment and Housing (“DFEH”) to enforce the Civil Rights Act of 1964, as amended, the Age Discrimination in Employment Act of 1967, as amended, or any other applicable law, nor shall anything in this Agreement be construed as a basis for interfering with Executive’s protected right to file a timely charge with, or participate in an investigation or proceeding conducted by the EEOC or DFEH, or any other state, federal or local government entity; provided, however, if the EEOC, DFEH, or any other state, federal or local government entity commences an investigation on Executive’s behalf, Executive specifically waives and releases his right, if any, to recover any monetary or other benefits of any sort whatsoever arising from any such investigation or otherwise.</w:t>
      </w:r>
    </w:p>
    <w:p>
      <w:pPr>
        <w:spacing w:after="0" w:line="16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To the extent applicable, nothing in this Agreement is intended to waive claims: (i) for unemployment or workers’ compensation benefits; (ii) for vested rights under ERISA-covered employee benefit plans and/or the Equity Agreements as applicable on the date of this Agreement; (iii) that may arise after the date of this Agreement; or (iv) which cannot be released by private agreement.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Executive agrees that he: (a) received all wages, bonuses, overtime payments, and other monetary compensation, and other employee benefits to which he was entitled as a result of his employment and/or separation of employment with the Company (other than the amounts payable at a future date as set forth in Section 3 and compensation due under his outstanding Equity Agreements); and (b) has not suffered any on the job injury for which he has not already filed a claim.</w:t>
      </w:r>
    </w:p>
    <w:p>
      <w:pPr>
        <w:spacing w:after="0" w:line="18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Notwithstanding the foregoing paragraphs, Executive agrees to waive any right to recover monetary damages in any charge, complaint, report, or lawsuit against the Company filed by Executive or by anyone else on Executive’s behalf, or based on any report or complaint made by Executive about the Company.</w:t>
      </w:r>
    </w:p>
    <w:p>
      <w:pPr>
        <w:spacing w:after="0" w:line="180" w:lineRule="exact"/>
        <w:rPr>
          <w:sz w:val="20"/>
          <w:szCs w:val="20"/>
          <w:color w:val="auto"/>
        </w:rPr>
      </w:pPr>
    </w:p>
    <w:p>
      <w:pPr>
        <w:ind w:right="40" w:firstLine="436"/>
        <w:spacing w:after="0" w:line="261" w:lineRule="auto"/>
        <w:tabs>
          <w:tab w:leader="none" w:pos="75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Age Claims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understands and agrees that he is knowingly and voluntarily entering into this Agreement with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releasing and waiving any claims he may have against Released Parties under the Age Discrimination in Employment Act of 1967 (the “ADEA”) and/or age discrimination claims under Chapter 21 of the Texas Labor Code, Tex. Lab. Code §§ 21.001, </w:t>
      </w:r>
      <w:r>
        <w:rPr>
          <w:rFonts w:ascii="Arial" w:cs="Arial" w:eastAsia="Arial" w:hAnsi="Arial"/>
          <w:sz w:val="18"/>
          <w:szCs w:val="18"/>
          <w:i w:val="1"/>
          <w:iCs w:val="1"/>
          <w:color w:val="auto"/>
        </w:rPr>
        <w:t>et. seq</w:t>
      </w:r>
      <w:r>
        <w:rPr>
          <w:rFonts w:ascii="Arial" w:cs="Arial" w:eastAsia="Arial" w:hAnsi="Arial"/>
          <w:sz w:val="18"/>
          <w:szCs w:val="18"/>
          <w:color w:val="auto"/>
        </w:rPr>
        <w:t>. (“Chapter 21”). Executive acknowledges and agrees that:</w:t>
      </w:r>
    </w:p>
    <w:p>
      <w:pPr>
        <w:spacing w:after="0" w:line="89"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Agreement is written in a manner that he fully understands;</w:t>
      </w:r>
    </w:p>
    <w:p>
      <w:pPr>
        <w:spacing w:after="0" w:line="130"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specifically releases and waives any rights or claims against the Released Parties arising for age claims under the ADEA or Chapter 21;</w:t>
      </w:r>
    </w:p>
    <w:p>
      <w:pPr>
        <w:spacing w:after="0" w:line="75" w:lineRule="exact"/>
        <w:rPr>
          <w:rFonts w:ascii="Arial" w:cs="Arial" w:eastAsia="Arial" w:hAnsi="Arial"/>
          <w:sz w:val="18"/>
          <w:szCs w:val="18"/>
          <w:color w:val="auto"/>
        </w:rPr>
      </w:pPr>
    </w:p>
    <w:p>
      <w:pPr>
        <w:ind w:left="960" w:right="64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Agreement does not waive any rights or claims under the ADEA or Chapter 21 that may arise after the date this Agreement is executed;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0" w:name="page41"/>
    <w:bookmarkEnd w:id="40"/>
    <w:p>
      <w:pPr>
        <w:ind w:left="960" w:right="120" w:hanging="53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and claims Executive is releasing and waiving in this Agreement are in exchange for consideration over and above anything to which he is already entitled;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is hereby advised in writing to consult with an attorney prior to executing this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Executive has been given a period of at least </w:t>
      </w:r>
      <w:r>
        <w:rPr>
          <w:rFonts w:ascii="Arial" w:cs="Arial" w:eastAsia="Arial" w:hAnsi="Arial"/>
          <w:sz w:val="18"/>
          <w:szCs w:val="18"/>
          <w:u w:val="single" w:color="auto"/>
          <w:color w:val="auto"/>
        </w:rPr>
        <w:t>twenty-one (21) days</w:t>
      </w:r>
      <w:r>
        <w:rPr>
          <w:rFonts w:ascii="Arial" w:cs="Arial" w:eastAsia="Arial" w:hAnsi="Arial"/>
          <w:sz w:val="18"/>
          <w:szCs w:val="18"/>
          <w:color w:val="auto"/>
        </w:rPr>
        <w:t xml:space="preserve"> within which to consider this Agreement; and</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Executive understands and acknowledges that he has a period of </w:t>
      </w:r>
      <w:r>
        <w:rPr>
          <w:rFonts w:ascii="Arial" w:cs="Arial" w:eastAsia="Arial" w:hAnsi="Arial"/>
          <w:sz w:val="18"/>
          <w:szCs w:val="18"/>
          <w:u w:val="single" w:color="auto"/>
          <w:color w:val="auto"/>
        </w:rPr>
        <w:t>seven (7) days</w:t>
      </w:r>
      <w:r>
        <w:rPr>
          <w:rFonts w:ascii="Arial" w:cs="Arial" w:eastAsia="Arial" w:hAnsi="Arial"/>
          <w:sz w:val="18"/>
          <w:szCs w:val="18"/>
          <w:color w:val="auto"/>
        </w:rPr>
        <w:t xml:space="preserve"> after executing this Agreement within which he can revoke the release of claims under Section 7 of this Agreement, and the Agreement shall not become effective or enforceable until the revocation period has expired.</w:t>
      </w:r>
    </w:p>
    <w:p>
      <w:pPr>
        <w:spacing w:after="0" w:line="18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To the extent Executive seeks to revoke his release of any age discrimination claims under the ADEA and/or Chapter 21 under this Section, any such revocation must be made in writing and sent to counsel for the Company, </w:t>
      </w:r>
      <w:r>
        <w:rPr>
          <w:rFonts w:ascii="Arial" w:cs="Arial" w:eastAsia="Arial" w:hAnsi="Arial"/>
          <w:sz w:val="18"/>
          <w:szCs w:val="18"/>
          <w:u w:val="single" w:color="auto"/>
          <w:color w:val="auto"/>
        </w:rPr>
        <w:t>Celeste R. Yeager, 2001 Ross Avenue, Suite 1500, Dallas, TX 75201</w:t>
      </w:r>
      <w:r>
        <w:rPr>
          <w:rFonts w:ascii="Arial" w:cs="Arial" w:eastAsia="Arial" w:hAnsi="Arial"/>
          <w:sz w:val="18"/>
          <w:szCs w:val="18"/>
          <w:color w:val="auto"/>
        </w:rPr>
        <w:t>, within the seven (7) day time limit set forth above. Executive understands that nothing in this Agreement is intended to interfere with his right to later challenge his waiver of an ADEA or Chapter 21 claim for age discrimination.</w:t>
      </w:r>
    </w:p>
    <w:p>
      <w:pPr>
        <w:spacing w:after="0" w:line="183" w:lineRule="exact"/>
        <w:rPr>
          <w:sz w:val="20"/>
          <w:szCs w:val="20"/>
          <w:color w:val="auto"/>
        </w:rPr>
      </w:pPr>
    </w:p>
    <w:p>
      <w:pPr>
        <w:ind w:right="20" w:firstLine="436"/>
        <w:spacing w:after="0" w:line="258" w:lineRule="auto"/>
        <w:tabs>
          <w:tab w:leader="none" w:pos="7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Pending Claims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he has not filed any complaints, claims, or actions against the Company and/or the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any state, federal, or local agency or court or any other forum, and that he will not do so at any time hereafter based upon conduct occurring prior to the date that he executes this Agreement. Executive acknowledges and agrees that, to his present knowledge, he did not sustain any workplace injury during his employment with the Company for which he has not already filed a claim. Executive acknowledges that he has not made a claim or complaint of sexual harassment against the Company or any of its employees.</w:t>
      </w:r>
    </w:p>
    <w:p>
      <w:pPr>
        <w:spacing w:after="0" w:line="183" w:lineRule="exact"/>
        <w:rPr>
          <w:rFonts w:ascii="Arial" w:cs="Arial" w:eastAsia="Arial" w:hAnsi="Arial"/>
          <w:sz w:val="18"/>
          <w:szCs w:val="18"/>
          <w:b w:val="1"/>
          <w:bCs w:val="1"/>
          <w:color w:val="auto"/>
        </w:rPr>
      </w:pPr>
    </w:p>
    <w:p>
      <w:pPr>
        <w:ind w:right="100" w:firstLine="436"/>
        <w:spacing w:after="0" w:line="258" w:lineRule="auto"/>
        <w:tabs>
          <w:tab w:leader="none" w:pos="84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 of Claims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he has not made, and will not make, any assignment of any claim, cause or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any right of any kind whatsoever, embodied in any of the claims and obligations that are released herein, and that no other person or entity of any kind, other than Executive, had or has any interest in any claims that are released herein. Executive agrees to indemnify and hold the Company harmless from any and all claims, demands, expenses, costs, attorneys’ fees, and causes of action asserted by any person or entity due to a violation of this non-assignment provision.</w:t>
      </w:r>
    </w:p>
    <w:p>
      <w:pPr>
        <w:spacing w:after="0" w:line="183" w:lineRule="exact"/>
        <w:rPr>
          <w:rFonts w:ascii="Arial" w:cs="Arial" w:eastAsia="Arial" w:hAnsi="Arial"/>
          <w:sz w:val="18"/>
          <w:szCs w:val="18"/>
          <w:b w:val="1"/>
          <w:bCs w:val="1"/>
          <w:color w:val="auto"/>
        </w:rPr>
      </w:pPr>
    </w:p>
    <w:p>
      <w:pPr>
        <w:ind w:right="40" w:firstLine="436"/>
        <w:spacing w:after="0" w:line="266" w:lineRule="auto"/>
        <w:tabs>
          <w:tab w:leader="none" w:pos="8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Non-Disclosure/Confidentiality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as of the date hereof he has not disclosed the amount or terms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and/or any aspect of the Parties’ negotiations that resulted in the Agreement to any other person other than his counsel, accountants, tax advisers, executive coach, or spouse, if any.</w:t>
      </w:r>
    </w:p>
    <w:p>
      <w:pPr>
        <w:spacing w:after="0" w:line="18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Executive agrees that he, his counsel, accountants, tax advisers, executive coach, and spouse, will keep completely confidential and will not disclose to any person or entity the facts and allegations giving rise to any dispute between the Parties, previous severance or settlement negotiations except as required or authorized by law or pursuant to court order.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41" w:name="page42"/>
    <w:bookmarkEnd w:id="41"/>
    <w:p>
      <w:pPr>
        <w:ind w:left="1420" w:hanging="439"/>
        <w:spacing w:after="0" w:line="277"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acknowledges that these Non-Disclosure/Confidentiality provisions are a material part of the inducement for the Company to enter into this Agreement.</w:t>
      </w:r>
    </w:p>
    <w:p>
      <w:pPr>
        <w:spacing w:after="0" w:line="75" w:lineRule="exact"/>
        <w:rPr>
          <w:rFonts w:ascii="Arial" w:cs="Arial" w:eastAsia="Arial" w:hAnsi="Arial"/>
          <w:sz w:val="18"/>
          <w:szCs w:val="18"/>
          <w:color w:val="auto"/>
        </w:rPr>
      </w:pPr>
    </w:p>
    <w:p>
      <w:pPr>
        <w:ind w:left="1420" w:right="260" w:hanging="439"/>
        <w:spacing w:after="0" w:line="257"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 agrees that the failure to comply with the terms of the Agreement’s Non-Disclosure/Confidentiality provisions shall amount to a material breach of this Agreement. Executive and the Company specifically agree that it would be impossible to accurately calculate or assess the actual damages sustained by the Company in the event of such a breach and therefore agree that any and each such breach shall entitle the Company to recover from Executive Twenty Thousand Dollars per proven breach as liquidated damages.</w:t>
      </w:r>
    </w:p>
    <w:p>
      <w:pPr>
        <w:spacing w:after="0" w:line="93"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any action for enforcement of these Non-Disclosure/Confidentiality provisions, the prevailing party (which shall only include the Parties) shall be entitled to recover its reasonable attorneys’ fees and costs.</w:t>
      </w:r>
    </w:p>
    <w:p>
      <w:pPr>
        <w:spacing w:after="0" w:line="166" w:lineRule="exact"/>
        <w:rPr>
          <w:rFonts w:ascii="Arial" w:cs="Arial" w:eastAsia="Arial" w:hAnsi="Arial"/>
          <w:sz w:val="18"/>
          <w:szCs w:val="18"/>
          <w:color w:val="auto"/>
        </w:rPr>
      </w:pPr>
    </w:p>
    <w:p>
      <w:pPr>
        <w:ind w:right="20" w:firstLine="436"/>
        <w:spacing w:after="0" w:line="271" w:lineRule="auto"/>
        <w:tabs>
          <w:tab w:leader="none" w:pos="84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to refrain from making any derogatory comment in any format, whether written or oral, to the press</w:t>
      </w:r>
      <w:r>
        <w:rPr>
          <w:rFonts w:ascii="Arial" w:cs="Arial" w:eastAsia="Arial" w:hAnsi="Arial"/>
          <w:sz w:val="17"/>
          <w:szCs w:val="17"/>
          <w:b w:val="1"/>
          <w:bCs w:val="1"/>
          <w:color w:val="auto"/>
        </w:rPr>
        <w:t xml:space="preserve"> </w:t>
      </w:r>
      <w:r>
        <w:rPr>
          <w:rFonts w:ascii="Arial" w:cs="Arial" w:eastAsia="Arial" w:hAnsi="Arial"/>
          <w:sz w:val="17"/>
          <w:szCs w:val="17"/>
          <w:color w:val="auto"/>
        </w:rPr>
        <w:t>or any publication, whether paper or electronic, or to any individual or entity regarding the Company or any of its officers or members of the Board that relates to the Company’s business or related activities or the relationship between the Parties. Executive further and specifically agrees to refrain from any online posts or communications, including, but not limited to, posts on Yelp.com, Glassdoor.com, or any other website; as well as on any social media sites (</w:t>
      </w:r>
      <w:r>
        <w:rPr>
          <w:rFonts w:ascii="Arial" w:cs="Arial" w:eastAsia="Arial" w:hAnsi="Arial"/>
          <w:sz w:val="17"/>
          <w:szCs w:val="17"/>
          <w:i w:val="1"/>
          <w:iCs w:val="1"/>
          <w:color w:val="auto"/>
        </w:rPr>
        <w:t>i.e.</w:t>
      </w:r>
      <w:r>
        <w:rPr>
          <w:rFonts w:ascii="Arial" w:cs="Arial" w:eastAsia="Arial" w:hAnsi="Arial"/>
          <w:sz w:val="17"/>
          <w:szCs w:val="17"/>
          <w:color w:val="auto"/>
        </w:rPr>
        <w:t>, Facebook) that disparage the Company or any of its officers or members of the Board. The Company shall instruct its senior vice presidents and members of the Board to refrain from making any derogatory comment in any format, whether written or oral, to the press or any publication, whether paper or electronic, or to any individual or entity regarding Executive, the Executive’s employment with the Company, or the relationship between the Parties. Nothing in the foregoing shall or shall be deemed to prevent or impair any person from testifying truthfully in any legal or administrative proceeding if such testimony is compelled, requested or nonwaivable under applicable law.</w:t>
      </w:r>
    </w:p>
    <w:p>
      <w:pPr>
        <w:spacing w:after="0" w:line="173" w:lineRule="exact"/>
        <w:rPr>
          <w:rFonts w:ascii="Arial" w:cs="Arial" w:eastAsia="Arial" w:hAnsi="Arial"/>
          <w:sz w:val="17"/>
          <w:szCs w:val="17"/>
          <w:b w:val="1"/>
          <w:bCs w:val="1"/>
          <w:color w:val="auto"/>
        </w:rPr>
      </w:pPr>
    </w:p>
    <w:p>
      <w:pPr>
        <w:jc w:val="both"/>
        <w:ind w:firstLine="436"/>
        <w:spacing w:after="0" w:line="261" w:lineRule="auto"/>
        <w:tabs>
          <w:tab w:leader="none" w:pos="84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After Executive’s execution of this Agreement, he shall not seek employment or re-employment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or parents as an employee. Should Executive become employed in contradiction of this Agreement, the fact of this Agreement will constitute a legitimate, non-discriminatory, non-retaliatory reason for terminating such employment and the Company or any of its subsidiaries or parents will have the absolute right to terminate such employment.</w:t>
      </w:r>
    </w:p>
    <w:p>
      <w:pPr>
        <w:spacing w:after="0" w:line="179" w:lineRule="exact"/>
        <w:rPr>
          <w:rFonts w:ascii="Arial" w:cs="Arial" w:eastAsia="Arial" w:hAnsi="Arial"/>
          <w:sz w:val="18"/>
          <w:szCs w:val="18"/>
          <w:b w:val="1"/>
          <w:bCs w:val="1"/>
          <w:color w:val="auto"/>
        </w:rPr>
      </w:pPr>
    </w:p>
    <w:p>
      <w:pPr>
        <w:jc w:val="both"/>
        <w:ind w:right="60" w:firstLine="436"/>
        <w:spacing w:after="0" w:line="266" w:lineRule="auto"/>
        <w:tabs>
          <w:tab w:leader="none" w:pos="84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Verification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should direct any requests for verification of his employment with the Company to Rob Edmund,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General Counsel and Senior Vice President of Human Resources. If Mr. Edmund is contacted for a reference or verification of employment, the Company shall only verify Executive’s job title and dates of employment.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2" w:name="page43"/>
    <w:bookmarkEnd w:id="42"/>
    <w:p>
      <w:pPr>
        <w:jc w:val="both"/>
        <w:ind w:right="560" w:firstLine="436"/>
        <w:spacing w:after="0" w:line="289" w:lineRule="auto"/>
        <w:tabs>
          <w:tab w:leader="none" w:pos="84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Entirety of Agreement and 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affirm that this Agreement constitutes the entire agreement between the Parties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supersedes any previous negotiations, agreements, or understandings of any kind relating to the subject matter hereof including but not limited to Executive’s Employment Agreement, </w:t>
      </w:r>
      <w:r>
        <w:rPr>
          <w:rFonts w:ascii="Arial" w:cs="Arial" w:eastAsia="Arial" w:hAnsi="Arial"/>
          <w:sz w:val="16"/>
          <w:szCs w:val="16"/>
          <w:b w:val="1"/>
          <w:bCs w:val="1"/>
          <w:i w:val="1"/>
          <w:iCs w:val="1"/>
          <w:color w:val="auto"/>
        </w:rPr>
        <w:t>subject to the limitation that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Paragraphs 7, 8(e) (only the last sentence thereof), 9, 10, 11, and 12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the</w:t>
      </w:r>
    </w:p>
    <w:p>
      <w:pPr>
        <w:spacing w:after="0" w:line="1" w:lineRule="exact"/>
        <w:rPr>
          <w:rFonts w:ascii="Arial" w:cs="Arial" w:eastAsia="Arial" w:hAnsi="Arial"/>
          <w:sz w:val="16"/>
          <w:szCs w:val="16"/>
          <w:b w:val="1"/>
          <w:bCs w:val="1"/>
          <w:color w:val="auto"/>
        </w:rPr>
      </w:pPr>
    </w:p>
    <w:p>
      <w:pPr>
        <w:spacing w:after="0" w:line="269" w:lineRule="auto"/>
        <w:rPr>
          <w:rFonts w:ascii="Arial" w:cs="Arial" w:eastAsia="Arial" w:hAnsi="Arial"/>
          <w:sz w:val="16"/>
          <w:szCs w:val="16"/>
          <w:b w:val="1"/>
          <w:bCs w:val="1"/>
          <w:color w:val="auto"/>
        </w:rPr>
      </w:pPr>
      <w:r>
        <w:rPr>
          <w:rFonts w:ascii="Arial" w:cs="Arial" w:eastAsia="Arial" w:hAnsi="Arial"/>
          <w:sz w:val="17"/>
          <w:szCs w:val="17"/>
          <w:b w:val="1"/>
          <w:bCs w:val="1"/>
          <w:i w:val="1"/>
          <w:iCs w:val="1"/>
          <w:color w:val="auto"/>
        </w:rPr>
        <w:t>Employment Agreement and the obligations therein as well as the Equity Agreements in their totality shall remain in full force and effect and are hereby incorporated into this Agreement, including but not limited to the restrictions on competition, solicitation, and hiring in Paragraph 7(f)-(g) of the Employment Agreement</w:t>
      </w:r>
      <w:r>
        <w:rPr>
          <w:rFonts w:ascii="Arial" w:cs="Arial" w:eastAsia="Arial" w:hAnsi="Arial"/>
          <w:sz w:val="17"/>
          <w:szCs w:val="17"/>
          <w:color w:val="auto"/>
        </w:rPr>
        <w:t>; that no other promise or agreement of any kind has been made to or with Executive by any person or entity to cause him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 this Agreement. This Agreement may not be amended except by an instrument in writing, signed by each of the Parties. No failure to exercise and no delay in exercising any right, remedy, or power under this Agreement shall operate as a waiver thereof, nor shall any single or partial exercise of any right, remedy, or power under this Agreement preclude any other or further exercise thereof, or the exercise of any other right, remedy, or power provided herein or by law or in equity.</w:t>
      </w:r>
    </w:p>
    <w:p>
      <w:pPr>
        <w:spacing w:after="0" w:line="176" w:lineRule="exact"/>
        <w:rPr>
          <w:rFonts w:ascii="Arial" w:cs="Arial" w:eastAsia="Arial" w:hAnsi="Arial"/>
          <w:sz w:val="16"/>
          <w:szCs w:val="16"/>
          <w:b w:val="1"/>
          <w:bCs w:val="1"/>
          <w:color w:val="auto"/>
        </w:rPr>
      </w:pPr>
    </w:p>
    <w:p>
      <w:pPr>
        <w:jc w:val="both"/>
        <w:ind w:right="20" w:firstLine="436"/>
        <w:spacing w:after="0" w:line="314" w:lineRule="auto"/>
        <w:tabs>
          <w:tab w:leader="none" w:pos="84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Should any provision of this Agreement be declared or be determined by any court of competent jurisdiction to be illegal,</w:t>
      </w:r>
      <w:r>
        <w:rPr>
          <w:rFonts w:ascii="Arial" w:cs="Arial" w:eastAsia="Arial" w:hAnsi="Arial"/>
          <w:sz w:val="16"/>
          <w:szCs w:val="16"/>
          <w:b w:val="1"/>
          <w:bCs w:val="1"/>
          <w:color w:val="auto"/>
        </w:rPr>
        <w:t xml:space="preserve"> </w:t>
      </w:r>
      <w:r>
        <w:rPr>
          <w:rFonts w:ascii="Arial" w:cs="Arial" w:eastAsia="Arial" w:hAnsi="Arial"/>
          <w:sz w:val="16"/>
          <w:szCs w:val="16"/>
          <w:color w:val="auto"/>
        </w:rPr>
        <w:t>invalid, or unenforceable, the legality, validity, and enforceability of the remaining parts, terms, or provisions shall not be affected thereby and shall remain fully valid and enforceable, and said illegal, unenforceable, or invalid part, term, or provision shall be deemed not to be a part of this Agreement.</w:t>
      </w:r>
    </w:p>
    <w:p>
      <w:pPr>
        <w:spacing w:after="0" w:line="141" w:lineRule="exact"/>
        <w:rPr>
          <w:rFonts w:ascii="Arial" w:cs="Arial" w:eastAsia="Arial" w:hAnsi="Arial"/>
          <w:sz w:val="16"/>
          <w:szCs w:val="16"/>
          <w:b w:val="1"/>
          <w:bCs w:val="1"/>
          <w:color w:val="auto"/>
        </w:rPr>
      </w:pPr>
    </w:p>
    <w:p>
      <w:pPr>
        <w:ind w:right="20" w:firstLine="436"/>
        <w:spacing w:after="0" w:line="261" w:lineRule="auto"/>
        <w:tabs>
          <w:tab w:leader="none" w:pos="84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and entered into in the State of Texas and shall in all respects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enforced and governed by and under the laws of the State of Texas, without regard to conflicts of law. If any action is brought to enforce this Agreement, the prevailing party (which only includes the Parties) shall be entitled to reasonable attorneys’ fees and costs. The Parties waive any right to jury trial.</w:t>
      </w:r>
    </w:p>
    <w:p>
      <w:pPr>
        <w:spacing w:after="0" w:line="179" w:lineRule="exact"/>
        <w:rPr>
          <w:rFonts w:ascii="Arial" w:cs="Arial" w:eastAsia="Arial" w:hAnsi="Arial"/>
          <w:sz w:val="18"/>
          <w:szCs w:val="18"/>
          <w:b w:val="1"/>
          <w:bCs w:val="1"/>
          <w:color w:val="auto"/>
        </w:rPr>
      </w:pPr>
    </w:p>
    <w:p>
      <w:pPr>
        <w:ind w:right="60" w:firstLine="436"/>
        <w:spacing w:after="0" w:line="269" w:lineRule="auto"/>
        <w:tabs>
          <w:tab w:leader="none" w:pos="84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and the Company hereby agree that any controversy or claim arising out of or relating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“Panel”) admitted to practice law in Texas for at least ten (10) years, in accordance with the American Arbitration Association Rules. Any such arbitration proceeding shall be administered by the American Arbitration Association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3" w:name="page44"/>
    <w:bookmarkEnd w:id="4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his own arbitration costs, attorneys’ fees and expenses.</w:t>
      </w:r>
    </w:p>
    <w:p>
      <w:pPr>
        <w:spacing w:after="0" w:line="77" w:lineRule="exact"/>
        <w:rPr>
          <w:sz w:val="20"/>
          <w:szCs w:val="20"/>
          <w:color w:val="auto"/>
        </w:rPr>
      </w:pPr>
    </w:p>
    <w:p>
      <w:pPr>
        <w:jc w:val="both"/>
        <w:ind w:left="960" w:right="100" w:hanging="532"/>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spacing w:after="0" w:line="76" w:lineRule="exact"/>
        <w:rPr>
          <w:rFonts w:ascii="Arial" w:cs="Arial" w:eastAsia="Arial" w:hAnsi="Arial"/>
          <w:sz w:val="17"/>
          <w:szCs w:val="17"/>
          <w:color w:val="auto"/>
        </w:rPr>
      </w:pPr>
    </w:p>
    <w:p>
      <w:pPr>
        <w:jc w:val="both"/>
        <w:ind w:left="960" w:right="120" w:hanging="532"/>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Parties will keep confidential, and will not disclose to any person, except as may be required by law, the existence of any controversy under this Section 18, the referral of any such controversy to arbitration or the status or resolution thereof. In addition, the confidentiality restrictions set forth in this Agreement shall continue in full force and effect.</w:t>
      </w:r>
    </w:p>
    <w:p>
      <w:pPr>
        <w:spacing w:after="0" w:line="89" w:lineRule="exact"/>
        <w:rPr>
          <w:rFonts w:ascii="Arial" w:cs="Arial" w:eastAsia="Arial" w:hAnsi="Arial"/>
          <w:sz w:val="18"/>
          <w:szCs w:val="18"/>
          <w:color w:val="auto"/>
        </w:rPr>
      </w:pPr>
    </w:p>
    <w:p>
      <w:pPr>
        <w:ind w:left="960" w:hanging="532"/>
        <w:spacing w:after="0" w:line="272"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the sole exception to the exclusive and binding nature of the arbitration commitment set forth above, the Parties agree that the Company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Section 18 should be construed to constitute a waiver of the Parties’ rights and obligations to arbitrate as set forth in this Section 18.</w:t>
      </w:r>
    </w:p>
    <w:p>
      <w:pPr>
        <w:spacing w:after="0" w:line="82" w:lineRule="exact"/>
        <w:rPr>
          <w:rFonts w:ascii="Arial" w:cs="Arial" w:eastAsia="Arial" w:hAnsi="Arial"/>
          <w:sz w:val="17"/>
          <w:szCs w:val="17"/>
          <w:color w:val="auto"/>
        </w:rPr>
      </w:pPr>
    </w:p>
    <w:p>
      <w:pPr>
        <w:ind w:left="960" w:right="60" w:hanging="532"/>
        <w:spacing w:after="0" w:line="271"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SECTION 18 CONSTITUTES A MATERIAL INDUCEMENT UPON WHICH IT OR HE IS RELYING AND WILL RELY IN ENTERING INTO THIS AGREEMENT. BEFORE ACCEPTING THE TERMS OF THIS AGREEMENT, INCLUDING THE RESTRICTIVE COVENANT TERMS, PLEASE READ AND UNDERSTAND YOUR CONTINUING OBLIGATIONS TO THE COMPANY AND ITS AFFILIATES.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4" w:name="page45"/>
    <w:bookmarkEnd w:id="44"/>
    <w:p>
      <w:pPr>
        <w:ind w:left="-20" w:right="400" w:firstLine="436"/>
        <w:spacing w:after="0" w:line="282" w:lineRule="auto"/>
        <w:tabs>
          <w:tab w:leader="none" w:pos="8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in accordance with the plain meaning of its terms and not strictly for or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drafter or any of the Parties.</w:t>
      </w:r>
    </w:p>
    <w:p>
      <w:pPr>
        <w:spacing w:after="0" w:line="161" w:lineRule="exact"/>
        <w:rPr>
          <w:rFonts w:ascii="Arial" w:cs="Arial" w:eastAsia="Arial" w:hAnsi="Arial"/>
          <w:sz w:val="18"/>
          <w:szCs w:val="18"/>
          <w:b w:val="1"/>
          <w:bCs w:val="1"/>
          <w:color w:val="auto"/>
        </w:rPr>
      </w:pPr>
    </w:p>
    <w:p>
      <w:pPr>
        <w:ind w:left="-20" w:right="120" w:firstLine="436"/>
        <w:spacing w:after="0" w:line="273" w:lineRule="auto"/>
        <w:tabs>
          <w:tab w:leader="none" w:pos="825"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Voluntary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represents that he has reviewed all aspects of this Agreement, that he has carefully read and fully</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understands all the provisions of this Agreement, including its final and binding effect, that he understands that in agreeing to this document he is releasing the Released Parties from any and all claims he may have against them, that he voluntarily agrees to all the terms set forth in this Agreement, that he knowingly and willingly intends to be legally bound by the same, that he was given the opportunity to consider the terms of this Agreement and discuss them with his legal counsel, that he does not rely and has not relied upon any statement made by any other party or its respective agents, representatives or attorneys with regard to any aspect of this Agreement, including its effect, and that the terms of this Agreement were determined through negotiation between counsel for Executive and the Company’s counsel.</w:t>
      </w:r>
    </w:p>
    <w:p>
      <w:pPr>
        <w:spacing w:after="0" w:line="171" w:lineRule="exact"/>
        <w:rPr>
          <w:rFonts w:ascii="Arial" w:cs="Arial" w:eastAsia="Arial" w:hAnsi="Arial"/>
          <w:sz w:val="17"/>
          <w:szCs w:val="17"/>
          <w:b w:val="1"/>
          <w:bCs w:val="1"/>
          <w:color w:val="auto"/>
        </w:rPr>
      </w:pPr>
    </w:p>
    <w:p>
      <w:pPr>
        <w:ind w:left="-20" w:firstLine="436"/>
        <w:spacing w:after="0" w:line="258" w:lineRule="auto"/>
        <w:tabs>
          <w:tab w:leader="none" w:pos="8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understood and agreed by the Parties hereto that this Agreement shall be binding upon and will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Executive’s individual and/or collective heirs, successors, agents, executors, and administrators if any, and will inure to the benefit of the individual and/or collective successors, assigns, fiduciaries and insurers of the Parties, their present and former affiliated business entities, their successors, assigns, fiduciaries and insurers, and all of their present and former proprietors, partners, shareholders, directors, officers, employees, agents, and all persons acting by, through, or in concert with any of them.</w:t>
      </w:r>
    </w:p>
    <w:p>
      <w:pPr>
        <w:spacing w:after="0" w:line="183" w:lineRule="exact"/>
        <w:rPr>
          <w:rFonts w:ascii="Arial" w:cs="Arial" w:eastAsia="Arial" w:hAnsi="Arial"/>
          <w:sz w:val="18"/>
          <w:szCs w:val="18"/>
          <w:b w:val="1"/>
          <w:bCs w:val="1"/>
          <w:color w:val="auto"/>
        </w:rPr>
      </w:pPr>
    </w:p>
    <w:p>
      <w:pPr>
        <w:ind w:left="-20" w:right="380" w:firstLine="436"/>
        <w:spacing w:after="0" w:line="266" w:lineRule="auto"/>
        <w:tabs>
          <w:tab w:leader="none" w:pos="8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 Fees and Costs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each bear their own attorneys’ fees and costs incurred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in any subsequent proceeding or action to interpret or enforce the terms of the Agreement, the prevailing party (which only includes the Parties) shall be entitled to an award of reasonable attorney’s fees and costs.</w:t>
      </w:r>
    </w:p>
    <w:p>
      <w:pPr>
        <w:spacing w:after="0" w:line="175" w:lineRule="exact"/>
        <w:rPr>
          <w:rFonts w:ascii="Arial" w:cs="Arial" w:eastAsia="Arial" w:hAnsi="Arial"/>
          <w:sz w:val="18"/>
          <w:szCs w:val="18"/>
          <w:b w:val="1"/>
          <w:bCs w:val="1"/>
          <w:color w:val="auto"/>
        </w:rPr>
      </w:pPr>
    </w:p>
    <w:p>
      <w:pPr>
        <w:ind w:left="-20" w:right="260" w:firstLine="436"/>
        <w:spacing w:after="0" w:line="312" w:lineRule="auto"/>
        <w:tabs>
          <w:tab w:leader="none" w:pos="825"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counterparts and each counterpart, when executed, shall have the validity of a second</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Photographic or facsimile copies of any such signed counterparts may be used in lieu of the original for any purpose.</w:t>
      </w:r>
    </w:p>
    <w:p>
      <w:pPr>
        <w:spacing w:after="0" w:line="139" w:lineRule="exact"/>
        <w:rPr>
          <w:rFonts w:ascii="Arial" w:cs="Arial" w:eastAsia="Arial" w:hAnsi="Arial"/>
          <w:sz w:val="17"/>
          <w:szCs w:val="17"/>
          <w:b w:val="1"/>
          <w:bCs w:val="1"/>
          <w:color w:val="auto"/>
        </w:rPr>
      </w:pPr>
    </w:p>
    <w:p>
      <w:pPr>
        <w:ind w:left="-20" w:right="60" w:firstLine="436"/>
        <w:spacing w:after="0" w:line="255" w:lineRule="auto"/>
        <w:tabs>
          <w:tab w:leader="none" w:pos="8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below, Executive unconditionally represents and warrants that: (a) he has been advised to consult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regarding the terms of this Agreement; (b) he has consulted with, or has had sufficient opportunity to consult with his own counsel or other advisors regarding the terms of this Agreement; (c) he has relied solely on his own judgment and that of his attorneys, advisors, and representatives regarding the consideration for, and the terms of, this Agreement; (d) any and all questions regarding the terms of this Agreement have been asked and answered to his complete satisfaction; (e) he has read this Agreement and fully understand its terms and their import; and (f) he is entering into this Agreement voluntarily, of his own free will, and without any duress, coercion, fraudulent inducement, or undue influence exerted by or on behalf of any other Party or any other person or entity.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45" w:name="page46"/>
    <w:bookmarkEnd w:id="45"/>
    <w:p>
      <w:pPr>
        <w:ind w:right="20" w:firstLine="436"/>
        <w:spacing w:after="0" w:line="269" w:lineRule="auto"/>
        <w:tabs>
          <w:tab w:leader="none" w:pos="845"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 in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to cooperate fully with the Company and its counsel with respect to any matter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investigation, government proceedings and general claims) which relates to matters with which he was involved during the term of his employment with the Company, subject to reimbursement of reasonable out-of-pocket travel costs and expenses, and, to the extent Executive is required to spend substantial time on such matters following his service as Senior Advisor, the Company shall agree to compensate Executive for such time at an hourly rate (based on Executive’s annual base salary as of the date hereof, divided by 2080). Further, as noted in Section 15 of this Agreement, the Company incorporates Paragraph 11 of Executive’s Employment Agreement herein, which entitles Executive to continuing rights for indemnification as articulated therein and to the extent permitted under the Company’s insurance and Company policies. Such cooperation may include appearing from time to time at the offices of the Company or its counsel, or telephonically, for conferences and interviews and providing testimony in depositions, court proceedings and administrative hearings as necessary for the Company to defend claims, and in general providing the Company and its counsel with the full benefit of Executive’s knowledge with respect to any such matter. Executive agrees to render such cooperation in a timely fashion and at such times as may be mutually agreeable to the parties concerned.</w:t>
      </w:r>
    </w:p>
    <w:p>
      <w:pPr>
        <w:spacing w:after="0" w:line="182" w:lineRule="exact"/>
        <w:rPr>
          <w:sz w:val="20"/>
          <w:szCs w:val="20"/>
          <w:color w:val="auto"/>
        </w:rPr>
      </w:pPr>
    </w:p>
    <w:p>
      <w:pPr>
        <w:jc w:val="both"/>
        <w:ind w:right="120" w:firstLine="436"/>
        <w:spacing w:after="0" w:line="314" w:lineRule="auto"/>
        <w:tabs>
          <w:tab w:leader="none" w:pos="84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Medicare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based upon a good faith determination of the Parties to resolve a disputed claim. The Parties have not shifted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of medical treatment to Medicare in contravention of 42 U.S.C. Sec. 1395y(b). The Parties resolved this matter in compliance with both state and federal law. The Parties made every effort to adequately protect Medicare’s interest and incorporate such into the terms of this Agreement.</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Executive warrants that he is not a Medicare beneficiary as of the date of this release. Because Executive is not a Medicare recipient as of the date of this release, no conditional payments have been made by Medicare.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While it is impossible to accurately predict the need for medical treatment, this Agreement is based upon a good faith determination of the Parties in order to resolve a disputed claim. The Parties have attempted to resolve this matter in compliance with both state and federal law and it is believed that the terms adequately consider and protect Medicare’s interest and do not reflect any attempt to shift responsibility of treatment to Medicare pursuant to 42 U.S.C. Sec. 1395y(b). The Parties acknowledge and understand that any present or future action or decision by CMS or Medicare on this Agreement, or Executive’s eligibility or entitlement to Medicare or Medicare payments, will not render this release void or ineffective, or in any way affect the finality of this Agreement.</w:t>
      </w:r>
    </w:p>
    <w:p>
      <w:pPr>
        <w:spacing w:after="0" w:line="188" w:lineRule="exact"/>
        <w:rPr>
          <w:sz w:val="20"/>
          <w:szCs w:val="20"/>
          <w:color w:val="auto"/>
        </w:rPr>
      </w:pPr>
    </w:p>
    <w:p>
      <w:pPr>
        <w:ind w:firstLine="436"/>
        <w:spacing w:after="0" w:line="258" w:lineRule="auto"/>
        <w:tabs>
          <w:tab w:leader="none" w:pos="84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is not effective or enforceable until expiration of seven (7) calendar days following Executive’s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The eighth (8th) day following Executive’s execution of the Agreement, if he has not revoked his Agreement within the seven-day revocation period, shall be the “Effective Date” of the Agreement. If Executive revokes his agreement within the seven-day revocation period, this Agreement will not be effective and the Company will have no obligation to comply with the terms herein, including but not limited to the payments under Section 3.</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46" w:name="page47"/>
    <w:bookmarkEnd w:id="46"/>
    <w:p>
      <w:pPr>
        <w:ind w:firstLine="436"/>
        <w:spacing w:after="0" w:line="256" w:lineRule="auto"/>
        <w:tabs>
          <w:tab w:leader="none" w:pos="84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Bring-Down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and conditioned upon the Company’s continued compliance with the terms of this Agreement,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extend (the “Extension”) Executive’s release and waiver of claims hereunder (and the related representations, acknowledgements, and covenants as set forth herein) effective as of the Last Day of Employment (the “Bring-Down Release”), in each case, to include all claims not otherwise excluded from such release arising through and including the Last Day of Employment. The Extension shall be effected by Executive’s re-executing (but not earlier than the Last Day of Employment) the signature page to this Agreement where indicated (such date of re-execution, the “Bring-Down Release Effective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this page is left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7" w:name="page48"/>
    <w:bookmarkEnd w:id="47"/>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CAREFULLY. THIS TRANSITION AND SEPARATION AGREEMENT AND RELEASE INCLUDES A RELEASE OF ALL KNOWN AND UNKNOWN CLAIMS. YOU HAVE 21 DAYS TO CONSIDER THIS AGREEMENT. YOU MAY REVOKE YOUR AGREEMENT WITHIN 7 DAYS OF EXECUTING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reflect their agreement to each of the terms set forth above, the Parties have signed this Agreement as of the dates set forth below.</w:t>
      </w:r>
    </w:p>
    <w:p>
      <w:pPr>
        <w:sectPr>
          <w:pgSz w:w="11900" w:h="16838" w:orient="portrait"/>
          <w:cols w:equalWidth="0" w:num="1">
            <w:col w:w="10980"/>
          </w:cols>
          <w:pgMar w:left="440" w:top="270" w:right="47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21,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21,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A. JENKINS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&amp; BUSTER’S ENTERTAINMENT,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Title: General Counsel, Secretary &amp; SVP of HR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&amp; BUSTER’S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Title: General Counsel, Secretary &amp; SVP of HR</w:t>
      </w:r>
    </w:p>
    <w:p>
      <w:pPr>
        <w:spacing w:after="0" w:line="200" w:lineRule="exact"/>
        <w:rPr>
          <w:sz w:val="20"/>
          <w:szCs w:val="20"/>
          <w:color w:val="auto"/>
        </w:rPr>
      </w:pPr>
    </w:p>
    <w:p>
      <w:pPr>
        <w:sectPr>
          <w:pgSz w:w="11900" w:h="16838" w:orient="portrait"/>
          <w:cols w:equalWidth="0" w:num="2">
            <w:col w:w="5220" w:space="720"/>
            <w:col w:w="5040"/>
          </w:cols>
          <w:pgMar w:left="440" w:top="270" w:right="4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BRING-DOWN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TO BE EXECUTED BEFORE THE LAST DAY OF EMPLOYMENT)</w:t>
      </w:r>
    </w:p>
    <w:p>
      <w:pPr>
        <w:spacing w:after="0" w:line="251"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285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-19050</wp:posOffset>
            </wp:positionV>
            <wp:extent cx="1742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 w:lineRule="exact"/>
        <w:rPr>
          <w:sz w:val="20"/>
          <w:szCs w:val="20"/>
          <w:color w:val="auto"/>
        </w:rPr>
      </w:pPr>
    </w:p>
    <w:p>
      <w:pPr>
        <w:jc w:val="right"/>
        <w:ind w:right="3620"/>
        <w:spacing w:after="0"/>
        <w:rPr>
          <w:sz w:val="20"/>
          <w:szCs w:val="20"/>
          <w:color w:val="auto"/>
        </w:rPr>
      </w:pPr>
      <w:r>
        <w:rPr>
          <w:rFonts w:ascii="Arial" w:cs="Arial" w:eastAsia="Arial" w:hAnsi="Arial"/>
          <w:sz w:val="18"/>
          <w:szCs w:val="18"/>
          <w:b w:val="1"/>
          <w:bCs w:val="1"/>
          <w:color w:val="auto"/>
        </w:rPr>
        <w:t>BRIAN A. JENKINS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type w:val="continuous"/>
        </w:sectPr>
      </w:pPr>
    </w:p>
    <w:bookmarkStart w:id="48" w:name="page49"/>
    <w:bookmarkEnd w:id="48"/>
    <w:p>
      <w:pPr>
        <w:jc w:val="center"/>
        <w:ind w:righ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u w:val="single" w:color="auto"/>
          <w:color w:val="auto"/>
        </w:rPr>
        <w:t>TREATMENT UNDER EQUITY AGREEMENTS</w:t>
      </w:r>
    </w:p>
    <w:p>
      <w:pPr>
        <w:spacing w:after="0" w:line="225" w:lineRule="exact"/>
        <w:rPr>
          <w:sz w:val="20"/>
          <w:szCs w:val="20"/>
          <w:color w:val="auto"/>
        </w:rPr>
      </w:pPr>
    </w:p>
    <w:p>
      <w:pPr>
        <w:jc w:val="center"/>
        <w:ind w:right="380"/>
        <w:spacing w:after="0" w:line="263" w:lineRule="auto"/>
        <w:rPr>
          <w:sz w:val="20"/>
          <w:szCs w:val="20"/>
          <w:color w:val="auto"/>
        </w:rPr>
      </w:pPr>
      <w:r>
        <w:rPr>
          <w:rFonts w:ascii="Arial" w:cs="Arial" w:eastAsia="Arial" w:hAnsi="Arial"/>
          <w:sz w:val="18"/>
          <w:szCs w:val="18"/>
          <w:u w:val="single" w:color="auto"/>
          <w:color w:val="auto"/>
        </w:rPr>
        <w:t>The below sets forth the treatment in accordance with the existing terms of Executive’s outstanding Equity Agreements that apply in the event of a “termination without cause” or “retirement” after age 60 (as applicable)</w:t>
      </w:r>
    </w:p>
    <w:p>
      <w:pPr>
        <w:spacing w:after="0" w:line="89" w:lineRule="exact"/>
        <w:rPr>
          <w:sz w:val="20"/>
          <w:szCs w:val="20"/>
          <w:color w:val="auto"/>
        </w:rPr>
      </w:pPr>
    </w:p>
    <w:p>
      <w:pPr>
        <w:ind w:left="540" w:right="10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Executive’s June 2018 RSU grant, Executive will receive a pro-rata share of the 16,795 original RSU award (pro-rated through his Last Day of Employment);</w:t>
      </w:r>
    </w:p>
    <w:p>
      <w:pPr>
        <w:spacing w:after="0" w:line="75"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Executive’s 2020 RSU grant, Executive will receive accelerated vesting of the rest of the original award amount at the time the next vesting tranche is settled for similarly situated executives, which is expected to be in or around May of 2022;</w:t>
      </w:r>
    </w:p>
    <w:p>
      <w:pPr>
        <w:spacing w:after="0" w:line="75" w:lineRule="exact"/>
        <w:rPr>
          <w:rFonts w:ascii="Arial" w:cs="Arial" w:eastAsia="Arial" w:hAnsi="Arial"/>
          <w:sz w:val="18"/>
          <w:szCs w:val="18"/>
          <w:color w:val="auto"/>
        </w:rPr>
      </w:pPr>
    </w:p>
    <w:p>
      <w:pPr>
        <w:ind w:left="540" w:right="72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Executive’s 2020 MSU grant, Executive will receive accelerated vesting of the rest of the full earned award amount, to be accelerated and settled within 30 days of separation;</w:t>
      </w:r>
    </w:p>
    <w:p>
      <w:pPr>
        <w:spacing w:after="0" w:line="75"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Executive’s 2021 April MSU award, Executive will receive a pro-rated portion of the earned award (pro-rated through his Last Day of Employment), to be settled after the performance period concludes in or around April of 2024.</w:t>
      </w:r>
    </w:p>
    <w:p>
      <w:pPr>
        <w:spacing w:after="0" w:line="7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Executive’s 2021 April PSU award, Executive will receive a pro-rated portion of the earned award (pro-rated through his Last Day of Employment), to be settled after the performance period concludes in or around April of 2022.</w:t>
      </w:r>
    </w:p>
    <w:p>
      <w:pPr>
        <w:spacing w:after="0" w:line="75"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will receive continued vesting following his separation of both his April 2019 stock options and the remainder of his 2021 RSU grant.</w:t>
      </w:r>
    </w:p>
    <w:p>
      <w:pPr>
        <w:spacing w:after="0" w:line="75"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all outstanding vested and unvested options, instead of having to exercise them within 90 days of separation, Executive’s will have the full original terms (10 years from date of grant) to exercise them.</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60" w:top="270" w:right="4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471170" cy="4718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1170" cy="4718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944"/>
        <w:spacing w:after="0"/>
        <w:rPr>
          <w:sz w:val="20"/>
          <w:szCs w:val="20"/>
          <w:color w:val="auto"/>
        </w:rPr>
      </w:pPr>
      <w:r>
        <w:rPr>
          <w:rFonts w:ascii="Arial" w:cs="Arial" w:eastAsia="Arial" w:hAnsi="Arial"/>
          <w:sz w:val="18"/>
          <w:szCs w:val="18"/>
          <w:b w:val="1"/>
          <w:bCs w:val="1"/>
          <w:color w:val="auto"/>
        </w:rPr>
        <w:t>Robert W. Edmund</w:t>
      </w:r>
    </w:p>
    <w:p>
      <w:pPr>
        <w:spacing w:after="0" w:line="27" w:lineRule="exact"/>
        <w:rPr>
          <w:sz w:val="20"/>
          <w:szCs w:val="20"/>
          <w:color w:val="auto"/>
        </w:rPr>
      </w:pPr>
    </w:p>
    <w:p>
      <w:pPr>
        <w:ind w:left="7944"/>
        <w:spacing w:after="0"/>
        <w:rPr>
          <w:sz w:val="20"/>
          <w:szCs w:val="20"/>
          <w:color w:val="auto"/>
        </w:rPr>
      </w:pPr>
      <w:r>
        <w:rPr>
          <w:rFonts w:ascii="Arial" w:cs="Arial" w:eastAsia="Arial" w:hAnsi="Arial"/>
          <w:sz w:val="18"/>
          <w:szCs w:val="18"/>
          <w:color w:val="auto"/>
        </w:rPr>
        <w:t>General Counsel &amp; SVP of HR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21,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Via Hand Delivery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Kevin M. Sheehan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 Board of Directors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Dave &amp; Buster’s Entertainment, Inc.</w:t>
      </w:r>
    </w:p>
    <w:p>
      <w:pPr>
        <w:spacing w:after="0" w:line="238"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Appointment as Interim CEO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Kevin:</w:t>
      </w:r>
    </w:p>
    <w:p>
      <w:pPr>
        <w:spacing w:after="0" w:line="22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sets forth our mutual understandings and agreements regarding your appointment, effective October 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as Interim Chief Executive Officer (“</w:t>
      </w:r>
      <w:r>
        <w:rPr>
          <w:rFonts w:ascii="Arial" w:cs="Arial" w:eastAsia="Arial" w:hAnsi="Arial"/>
          <w:sz w:val="18"/>
          <w:szCs w:val="18"/>
          <w:u w:val="single" w:color="auto"/>
          <w:color w:val="auto"/>
        </w:rPr>
        <w:t>Interim CEO</w:t>
      </w:r>
      <w:r>
        <w:rPr>
          <w:rFonts w:ascii="Arial" w:cs="Arial" w:eastAsia="Arial" w:hAnsi="Arial"/>
          <w:sz w:val="18"/>
          <w:szCs w:val="18"/>
          <w:color w:val="auto"/>
        </w:rPr>
        <w:t>”) of Dave &amp; Buster’s Management Corporation, Inc., a Delaware corporation (“</w:t>
      </w:r>
      <w:r>
        <w:rPr>
          <w:rFonts w:ascii="Arial" w:cs="Arial" w:eastAsia="Arial" w:hAnsi="Arial"/>
          <w:sz w:val="18"/>
          <w:szCs w:val="18"/>
          <w:u w:val="single" w:color="auto"/>
          <w:color w:val="auto"/>
        </w:rPr>
        <w:t>D&amp;B Management</w:t>
      </w:r>
      <w:r>
        <w:rPr>
          <w:rFonts w:ascii="Arial" w:cs="Arial" w:eastAsia="Arial" w:hAnsi="Arial"/>
          <w:sz w:val="18"/>
          <w:szCs w:val="18"/>
          <w:color w:val="auto"/>
        </w:rPr>
        <w:t>”), and Dave &amp; Buster’s Entertainment, Inc., a Delaware corporation (“</w:t>
      </w:r>
      <w:r>
        <w:rPr>
          <w:rFonts w:ascii="Arial" w:cs="Arial" w:eastAsia="Arial" w:hAnsi="Arial"/>
          <w:sz w:val="18"/>
          <w:szCs w:val="18"/>
          <w:u w:val="single" w:color="auto"/>
          <w:color w:val="auto"/>
        </w:rPr>
        <w:t>D&amp;B</w:t>
      </w:r>
      <w:r>
        <w:rPr>
          <w:rFonts w:ascii="Arial" w:cs="Arial" w:eastAsia="Arial" w:hAnsi="Arial"/>
          <w:sz w:val="18"/>
          <w:szCs w:val="18"/>
          <w:color w:val="auto"/>
        </w:rPr>
        <w:t>”), in addition to also serving as the Chairman of the Board of Directors of D&amp;B (the “</w:t>
      </w:r>
      <w:r>
        <w:rPr>
          <w:rFonts w:ascii="Arial" w:cs="Arial" w:eastAsia="Arial" w:hAnsi="Arial"/>
          <w:sz w:val="18"/>
          <w:szCs w:val="18"/>
          <w:u w:val="single" w:color="auto"/>
          <w:color w:val="auto"/>
        </w:rPr>
        <w:t>Board</w:t>
      </w:r>
      <w:r>
        <w:rPr>
          <w:rFonts w:ascii="Arial" w:cs="Arial" w:eastAsia="Arial" w:hAnsi="Arial"/>
          <w:sz w:val="18"/>
          <w:szCs w:val="18"/>
          <w:color w:val="auto"/>
        </w:rPr>
        <w:t>”). D&amp;B Management and D&amp;B are collectively referred to below as the “</w:t>
      </w:r>
      <w:r>
        <w:rPr>
          <w:rFonts w:ascii="Arial" w:cs="Arial" w:eastAsia="Arial" w:hAnsi="Arial"/>
          <w:sz w:val="18"/>
          <w:szCs w:val="18"/>
          <w:u w:val="single" w:color="auto"/>
          <w:color w:val="auto"/>
        </w:rPr>
        <w:t>Company</w:t>
      </w:r>
      <w:r>
        <w:rPr>
          <w:rFonts w:ascii="Arial" w:cs="Arial" w:eastAsia="Arial" w:hAnsi="Arial"/>
          <w:sz w:val="18"/>
          <w:szCs w:val="18"/>
          <w:color w:val="auto"/>
        </w:rPr>
        <w:t>.” D&amp;B Management, D&amp;B and you are collectively referred to below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consideration of the promises below, the sufficiency of which all Parties acknowledge, D&amp;B, D&amp;B Management, and you agree as follows:</w:t>
      </w:r>
    </w:p>
    <w:p>
      <w:pPr>
        <w:spacing w:after="0" w:line="237" w:lineRule="exact"/>
        <w:rPr>
          <w:sz w:val="20"/>
          <w:szCs w:val="20"/>
          <w:color w:val="auto"/>
        </w:rPr>
      </w:pPr>
    </w:p>
    <w:p>
      <w:pPr>
        <w:jc w:val="both"/>
        <w:ind w:left="4" w:right="160" w:hanging="4"/>
        <w:spacing w:after="0" w:line="284" w:lineRule="auto"/>
        <w:tabs>
          <w:tab w:leader="none" w:pos="36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Title; Duties; Term</w:t>
      </w:r>
      <w:r>
        <w:rPr>
          <w:rFonts w:ascii="Arial" w:cs="Arial" w:eastAsia="Arial" w:hAnsi="Arial"/>
          <w:sz w:val="16"/>
          <w:szCs w:val="16"/>
          <w:color w:val="auto"/>
        </w:rPr>
        <w:t>. You agree to serve as Interim CEO, and shall perform those duties that are customarily associated with the position of Interim CEO. This Agreement shall be in effect until the earlier of (i) the appointment of a permanent Chief Executive Officer of the Company or (ii) June 30, 2022, unless earlier terminated as provided below. During the course of your employment, you will devote your full business time and best efforts and abilities to the performance of your duties for the Company. You will comply with all applicable laws and all of the Company’s and its affiliates’ then-current policies and procedures. So long as you comply with the terms and provisions of D&amp;B’s Code of Business Ethics, as the same may be revised from time-to-time and your activities do not interfere with your obligations to the Company, then, during the term of your employment you may:</w:t>
      </w:r>
    </w:p>
    <w:p>
      <w:pPr>
        <w:spacing w:after="0" w:line="4"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(x) engage in charitable, civic, fraternal and professional activities and (y) manage personal investments; provided that you disclose any conflicts of interest that cause your personal endeavors to be in material conflict with the business of the Company and/or its affiliates. You may not serve on the board of directors of any national charitable, civic or fraternal organization, any privately owned business, or any publicly-traded company without the prior written approval of the Board of Directors of D&amp;B, in its sole discretion, and then only to the extent that any such enterprise does not compete with the Company or its affiliates. Your existing memberships on boards of directors as of the Effective Date as previously disclosed to the Company are deemed approved.</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AVE</w:t>
      </w:r>
      <w:r>
        <w:rPr>
          <w:rFonts w:ascii="Arial" w:cs="Arial" w:eastAsia="Arial" w:hAnsi="Arial"/>
          <w:sz w:val="18"/>
          <w:szCs w:val="18"/>
          <w:color w:val="auto"/>
        </w:rPr>
        <w:t xml:space="preserve"> &amp; B</w:t>
      </w:r>
      <w:r>
        <w:rPr>
          <w:rFonts w:ascii="Arial" w:cs="Arial" w:eastAsia="Arial" w:hAnsi="Arial"/>
          <w:sz w:val="14"/>
          <w:szCs w:val="14"/>
          <w:color w:val="auto"/>
        </w:rPr>
        <w:t>USTER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E</w:t>
      </w:r>
      <w:r>
        <w:rPr>
          <w:rFonts w:ascii="Arial" w:cs="Arial" w:eastAsia="Arial" w:hAnsi="Arial"/>
          <w:sz w:val="14"/>
          <w:szCs w:val="14"/>
          <w:color w:val="auto"/>
        </w:rPr>
        <w:t>NTERTAINMENT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2481 M</w:t>
      </w:r>
      <w:r>
        <w:rPr>
          <w:rFonts w:ascii="Arial" w:cs="Arial" w:eastAsia="Arial" w:hAnsi="Arial"/>
          <w:sz w:val="14"/>
          <w:szCs w:val="14"/>
          <w:color w:val="auto"/>
        </w:rPr>
        <w:t>ANANA</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 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75220-1203 • (214) 357-9588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daveandbusters.com •</w:t>
      </w:r>
    </w:p>
    <w:p>
      <w:pPr>
        <w:sectPr>
          <w:pgSz w:w="11900" w:h="16838" w:orient="portrait"/>
          <w:cols w:equalWidth="0" w:num="1">
            <w:col w:w="11024"/>
          </w:cols>
          <w:pgMar w:left="436" w:top="121" w:right="439" w:bottom="1440" w:gutter="0" w:footer="0" w:header="0"/>
        </w:sectPr>
      </w:pPr>
    </w:p>
    <w:bookmarkStart w:id="50" w:name="page51"/>
    <w:bookmarkEnd w:id="50"/>
    <w:p>
      <w:pPr>
        <w:ind w:left="4" w:right="60" w:hanging="4"/>
        <w:spacing w:after="0" w:line="259"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and Benefits</w:t>
      </w:r>
      <w:r>
        <w:rPr>
          <w:rFonts w:ascii="Arial" w:cs="Arial" w:eastAsia="Arial" w:hAnsi="Arial"/>
          <w:sz w:val="18"/>
          <w:szCs w:val="18"/>
          <w:color w:val="auto"/>
        </w:rPr>
        <w:t>. During the term of this Agreement, in lieu of any compensation that would otherwise be payable to you in your capacity as a member of the Board of Directors of D&amp;B (which shall cease and be suspended during the period in which he serves as Interim CEO, except for continued vesting of previously granted restricted stock units and cash compensation already paid for the current fiscal quarter), you will receive the following compensation and benefits in consideration of your service as Interim CEO:</w:t>
      </w:r>
    </w:p>
    <w:p>
      <w:pPr>
        <w:spacing w:after="0" w:line="79"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receive a base salary at an annual rate of $780,000. The base salary will be paid bi-weekly on regularly scheduled paydays determined by the Company.</w:t>
      </w:r>
    </w:p>
    <w:p>
      <w:pPr>
        <w:spacing w:after="0" w:line="62" w:lineRule="exact"/>
        <w:rPr>
          <w:sz w:val="20"/>
          <w:szCs w:val="20"/>
          <w:color w:val="auto"/>
        </w:rPr>
      </w:pPr>
    </w:p>
    <w:p>
      <w:pPr>
        <w:ind w:left="444" w:right="260"/>
        <w:spacing w:after="0" w:line="301" w:lineRule="auto"/>
        <w:rPr>
          <w:sz w:val="20"/>
          <w:szCs w:val="20"/>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You will be eligible to receive an annual bonus as approved by the Board and, if so approved, as determined by the Company based upon the attainment Company goals during the fiscal year set forth in the bonus plan approved by the Board of Directors of D&amp;B Management, payable in accordance with such bonus plan. Your individual participation percentage in the bonus plan is equal to 100% of your base salary for the fiscal year. Any earned bonus shall be pro-rated to reflect the elapsed time you served as Interim CEO.</w:t>
      </w:r>
    </w:p>
    <w:p>
      <w:pPr>
        <w:spacing w:after="0" w:line="49" w:lineRule="exact"/>
        <w:rPr>
          <w:sz w:val="20"/>
          <w:szCs w:val="20"/>
          <w:color w:val="auto"/>
        </w:rPr>
      </w:pPr>
    </w:p>
    <w:p>
      <w:pPr>
        <w:jc w:val="both"/>
        <w:ind w:left="444" w:right="160"/>
        <w:spacing w:after="0" w:line="342" w:lineRule="auto"/>
        <w:rPr>
          <w:sz w:val="20"/>
          <w:szCs w:val="20"/>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As of the Effective Date, you shall be awarded under the Company’s Amended and Restated 2014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special one-time grants of time-based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and performance-based restricted stock units (“</w:t>
      </w:r>
      <w:r>
        <w:rPr>
          <w:rFonts w:ascii="Arial" w:cs="Arial" w:eastAsia="Arial" w:hAnsi="Arial"/>
          <w:sz w:val="16"/>
          <w:szCs w:val="16"/>
          <w:u w:val="single" w:color="auto"/>
          <w:color w:val="auto"/>
        </w:rPr>
        <w:t>PSUs</w:t>
      </w:r>
      <w:r>
        <w:rPr>
          <w:rFonts w:ascii="Arial" w:cs="Arial" w:eastAsia="Arial" w:hAnsi="Arial"/>
          <w:sz w:val="16"/>
          <w:szCs w:val="16"/>
          <w:color w:val="auto"/>
        </w:rPr>
        <w:t>”) as follows:</w:t>
      </w:r>
    </w:p>
    <w:p>
      <w:pPr>
        <w:spacing w:after="0" w:line="16" w:lineRule="exact"/>
        <w:rPr>
          <w:sz w:val="20"/>
          <w:szCs w:val="20"/>
          <w:color w:val="auto"/>
        </w:rPr>
      </w:pPr>
    </w:p>
    <w:p>
      <w:pPr>
        <w:ind w:left="444" w:right="80" w:firstLine="419"/>
        <w:spacing w:after="0" w:line="279" w:lineRule="auto"/>
        <w:tabs>
          <w:tab w:leader="none" w:pos="12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RSUs with respect to a number of shares of D&amp;B common stock equal to $2,000,000 divided by the closing price of a share of D&amp;B common stock on the date of execution of this Agreement. Such RSUs shall cliff vest upon the earliest to occur of (x) the first anniversary of the Effective Date, (y) the commencement date of employment of the permanent Chief Executive Officer of the Company (other than you), or (z) the termination of your employment as Interim CEO in connection with a Change in Control (as defined in the Plan).</w:t>
      </w:r>
    </w:p>
    <w:p>
      <w:pPr>
        <w:spacing w:after="0" w:line="63" w:lineRule="exact"/>
        <w:rPr>
          <w:rFonts w:ascii="Arial" w:cs="Arial" w:eastAsia="Arial" w:hAnsi="Arial"/>
          <w:sz w:val="17"/>
          <w:szCs w:val="17"/>
          <w:color w:val="auto"/>
        </w:rPr>
      </w:pPr>
    </w:p>
    <w:p>
      <w:pPr>
        <w:ind w:left="444" w:firstLine="419"/>
        <w:spacing w:after="0" w:line="263" w:lineRule="auto"/>
        <w:tabs>
          <w:tab w:leader="none" w:pos="12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PSUs with respect to up to 20,000 shares of D&amp;B common stock. The PSUs will be subject to a one-year performance period and shall be earned upon the achievement of specified stock price levels and vesting terms to be established by the Compensation Committee of the Board of Directors of D&amp;B.</w:t>
      </w:r>
    </w:p>
    <w:p>
      <w:pPr>
        <w:spacing w:after="0" w:line="75" w:lineRule="exact"/>
        <w:rPr>
          <w:rFonts w:ascii="Arial" w:cs="Arial" w:eastAsia="Arial" w:hAnsi="Arial"/>
          <w:sz w:val="18"/>
          <w:szCs w:val="18"/>
          <w:color w:val="auto"/>
        </w:rPr>
      </w:pPr>
    </w:p>
    <w:p>
      <w:pPr>
        <w:ind w:left="444" w:right="260" w:firstLine="419"/>
        <w:spacing w:after="0" w:line="286" w:lineRule="auto"/>
        <w:tabs>
          <w:tab w:leader="none" w:pos="11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RSUs and PSUs shall otherwise be subject to the terms of the Plan and the customary form of award agreement approved by the Committee (as defined in the Plan), with the same terms relating to forfeiture upon resignation, death, disability, for cause termination, and termination for any other reason as were included in the Company’s FY 2021 RSU and PSU Award Agreements.</w:t>
      </w:r>
    </w:p>
    <w:p>
      <w:pPr>
        <w:spacing w:after="0" w:line="57" w:lineRule="exact"/>
        <w:rPr>
          <w:sz w:val="20"/>
          <w:szCs w:val="20"/>
          <w:color w:val="auto"/>
        </w:rPr>
      </w:pPr>
    </w:p>
    <w:p>
      <w:pPr>
        <w:ind w:left="444" w:right="480"/>
        <w:spacing w:after="0" w:line="277" w:lineRule="auto"/>
        <w:rPr>
          <w:sz w:val="20"/>
          <w:szCs w:val="20"/>
          <w:color w:val="auto"/>
        </w:rPr>
      </w:pPr>
      <w:r>
        <w:rPr>
          <w:rFonts w:ascii="Arial" w:cs="Arial" w:eastAsia="Arial" w:hAnsi="Arial"/>
          <w:sz w:val="18"/>
          <w:szCs w:val="18"/>
          <w:u w:val="single" w:color="auto"/>
          <w:color w:val="auto"/>
        </w:rPr>
        <w:t>Retirement and Welfare Plans</w:t>
      </w:r>
      <w:r>
        <w:rPr>
          <w:rFonts w:ascii="Arial" w:cs="Arial" w:eastAsia="Arial" w:hAnsi="Arial"/>
          <w:sz w:val="18"/>
          <w:szCs w:val="18"/>
          <w:color w:val="auto"/>
        </w:rPr>
        <w:t>. You shall be eligible to participate in any profit sharing, qualified and nonqualified retirement plans, and any health, life, accident, disability</w:t>
      </w:r>
    </w:p>
    <w:p>
      <w:pPr>
        <w:sectPr>
          <w:pgSz w:w="11900" w:h="16838" w:orient="portrait"/>
          <w:cols w:equalWidth="0" w:num="1">
            <w:col w:w="10984"/>
          </w:cols>
          <w:pgMar w:left="436" w:top="274" w:right="479" w:bottom="1440" w:gutter="0" w:footer="0" w:header="0"/>
        </w:sectPr>
      </w:pPr>
    </w:p>
    <w:bookmarkStart w:id="51" w:name="page52"/>
    <w:bookmarkEnd w:id="51"/>
    <w:p>
      <w:pPr>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 sick leave, or other benefit plans or programs made available to similarly situated employees of the Company as of the Effective Date, as may be amended, supplemented or modified from time to time as long as they are kept in force by the Company and provided that you meet the eligibility requirements of the respective plans. Nothing contained herein shall limit the right of the Company, in its sole and absolute discretion, to modify, amend or discontinue any of the plans.</w:t>
      </w:r>
    </w:p>
    <w:p>
      <w:pPr>
        <w:spacing w:after="0" w:line="79"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Subject to the Company’s generally applicable policies relating to vacations, you shall be entitled to paid vacation commensurate with the Company’s policy for senior management and your position and tenure with the Company.</w:t>
      </w:r>
    </w:p>
    <w:p>
      <w:pPr>
        <w:spacing w:after="0" w:line="62" w:lineRule="exact"/>
        <w:rPr>
          <w:sz w:val="20"/>
          <w:szCs w:val="20"/>
          <w:color w:val="auto"/>
        </w:rPr>
      </w:pPr>
    </w:p>
    <w:p>
      <w:pPr>
        <w:ind w:left="444" w:right="340"/>
        <w:spacing w:after="0" w:line="286" w:lineRule="auto"/>
        <w:rPr>
          <w:sz w:val="20"/>
          <w:szCs w:val="20"/>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Company will reimburse you for your commuting expenses and reasonable housing expenses (either a maximum of three days per week at a hotel mutually agreed with the Company and meals, or a standard corporate apartment lease). The Parties shall use their commercially reasonable efforts to structure the foregoing arrangements on a tax neutral basis to you.</w:t>
      </w:r>
    </w:p>
    <w:p>
      <w:pPr>
        <w:spacing w:after="0" w:line="57"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you for all reasonable business expenses incurred by you in connection with the performance of your duties under this Agreement, in each case subject to the Company’s then current policies and procedures. Any expenses, including commuting and Other Benefits described in the prior paragraph, over $15,000 in a given month must be pre-approved by the Company’s Lead Independent Director.</w:t>
      </w:r>
    </w:p>
    <w:p>
      <w:pPr>
        <w:spacing w:after="0" w:line="187" w:lineRule="exact"/>
        <w:rPr>
          <w:sz w:val="20"/>
          <w:szCs w:val="20"/>
          <w:color w:val="auto"/>
        </w:rPr>
      </w:pPr>
    </w:p>
    <w:p>
      <w:pPr>
        <w:ind w:left="4" w:right="40" w:hanging="4"/>
        <w:spacing w:after="0" w:line="268" w:lineRule="auto"/>
        <w:tabs>
          <w:tab w:leader="none" w:pos="18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During the term of this Agreement, D&amp;B, any subsidiary and any successor to any of the foregoing (the “</w:t>
      </w:r>
      <w:r>
        <w:rPr>
          <w:rFonts w:ascii="Arial" w:cs="Arial" w:eastAsia="Arial" w:hAnsi="Arial"/>
          <w:sz w:val="17"/>
          <w:szCs w:val="17"/>
          <w:u w:val="single" w:color="auto"/>
          <w:color w:val="auto"/>
        </w:rPr>
        <w:t>Company Group</w:t>
      </w:r>
      <w:r>
        <w:rPr>
          <w:rFonts w:ascii="Arial" w:cs="Arial" w:eastAsia="Arial" w:hAnsi="Arial"/>
          <w:sz w:val="17"/>
          <w:szCs w:val="17"/>
          <w:color w:val="auto"/>
        </w:rPr>
        <w:t>”) agrees to continue to provide, and you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you agree to maintain in strict confidence and shall not disclose to third parties or use in any task, work or business (except on behalf of the Company Group) any proprietary or confidential information regarding the Company Group and/or your work with the Company Group, including, without limitation, trade secrets, current and future business plans, customers, customer lists, customer information, vendors, vendor lists, vendor information, employees, employee information, sales, purchasing, pricing determinations, price points, internal and external cost structures, operations, marketing, financial and other business strategies, positioning of stores, information and plans, products and services, games and amusement, development of 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Arial" w:cs="Arial" w:eastAsia="Arial" w:hAnsi="Arial"/>
          <w:sz w:val="17"/>
          <w:szCs w:val="17"/>
          <w:u w:val="single" w:color="auto"/>
          <w:color w:val="auto"/>
        </w:rPr>
        <w:t>Confidential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without the express written permission of the Board. Your confidentiality obligation in this paragraph shall include, but not be limited to, any Confidential Information to which the you have access to, had access to, will have access to, receives, or received in connection with your employment by Company Group, and any information designated as confidential by the Company Group. Notwithstanding the foregoing, the term Confidential Information shall not include</w:t>
      </w:r>
    </w:p>
    <w:p>
      <w:pPr>
        <w:sectPr>
          <w:pgSz w:w="11900" w:h="16838" w:orient="portrait"/>
          <w:cols w:equalWidth="0" w:num="1">
            <w:col w:w="10984"/>
          </w:cols>
          <w:pgMar w:left="436" w:top="274" w:right="479" w:bottom="1440" w:gutter="0" w:footer="0" w:header="0"/>
        </w:sectPr>
      </w:pPr>
    </w:p>
    <w:bookmarkStart w:id="52" w:name="page53"/>
    <w:bookmarkEnd w:id="52"/>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that (i) is publicly disclosed through no fault of you, either before or after it becomes known to you, (ii) was known to you prior to the date of this Agreement, which knowledge was acquired independently and not from the Company Group or its directors or employees or (iii) became available to you on a non-confidential basis from a source other than the Company Group, provided such source is not bound by a confidentiality agreement with or other contractual, legal or fiduciary obligation of confidentiality to the Company Group or any other party with respect to such information. The Company Group and you acknowledge and agree that the Confidential Information is continually evolving and changing and that some new Confidential Information will be needed by you and provided by the Company Group for the first time in the course of the term of this Agreement. You expressly acknowledge the trade secret status of the Confidential Information and agree that your access to such Confidential Information constitutes a protectable business interest of the Company Group. Notwithstanding the foregoing restrictions, you may disclose any Confidential Information (a) to your legal advisors subject to such advisor’s agreement to maintain the information as confidential, (b) to the extent required for your enforcement of your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w:t>
      </w:r>
    </w:p>
    <w:p>
      <w:pPr>
        <w:spacing w:after="0" w:line="186" w:lineRule="exact"/>
        <w:rPr>
          <w:sz w:val="20"/>
          <w:szCs w:val="20"/>
          <w:color w:val="auto"/>
        </w:rPr>
      </w:pPr>
    </w:p>
    <w:p>
      <w:pPr>
        <w:ind w:left="4" w:right="180" w:hanging="4"/>
        <w:spacing w:after="0" w:line="293" w:lineRule="auto"/>
        <w:tabs>
          <w:tab w:leader="none" w:pos="18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Acknowledgment of the Company Group’s Right In Work Product</w:t>
      </w:r>
      <w:r>
        <w:rPr>
          <w:rFonts w:ascii="Arial" w:cs="Arial" w:eastAsia="Arial" w:hAnsi="Arial"/>
          <w:sz w:val="16"/>
          <w:szCs w:val="16"/>
          <w:color w:val="auto"/>
        </w:rPr>
        <w:t>. During the term of this Agreement, you will create, develop and contribute for consideration certain ideas, plans, calculations, technical specifications, works of authorship, inventions, information, data, formulas, models, reports, processes, photographs, marks, designs, computer code, concepts and/or other proprietary materials to the Company Group related to the operation or promotion of the business of the Company Group (collectively, the “</w:t>
      </w:r>
      <w:r>
        <w:rPr>
          <w:rFonts w:ascii="Arial" w:cs="Arial" w:eastAsia="Arial" w:hAnsi="Arial"/>
          <w:sz w:val="16"/>
          <w:szCs w:val="16"/>
          <w:u w:val="single" w:color="auto"/>
          <w:color w:val="auto"/>
        </w:rPr>
        <w:t>Work</w:t>
      </w:r>
      <w:r>
        <w:rPr>
          <w:rFonts w:ascii="Arial" w:cs="Arial" w:eastAsia="Arial" w:hAnsi="Arial"/>
          <w:sz w:val="16"/>
          <w:szCs w:val="16"/>
          <w:color w:val="auto"/>
        </w:rPr>
        <w:t>”). All of the Work is, was and shall hereafter be, a commissioned “work for hire” owned by the Company Group within the meaning of Title 17, Section 101 of the United States Code, as amended. You agree that all Work is created or developed for the sole use of the Company Group, and that you have no right to market in any manner whatsoever any such Work.</w:t>
      </w:r>
    </w:p>
    <w:p>
      <w:pPr>
        <w:spacing w:after="0" w:line="164"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5</w:t>
      </w:r>
      <w:r>
        <w:rPr>
          <w:rFonts w:ascii="Arial" w:cs="Arial" w:eastAsia="Arial" w:hAnsi="Arial"/>
          <w:sz w:val="17"/>
          <w:szCs w:val="17"/>
          <w:u w:val="single" w:color="auto"/>
          <w:color w:val="auto"/>
        </w:rPr>
        <w:t>. Noncompete</w:t>
      </w:r>
      <w:r>
        <w:rPr>
          <w:rFonts w:ascii="Arial" w:cs="Arial" w:eastAsia="Arial" w:hAnsi="Arial"/>
          <w:sz w:val="17"/>
          <w:szCs w:val="17"/>
          <w:color w:val="auto"/>
        </w:rPr>
        <w:t>. To protect the Company Group’s interest in its Confidential Information, contacts and relationships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your employment under this Agreement, you agree and covenant that during the term of this Agreement and for a time period equal to the time of your service as Interim CEO following your termination for any reason under this Agreement (including, without limitation, your resignation (the “</w:t>
      </w:r>
      <w:r>
        <w:rPr>
          <w:rFonts w:ascii="Arial" w:cs="Arial" w:eastAsia="Arial" w:hAnsi="Arial"/>
          <w:sz w:val="17"/>
          <w:szCs w:val="17"/>
          <w:u w:val="single" w:color="auto"/>
          <w:color w:val="auto"/>
        </w:rPr>
        <w:t>Non-Compete Period”</w:t>
      </w:r>
      <w:r>
        <w:rPr>
          <w:rFonts w:ascii="Arial" w:cs="Arial" w:eastAsia="Arial" w:hAnsi="Arial"/>
          <w:sz w:val="17"/>
          <w:szCs w:val="17"/>
          <w:color w:val="auto"/>
        </w:rPr>
        <w:t>), you shall not directly or indirectly, for yourself or others, within the United States or Canada, 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 employee, officer, director, advisor, agent, equityholder, consultant or independent contractor (whether or not compensated for any of the foregoing); provided, however, that you may own an investment interest of less than 2% in a</w:t>
      </w:r>
    </w:p>
    <w:p>
      <w:pPr>
        <w:sectPr>
          <w:pgSz w:w="11900" w:h="16838" w:orient="portrait"/>
          <w:cols w:equalWidth="0" w:num="1">
            <w:col w:w="11004"/>
          </w:cols>
          <w:pgMar w:left="436" w:top="274" w:right="459" w:bottom="1440" w:gutter="0" w:footer="0" w:header="0"/>
        </w:sectPr>
      </w:pPr>
    </w:p>
    <w:bookmarkStart w:id="53" w:name="page54"/>
    <w:bookmarkEnd w:id="53"/>
    <w:p>
      <w:pPr>
        <w:ind w:left="4"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publicly-traded company. As used in this Agreement, “Competitive Business” shall mean the owners or operators of venues in either the United States or Canada that combine a dining offering with games, entertainment, sports attractions or sports viewing, but shall not include (x) dining establishments that derive less than 20% of their aggregate revenues from games, entertainment and sports attractions and have not highlighted sports viewing as a core offering in their consumer marketing or (y) entertainment concepts that derive less than 20% of their aggregate revenues from dining operations. For the avoidance of doubt, Competitive Business shall include, without limitation, the companies identified in Appendix A to the minutes of the Company’s compensation committee meeting whereby the Company’s standard-form executive employment agreements were approved.</w:t>
      </w:r>
    </w:p>
    <w:p>
      <w:pPr>
        <w:spacing w:after="0" w:line="164" w:lineRule="exact"/>
        <w:rPr>
          <w:sz w:val="20"/>
          <w:szCs w:val="20"/>
          <w:color w:val="auto"/>
        </w:rPr>
      </w:pPr>
    </w:p>
    <w:p>
      <w:pPr>
        <w:ind w:left="4" w:hanging="4"/>
        <w:spacing w:after="0" w:line="286" w:lineRule="auto"/>
        <w:tabs>
          <w:tab w:leader="none" w:pos="18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Non-Solicitation and Non-Hire</w:t>
      </w:r>
      <w:r>
        <w:rPr>
          <w:rFonts w:ascii="Arial" w:cs="Arial" w:eastAsia="Arial" w:hAnsi="Arial"/>
          <w:sz w:val="16"/>
          <w:szCs w:val="16"/>
          <w:color w:val="auto"/>
        </w:rPr>
        <w:t>. Additionally, during the term of this Agreement and for a period of twelve (12) months from the termination of this Agreement for any reason (the “Non-Solicitation and Non-Hire Period”), you shall not, directly or indirectly, on your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doing business with, adversely alter or interfere with its business relationship with, the Company Group. Further, during the Non-Solicitation and Non-Hire Period, you shall not, on your own behalf or on behalf of any other person, partnership, entity, association, or corporation, (i) 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 (provided, however, that nothing herein shall restrict you from engaging in any general solicitation that is not specifically targeted at such persons), nor shall your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spacing w:after="0" w:line="173" w:lineRule="exact"/>
        <w:rPr>
          <w:rFonts w:ascii="Arial" w:cs="Arial" w:eastAsia="Arial" w:hAnsi="Arial"/>
          <w:sz w:val="16"/>
          <w:szCs w:val="16"/>
          <w:color w:val="auto"/>
        </w:rPr>
      </w:pPr>
    </w:p>
    <w:p>
      <w:pPr>
        <w:ind w:left="184" w:hanging="184"/>
        <w:spacing w:after="0"/>
        <w:tabs>
          <w:tab w:leader="none" w:pos="18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Reasonableness of Restrictions; Relief</w:t>
      </w:r>
      <w:r>
        <w:rPr>
          <w:rFonts w:ascii="Arial" w:cs="Arial" w:eastAsia="Arial" w:hAnsi="Arial"/>
          <w:sz w:val="16"/>
          <w:szCs w:val="16"/>
          <w:color w:val="auto"/>
        </w:rPr>
        <w:t>. It is the desire and intent of the Parties to this Agreement that the provisions of the foregoing paragraphs 4 and</w:t>
      </w:r>
    </w:p>
    <w:p>
      <w:pPr>
        <w:spacing w:after="0" w:line="46" w:lineRule="exact"/>
        <w:rPr>
          <w:rFonts w:ascii="Arial" w:cs="Arial" w:eastAsia="Arial" w:hAnsi="Arial"/>
          <w:sz w:val="16"/>
          <w:szCs w:val="16"/>
          <w:color w:val="auto"/>
        </w:rPr>
      </w:pPr>
    </w:p>
    <w:p>
      <w:pPr>
        <w:ind w:left="4" w:right="180"/>
        <w:spacing w:after="0" w:line="287" w:lineRule="auto"/>
        <w:rPr>
          <w:rFonts w:ascii="Arial" w:cs="Arial" w:eastAsia="Arial" w:hAnsi="Arial"/>
          <w:sz w:val="16"/>
          <w:szCs w:val="16"/>
          <w:color w:val="auto"/>
        </w:rPr>
      </w:pPr>
      <w:r>
        <w:rPr>
          <w:rFonts w:ascii="Arial" w:cs="Arial" w:eastAsia="Arial" w:hAnsi="Arial"/>
          <w:sz w:val="16"/>
          <w:szCs w:val="16"/>
          <w:color w:val="auto"/>
        </w:rPr>
        <w:t>5 shall be enforced to the fullest extent permissible under the laws and public policies applied in each jurisdiction in which enforcement is sought. It is expressly understood and agreed that the Company Group and you consider such restrictions to be reasonable and necessary for the purposes of preserving and protecting the Confidential Information and other legitimate business interests of the Company Group. Nevertheless, if any of the aforesaid restrictions is found to be unreasonable, over-broad as to geographic area, duration or scope of activity, or otherwise unenforceable, the Company Group and you intend for the restrictions herein set forth to be modified to be reasonable and enforceable and, as so modified, to be fully enforced. The Parties acknowledge that money damages would not be a sufficient remedy for any breach or threatened breach of such restrictions; therefore, notwithstanding the arbitration provisions in this Agreement, you and the Company Group agree that the Company Group may resort to a court to enforce such restrictions by injunctive relief. The Parties agree that the Company Group may enforce this promise without</w:t>
      </w:r>
    </w:p>
    <w:p>
      <w:pPr>
        <w:sectPr>
          <w:pgSz w:w="11900" w:h="16838" w:orient="portrait"/>
          <w:cols w:equalWidth="0" w:num="1">
            <w:col w:w="11004"/>
          </w:cols>
          <w:pgMar w:left="436" w:top="274" w:right="459" w:bottom="1440" w:gutter="0" w:footer="0" w:header="0"/>
        </w:sectPr>
      </w:pPr>
    </w:p>
    <w:bookmarkStart w:id="54" w:name="page55"/>
    <w:bookmarkEnd w:id="54"/>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posting a bond and without giving notice to the maximum extent permitted by law. The foregoing remedies are not the exclusive remedies but shall be in addition to all remedies available at law or in equity to the Company Group. You agree that the Non-Solicitation Period shall be tolled during any period of violation of the restrictions of paragraph 5 by you.</w:t>
      </w:r>
    </w:p>
    <w:p>
      <w:pPr>
        <w:spacing w:after="0" w:line="184" w:lineRule="exact"/>
        <w:rPr>
          <w:sz w:val="20"/>
          <w:szCs w:val="20"/>
          <w:color w:val="auto"/>
        </w:rPr>
      </w:pPr>
    </w:p>
    <w:p>
      <w:pPr>
        <w:ind w:left="4" w:right="40" w:hanging="4"/>
        <w:spacing w:after="0" w:line="267" w:lineRule="auto"/>
        <w:tabs>
          <w:tab w:leader="none" w:pos="18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automatically terminate upon your death or upon your becoming disabled. The determination of your disability shall be made in good faith by a physician reasonably acceptable to the Company. In addition, either the Company or you may terminate this Agreement at any time during the term by giving the other Party no less than thirty (30) days’ prior written notice of the date of termination. The Company may terminate this Agreement without any prior written notice to you if the termination is “for cause.” For purposes of this Agreement “for cause” shall be defined as the willful and continued failure by you to perform the duties assigned by the Board of Directors of D&amp;B, gross insubordination, theft from the Company or its affiliates, habitual absenteeism or tardiness, conviction or plea of a felony, or any other reckless or willful misconduct that is contrary to the best interests of the Company or materially and adversely affects the reputation of the Company. If the Company believes that an event constituting “for cause” under this section has occurred and such event (i) is not a criminal offense and (ii) is readily curable by you, then the Company shall provide written notice to you setting forth: (A) the Company’s intent to terminate your employment for cause, and (B) the reasons for the Company’s intent to terminate your employment for cause. You shall have ten (10) business days following the receipt of such notice to cure the alleged breach. The Company may terminate this Agreement without any further notice to you if such cure has not occurred within such ten (10) business day period. In the event that the Company contends that the event is not readily curable by you, the Company shall provide written notice to you setting forth: (X) the reasons for the Company’s intent to terminate your employment “for cause” and (Y) the basis for the Company’s determination that such event is not readily curable. In the event your employment with the Company under this Agreement is terminated for any reason, the Company’s obligations to provide any payments or benefits to you shall be limited to payment of only that base salary which has been earned through the date of termination payable in accordance with the Company’s normal payroll practice, and such other payments or benefits required to be paid or provided under applicable law. Your RSUs and PSUs shall be treated in accordance with their respective terms upon termination of your employment as Interim CEO.</w:t>
      </w:r>
    </w:p>
    <w:p>
      <w:pPr>
        <w:spacing w:after="0" w:line="189" w:lineRule="exact"/>
        <w:rPr>
          <w:rFonts w:ascii="Arial" w:cs="Arial" w:eastAsia="Arial" w:hAnsi="Arial"/>
          <w:sz w:val="17"/>
          <w:szCs w:val="17"/>
          <w:color w:val="auto"/>
        </w:rPr>
      </w:pPr>
    </w:p>
    <w:p>
      <w:pPr>
        <w:ind w:left="4" w:hanging="4"/>
        <w:spacing w:after="0" w:line="269" w:lineRule="auto"/>
        <w:tabs>
          <w:tab w:leader="none" w:pos="18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All payments hereunder that are determined, in whole or in part, to constitute “nonqualified deferred compensation” within the meaning of Section 409A of the Internal Revenue Code of 1986, as amended (“</w:t>
      </w:r>
      <w:r>
        <w:rPr>
          <w:rFonts w:ascii="Arial" w:cs="Arial" w:eastAsia="Arial" w:hAnsi="Arial"/>
          <w:sz w:val="17"/>
          <w:szCs w:val="17"/>
          <w:u w:val="single" w:color="auto"/>
          <w:color w:val="auto"/>
        </w:rPr>
        <w:t>Section 409A</w:t>
      </w:r>
      <w:r>
        <w:rPr>
          <w:rFonts w:ascii="Arial" w:cs="Arial" w:eastAsia="Arial" w:hAnsi="Arial"/>
          <w:sz w:val="17"/>
          <w:szCs w:val="17"/>
          <w:color w:val="auto"/>
        </w:rPr>
        <w:t>”) are intended to be exempt from or in compliance with Section 409A. If any payment, compensation or other benefit provided to you in connection with your employment termination is and you are a specified employee as defined in Section 409A(a)(2)(B)(i), then no portion of such “nonqualified deferred compensation” shall be paid before the earlier of (i) the day that is six (6) months plus one (1) day after the date of termination or (ii) five (5) days following your death (the “</w:t>
      </w:r>
      <w:r>
        <w:rPr>
          <w:rFonts w:ascii="Arial" w:cs="Arial" w:eastAsia="Arial" w:hAnsi="Arial"/>
          <w:sz w:val="17"/>
          <w:szCs w:val="17"/>
          <w:u w:val="single" w:color="auto"/>
          <w:color w:val="auto"/>
        </w:rPr>
        <w:t>New Payment Date</w:t>
      </w:r>
      <w:r>
        <w:rPr>
          <w:rFonts w:ascii="Arial" w:cs="Arial" w:eastAsia="Arial" w:hAnsi="Arial"/>
          <w:sz w:val="17"/>
          <w:szCs w:val="17"/>
          <w:color w:val="auto"/>
        </w:rPr>
        <w:t>”). The aggregate of any payments that otherwise would have been paid to you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The Company makes no guarantee of any federal, state or local tax consequences with respect to the interpretation of Section 409A and its application to the terms of this Agreement, and the Company shall have no liability for any adverse tax consequences to you, as a result of any violation of Section 409A.</w:t>
      </w:r>
    </w:p>
    <w:p>
      <w:pPr>
        <w:sectPr>
          <w:pgSz w:w="11900" w:h="16838" w:orient="portrait"/>
          <w:cols w:equalWidth="0" w:num="1">
            <w:col w:w="11004"/>
          </w:cols>
          <w:pgMar w:left="436" w:top="274" w:right="459" w:bottom="1440" w:gutter="0" w:footer="0" w:header="0"/>
        </w:sectPr>
      </w:pPr>
    </w:p>
    <w:bookmarkStart w:id="55" w:name="page56"/>
    <w:bookmarkEnd w:id="55"/>
    <w:p>
      <w:pPr>
        <w:ind w:left="4" w:hanging="4"/>
        <w:spacing w:after="0" w:line="284" w:lineRule="auto"/>
        <w:tabs>
          <w:tab w:leader="none" w:pos="27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Arbitration</w:t>
      </w:r>
      <w:r>
        <w:rPr>
          <w:rFonts w:ascii="Arial" w:cs="Arial" w:eastAsia="Arial" w:hAnsi="Arial"/>
          <w:sz w:val="16"/>
          <w:szCs w:val="16"/>
          <w:color w:val="auto"/>
        </w:rPr>
        <w:t>. You and the Company hereby agree that any controversy or claim arising out of or relating to this 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RSUs or PSUs, the Parties agree that such disputes may be joined in a single binding arbitration if doing so would not result in unreasonable delay. All arbitrations shall be administered by a panel of three neutral arbitrators (the “</w:t>
      </w:r>
      <w:r>
        <w:rPr>
          <w:rFonts w:ascii="Arial" w:cs="Arial" w:eastAsia="Arial" w:hAnsi="Arial"/>
          <w:sz w:val="16"/>
          <w:szCs w:val="16"/>
          <w:u w:val="single" w:color="auto"/>
          <w:color w:val="auto"/>
        </w:rPr>
        <w:t>Panel</w:t>
      </w:r>
      <w:r>
        <w:rPr>
          <w:rFonts w:ascii="Arial" w:cs="Arial" w:eastAsia="Arial" w:hAnsi="Arial"/>
          <w:sz w:val="16"/>
          <w:szCs w:val="16"/>
          <w:color w:val="auto"/>
        </w:rPr>
        <w:t>”) admitted to practice law in Texas for at least ten (10) years, in accordance with the American Arbitration Association Rules. Any such arbitration proceeding shall be administered by the American Arbitration Association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your own arbitration costs, attorneys’ fees and expenses. 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 The Parties will keep confidential, and will not disclose to any person, except as may be required by law, the existence of any controversy under this paragraph, the referral of any such controversy to arbitration or the status or resolution thereof. In addition, the confidentiality restrictions set forth in this Agreement shall continue in full force and effect.</w:t>
      </w:r>
    </w:p>
    <w:p>
      <w:pPr>
        <w:spacing w:after="0" w:line="180"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paragraph should be construed to constitute a waiver of the Parties’ rights and obligations to arbitrate as set forth in this paragraph.</w:t>
      </w:r>
    </w:p>
    <w:p>
      <w:pPr>
        <w:sectPr>
          <w:pgSz w:w="11900" w:h="16838" w:orient="portrait"/>
          <w:cols w:equalWidth="0" w:num="1">
            <w:col w:w="11004"/>
          </w:cols>
          <w:pgMar w:left="436" w:top="274" w:right="459" w:bottom="1440" w:gutter="0" w:footer="0" w:header="0"/>
        </w:sectPr>
      </w:pPr>
    </w:p>
    <w:bookmarkStart w:id="56" w:name="page57"/>
    <w:bookmarkEnd w:id="56"/>
    <w:p>
      <w:pPr>
        <w:ind w:left="44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PARAGRAPH CONSTITUTES A MATERIAL INDUCEMENT UPON WHICH IT OR HE IS RELYING AND WILL RELY IN ENTERING INTO THIS AGREEMENT.</w:t>
      </w:r>
    </w:p>
    <w:p>
      <w:pPr>
        <w:spacing w:after="0" w:line="84"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BEFORE ACCEPTING THE TERMS OF THIS AGREEMENT, INCLUDING THE RESTRICTIVE COVENANT TERMS, PLEASE READ AND UNDERSTAND YOUR CONTINUING OBLIGATIONS TO THE COMPANY AND ITS AFFILIATES.</w:t>
      </w:r>
    </w:p>
    <w:p>
      <w:pPr>
        <w:spacing w:after="0" w:line="170" w:lineRule="exact"/>
        <w:rPr>
          <w:sz w:val="20"/>
          <w:szCs w:val="20"/>
          <w:color w:val="auto"/>
        </w:rPr>
      </w:pPr>
    </w:p>
    <w:p>
      <w:pPr>
        <w:ind w:left="4" w:hanging="4"/>
        <w:spacing w:after="0" w:line="269" w:lineRule="auto"/>
        <w:tabs>
          <w:tab w:leader="none" w:pos="26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indemnify you to the fullest extent permitted by Section 145 of the Delaware General Corporation Law against all costs, expenses, liabilities and losses, including but not limited to, attorneys fees, judgments, fines, penalties, taxes and amounts paid in settlement, reasonably incurred by you in conjunction with any action, suit, or proceeding, whether civil, criminal, administrative, or investigative in nature, which you are made or threatened to be made a party or witness by reason of your position as officer, employee or agent of the Company or otherwise due to your association with the Company or due to your position or association with any other entity, at the request of the Company. The Company shall advance to you all reasonable costs and expenses incurred in connection with such action within twenty (20) days after receipt by the Company of your written request. The Company shall be entitled to be reimbursed by you and you agree to reimburse the Company if it is determined that you are not entitled to be indemnified with respect to an action, suit, or proceeding under applicable law. The Company shall not settle any such claim in any manner which would impose liability, including monetary penalties or censure, on you without your prior written consent, unless your would be harmed by such action.</w:t>
      </w:r>
    </w:p>
    <w:p>
      <w:pPr>
        <w:spacing w:after="0" w:line="185" w:lineRule="exact"/>
        <w:rPr>
          <w:rFonts w:ascii="Arial" w:cs="Arial" w:eastAsia="Arial" w:hAnsi="Arial"/>
          <w:sz w:val="17"/>
          <w:szCs w:val="17"/>
          <w:color w:val="auto"/>
        </w:rPr>
      </w:pPr>
    </w:p>
    <w:p>
      <w:pPr>
        <w:ind w:left="4" w:right="20" w:hanging="4"/>
        <w:spacing w:after="0" w:line="257"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Jury Waiver</w:t>
      </w:r>
      <w:r>
        <w:rPr>
          <w:rFonts w:ascii="Arial" w:cs="Arial" w:eastAsia="Arial" w:hAnsi="Arial"/>
          <w:sz w:val="18"/>
          <w:szCs w:val="18"/>
          <w:color w:val="auto"/>
        </w:rPr>
        <w:t>. THIS AGREEMENT SHALL BE EXCLUSIVELY GOVERNED BY AND 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spacing w:after="0" w:line="187" w:lineRule="exact"/>
        <w:rPr>
          <w:rFonts w:ascii="Arial" w:cs="Arial" w:eastAsia="Arial" w:hAnsi="Arial"/>
          <w:sz w:val="18"/>
          <w:szCs w:val="18"/>
          <w:color w:val="auto"/>
        </w:rPr>
      </w:pPr>
    </w:p>
    <w:p>
      <w:pPr>
        <w:ind w:left="4" w:right="200" w:hanging="4"/>
        <w:spacing w:after="0" w:line="275" w:lineRule="auto"/>
        <w:tabs>
          <w:tab w:leader="none" w:pos="27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Entire Agreement; Miscellaneous</w:t>
      </w:r>
      <w:r>
        <w:rPr>
          <w:rFonts w:ascii="Arial" w:cs="Arial" w:eastAsia="Arial" w:hAnsi="Arial"/>
          <w:sz w:val="17"/>
          <w:szCs w:val="17"/>
          <w:color w:val="auto"/>
        </w:rPr>
        <w:t>. This Agreement represents the entire agreement relating to employment between the Company and you and supersedes all previous oral and written and all contemporaneous oral negotiations or commitments, writings and other understandings which, at the Effective Date, shall be deemed to be terminated and of no further force or effect. No prior or subsequent promises, representation, or understandings relative to any terms or conditions of employment are to be considered as part of this Agreement or as binding. This Agreement may be amended or modified only in a writing signed by the Parties hereto. The Company shall be</w:t>
      </w:r>
    </w:p>
    <w:p>
      <w:pPr>
        <w:sectPr>
          <w:pgSz w:w="11900" w:h="16838" w:orient="portrait"/>
          <w:cols w:equalWidth="0" w:num="1">
            <w:col w:w="10944"/>
          </w:cols>
          <w:pgMar w:left="436" w:top="274" w:right="519" w:bottom="1440" w:gutter="0" w:footer="0" w:header="0"/>
        </w:sectPr>
      </w:pPr>
    </w:p>
    <w:bookmarkStart w:id="57" w:name="page58"/>
    <w:bookmarkEnd w:id="5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withhold from any amounts to be paid or benefits provided to you hereunder any federal, state, local, or foreign withholding or other taxes or charges which it is from time to time required to withhold. The Company shall be entitled to rely on an opinion of counsel or tax preparer if any question as to the amount or requirement of any such withholding shall arise. This Agreement may be signed in any number of counterparts with the same effect as if the signatures to each counterpart were upon a single instrument, and all such counterparts together shall be deemed an original of this Agreement.</w:t>
      </w:r>
    </w:p>
    <w:p>
      <w:pPr>
        <w:spacing w:after="0" w:line="18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DAVE &amp; BUSTER’S MANAGEMENT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CORPORATION, INC.</w:t>
      </w:r>
    </w:p>
    <w:p>
      <w:pPr>
        <w:spacing w:after="0" w:line="238"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Robert W. Edmund</w:t>
      </w:r>
    </w:p>
    <w:p>
      <w:pPr>
        <w:spacing w:after="0" w:line="9"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Title:</w:t>
        <w:tab/>
        <w:t>President</w:t>
      </w:r>
    </w:p>
    <w:p>
      <w:pPr>
        <w:spacing w:after="0" w:line="9" w:lineRule="exact"/>
        <w:rPr>
          <w:sz w:val="20"/>
          <w:szCs w:val="20"/>
          <w:color w:val="auto"/>
        </w:rPr>
      </w:pPr>
    </w:p>
    <w:p>
      <w:pPr>
        <w:ind w:left="6620"/>
        <w:spacing w:after="0"/>
        <w:tabs>
          <w:tab w:leader="none" w:pos="73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2481 Manana Drive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Dallas, Texas 75220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DAVE &amp; BUSTER’S ENTERTAINMENT, INC.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Title:</w:t>
        <w:tab/>
        <w:t>General Counsel &amp; SVP of HR</w:t>
      </w:r>
    </w:p>
    <w:p>
      <w:pPr>
        <w:spacing w:after="0" w:line="9" w:lineRule="exact"/>
        <w:rPr>
          <w:sz w:val="20"/>
          <w:szCs w:val="20"/>
          <w:color w:val="auto"/>
        </w:rPr>
      </w:pPr>
    </w:p>
    <w:p>
      <w:pPr>
        <w:ind w:left="6620"/>
        <w:spacing w:after="0"/>
        <w:tabs>
          <w:tab w:leader="none" w:pos="73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2481 Manana Drive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Dallas, Texas 75220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INTERIM CEO:</w:t>
      </w:r>
    </w:p>
    <w:p>
      <w:pPr>
        <w:spacing w:after="0" w:line="22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M. Sheehan</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September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4" w:right="439" w:bottom="1440" w:gutter="0" w:footer="0" w:header="0"/>
        </w:sectPr>
      </w:pPr>
    </w:p>
    <w:bookmarkStart w:id="58" w:name="page59"/>
    <w:bookmarkEnd w:id="58"/>
    <w:tbl>
      <w:tblPr>
        <w:tblLayout w:type="fixed"/>
        <w:tblInd w:w="4"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ind w:left="480"/>
              <w:spacing w:after="0"/>
              <w:rPr>
                <w:sz w:val="20"/>
                <w:szCs w:val="20"/>
                <w:color w:val="auto"/>
              </w:rPr>
            </w:pPr>
            <w:r>
              <w:rPr>
                <w:rFonts w:ascii="Arial" w:cs="Arial" w:eastAsia="Arial" w:hAnsi="Arial"/>
                <w:sz w:val="18"/>
                <w:szCs w:val="18"/>
                <w:b w:val="1"/>
                <w:bCs w:val="1"/>
                <w:color w:val="auto"/>
                <w:w w:val="91"/>
              </w:rPr>
              <w:t>Exhibit 10.3</w:t>
            </w:r>
          </w:p>
        </w:tc>
      </w:tr>
      <w:tr>
        <w:trPr>
          <w:trHeight w:val="414"/>
        </w:trPr>
        <w:tc>
          <w:tcPr>
            <w:tcW w:w="960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2"/>
              </w:rPr>
              <w:t>Dave &amp; Buster’s Entertainment, Inc.</w:t>
            </w:r>
          </w:p>
        </w:tc>
        <w:tc>
          <w:tcPr>
            <w:tcW w:w="1420" w:type="dxa"/>
            <w:vAlign w:val="bottom"/>
          </w:tcPr>
          <w:p>
            <w:pPr>
              <w:spacing w:after="0"/>
              <w:rPr>
                <w:sz w:val="24"/>
                <w:szCs w:val="24"/>
                <w:color w:val="auto"/>
              </w:rPr>
            </w:pPr>
          </w:p>
        </w:tc>
      </w:tr>
      <w:tr>
        <w:trPr>
          <w:trHeight w:val="234"/>
        </w:trPr>
        <w:tc>
          <w:tcPr>
            <w:tcW w:w="960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0"/>
              </w:rPr>
              <w:t>2014 Omnibus Incentive Plan</w:t>
            </w:r>
          </w:p>
        </w:tc>
        <w:tc>
          <w:tcPr>
            <w:tcW w:w="1420" w:type="dxa"/>
            <w:vAlign w:val="bottom"/>
          </w:tcPr>
          <w:p>
            <w:pPr>
              <w:spacing w:after="0"/>
              <w:rPr>
                <w:sz w:val="20"/>
                <w:szCs w:val="20"/>
                <w:color w:val="auto"/>
              </w:rPr>
            </w:pPr>
          </w:p>
        </w:tc>
      </w:tr>
      <w:tr>
        <w:trPr>
          <w:trHeight w:val="414"/>
        </w:trPr>
        <w:tc>
          <w:tcPr>
            <w:tcW w:w="960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rPr>
              <w:t>RESTRICTED STOCK UNIT AGREEMENT</w:t>
            </w:r>
          </w:p>
        </w:tc>
        <w:tc>
          <w:tcPr>
            <w:tcW w:w="1420" w:type="dxa"/>
            <w:vAlign w:val="bottom"/>
          </w:tcPr>
          <w:p>
            <w:pPr>
              <w:spacing w:after="0"/>
              <w:rPr>
                <w:sz w:val="24"/>
                <w:szCs w:val="24"/>
                <w:color w:val="auto"/>
              </w:rPr>
            </w:pPr>
          </w:p>
        </w:tc>
      </w:tr>
      <w:tr>
        <w:trPr>
          <w:trHeight w:val="234"/>
        </w:trPr>
        <w:tc>
          <w:tcPr>
            <w:tcW w:w="960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1"/>
              </w:rPr>
              <w:t>(Time-Based)</w:t>
            </w:r>
          </w:p>
        </w:tc>
        <w:tc>
          <w:tcPr>
            <w:tcW w:w="1420" w:type="dxa"/>
            <w:vAlign w:val="bottom"/>
          </w:tcPr>
          <w:p>
            <w:pPr>
              <w:spacing w:after="0"/>
              <w:rPr>
                <w:sz w:val="20"/>
                <w:szCs w:val="20"/>
                <w:color w:val="auto"/>
              </w:rPr>
            </w:pPr>
          </w:p>
        </w:tc>
      </w:tr>
      <w:tr>
        <w:trPr>
          <w:trHeight w:val="392"/>
        </w:trPr>
        <w:tc>
          <w:tcPr>
            <w:tcW w:w="8520" w:type="dxa"/>
            <w:vAlign w:val="bottom"/>
          </w:tcPr>
          <w:p>
            <w:pPr>
              <w:ind w:left="980"/>
              <w:spacing w:after="0"/>
              <w:rPr>
                <w:sz w:val="20"/>
                <w:szCs w:val="20"/>
                <w:color w:val="auto"/>
              </w:rPr>
            </w:pPr>
            <w:r>
              <w:rPr>
                <w:rFonts w:ascii="Arial" w:cs="Arial" w:eastAsia="Arial" w:hAnsi="Arial"/>
                <w:sz w:val="18"/>
                <w:szCs w:val="18"/>
                <w:color w:val="auto"/>
                <w:w w:val="94"/>
              </w:rPr>
              <w:t>THIS RESTRICTED STOCK UNIT AGREEMENT (this “</w:t>
            </w:r>
            <w:r>
              <w:rPr>
                <w:rFonts w:ascii="Arial" w:cs="Arial" w:eastAsia="Arial" w:hAnsi="Arial"/>
                <w:sz w:val="18"/>
                <w:szCs w:val="18"/>
                <w:b w:val="1"/>
                <w:bCs w:val="1"/>
                <w:color w:val="auto"/>
                <w:w w:val="94"/>
              </w:rPr>
              <w:t>Award Agreement</w:t>
            </w:r>
            <w:r>
              <w:rPr>
                <w:rFonts w:ascii="Arial" w:cs="Arial" w:eastAsia="Arial" w:hAnsi="Arial"/>
                <w:sz w:val="18"/>
                <w:szCs w:val="18"/>
                <w:color w:val="auto"/>
                <w:w w:val="94"/>
              </w:rPr>
              <w:t>”) is made effective as of</w:t>
            </w:r>
          </w:p>
        </w:tc>
        <w:tc>
          <w:tcPr>
            <w:tcW w:w="1080" w:type="dxa"/>
            <w:vAlign w:val="bottom"/>
            <w:tcBorders>
              <w:bottom w:val="single" w:sz="8" w:color="auto"/>
            </w:tcBorders>
          </w:tcPr>
          <w:p>
            <w:pPr>
              <w:spacing w:after="0"/>
              <w:rPr>
                <w:sz w:val="24"/>
                <w:szCs w:val="24"/>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Date of</w:t>
            </w:r>
          </w:p>
        </w:tc>
      </w:tr>
      <w:tr>
        <w:trPr>
          <w:trHeight w:val="237"/>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w w:val="97"/>
              </w:rPr>
              <w:t>Grant</w:t>
            </w:r>
            <w:r>
              <w:rPr>
                <w:rFonts w:ascii="Arial" w:cs="Arial" w:eastAsia="Arial" w:hAnsi="Arial"/>
                <w:sz w:val="18"/>
                <w:szCs w:val="18"/>
                <w:color w:val="auto"/>
                <w:w w:val="97"/>
              </w:rPr>
              <w:t>”), between Dave &amp; Buster’s Entertainment, Inc., a Delaware corporation (the “</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 and [●] (the “</w:t>
            </w:r>
            <w:r>
              <w:rPr>
                <w:rFonts w:ascii="Arial" w:cs="Arial" w:eastAsia="Arial" w:hAnsi="Arial"/>
                <w:sz w:val="18"/>
                <w:szCs w:val="18"/>
                <w:b w:val="1"/>
                <w:bCs w:val="1"/>
                <w:color w:val="auto"/>
                <w:w w:val="97"/>
              </w:rPr>
              <w:t>Participant</w:t>
            </w:r>
            <w:r>
              <w:rPr>
                <w:rFonts w:ascii="Arial" w:cs="Arial" w:eastAsia="Arial" w:hAnsi="Arial"/>
                <w:sz w:val="18"/>
                <w:szCs w:val="18"/>
                <w:color w:val="auto"/>
                <w:w w:val="97"/>
              </w:rPr>
              <w:t>”).</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WHEREAS, the Company has adopted the Dave &amp; Buster’s Entertainment, Inc. 2014 Omnibus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and</w:t>
      </w:r>
    </w:p>
    <w:p>
      <w:pPr>
        <w:spacing w:after="0" w:line="170"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“Committee”) has determined that it would be in the best interests of the Company and its stockholders to grant the award (the “</w:t>
      </w:r>
      <w:r>
        <w:rPr>
          <w:rFonts w:ascii="Arial" w:cs="Arial" w:eastAsia="Arial" w:hAnsi="Arial"/>
          <w:sz w:val="18"/>
          <w:szCs w:val="18"/>
          <w:b w:val="1"/>
          <w:bCs w:val="1"/>
          <w:color w:val="auto"/>
        </w:rPr>
        <w:t>Award</w:t>
      </w:r>
      <w:r>
        <w:rPr>
          <w:rFonts w:ascii="Arial" w:cs="Arial" w:eastAsia="Arial" w:hAnsi="Arial"/>
          <w:sz w:val="18"/>
          <w:szCs w:val="18"/>
          <w:color w:val="auto"/>
        </w:rPr>
        <w:t>”) of restricted stock units (each, an “</w:t>
      </w:r>
      <w:r>
        <w:rPr>
          <w:rFonts w:ascii="Arial" w:cs="Arial" w:eastAsia="Arial" w:hAnsi="Arial"/>
          <w:sz w:val="18"/>
          <w:szCs w:val="18"/>
          <w:b w:val="1"/>
          <w:bCs w:val="1"/>
          <w:color w:val="auto"/>
        </w:rPr>
        <w:t>RSU</w:t>
      </w:r>
      <w:r>
        <w:rPr>
          <w:rFonts w:ascii="Arial" w:cs="Arial" w:eastAsia="Arial" w:hAnsi="Arial"/>
          <w:sz w:val="18"/>
          <w:szCs w:val="18"/>
          <w:color w:val="auto"/>
        </w:rPr>
        <w:t>”) provided for herein to the Participant pursuant to the Plan and the terms set forth herein.</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444"/>
        <w:spacing w:after="0"/>
        <w:tabs>
          <w:tab w:leader="none" w:pos="744" w:val="left"/>
          <w:tab w:leader="none" w:pos="970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Grant of Award</w:t>
      </w:r>
      <w:r>
        <w:rPr>
          <w:rFonts w:ascii="Arial" w:cs="Arial" w:eastAsia="Arial" w:hAnsi="Arial"/>
          <w:sz w:val="18"/>
          <w:szCs w:val="18"/>
          <w:color w:val="auto"/>
        </w:rPr>
        <w:t>. The Company hereby grants to the Participant [●] RSUs. All of the RSU Award will vest on</w:t>
      </w:r>
      <w:r>
        <w:rPr>
          <w:sz w:val="20"/>
          <w:szCs w:val="20"/>
          <w:color w:val="auto"/>
        </w:rPr>
        <w:tab/>
      </w:r>
      <w:r>
        <w:rPr>
          <w:rFonts w:ascii="Arial" w:cs="Arial" w:eastAsia="Arial" w:hAnsi="Arial"/>
          <w:sz w:val="16"/>
          <w:szCs w:val="16"/>
          <w:color w:val="auto"/>
        </w:rPr>
        <w:t>, subject to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-10160</wp:posOffset>
            </wp:positionV>
            <wp:extent cx="685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4" w:right="380"/>
        <w:spacing w:after="0" w:line="323" w:lineRule="auto"/>
        <w:rPr>
          <w:sz w:val="20"/>
          <w:szCs w:val="20"/>
          <w:color w:val="auto"/>
        </w:rPr>
      </w:pPr>
      <w:r>
        <w:rPr>
          <w:rFonts w:ascii="Arial" w:cs="Arial" w:eastAsia="Arial" w:hAnsi="Arial"/>
          <w:sz w:val="16"/>
          <w:szCs w:val="16"/>
          <w:color w:val="auto"/>
        </w:rPr>
        <w:t>vesting in accordance with Section 3 below (the date of vesting, the “Vesting Date”). Each RSU represents one notional share of common stock, par value $.01 per share, of the Company (each, a “</w:t>
      </w:r>
      <w:r>
        <w:rPr>
          <w:rFonts w:ascii="Arial" w:cs="Arial" w:eastAsia="Arial" w:hAnsi="Arial"/>
          <w:sz w:val="16"/>
          <w:szCs w:val="16"/>
          <w:b w:val="1"/>
          <w:bCs w:val="1"/>
          <w:color w:val="auto"/>
        </w:rPr>
        <w:t>Share</w:t>
      </w:r>
      <w:r>
        <w:rPr>
          <w:rFonts w:ascii="Arial" w:cs="Arial" w:eastAsia="Arial" w:hAnsi="Arial"/>
          <w:sz w:val="16"/>
          <w:szCs w:val="16"/>
          <w:color w:val="auto"/>
        </w:rPr>
        <w:t>”), provided that the RSUs shall be settled in Shares in accordance with Section 2 below.</w:t>
      </w:r>
    </w:p>
    <w:p>
      <w:pPr>
        <w:spacing w:after="0" w:line="138" w:lineRule="exact"/>
        <w:rPr>
          <w:sz w:val="20"/>
          <w:szCs w:val="20"/>
          <w:color w:val="auto"/>
        </w:rPr>
      </w:pPr>
    </w:p>
    <w:p>
      <w:pPr>
        <w:ind w:left="764" w:hanging="324"/>
        <w:spacing w:after="0"/>
        <w:tabs>
          <w:tab w:leader="none" w:pos="76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0" w:firstLine="987"/>
        <w:spacing w:after="0" w:line="285" w:lineRule="auto"/>
        <w:tabs>
          <w:tab w:leader="none" w:pos="1375"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RSUs</w:t>
      </w:r>
      <w:r>
        <w:rPr>
          <w:rFonts w:ascii="Arial" w:cs="Arial" w:eastAsia="Arial" w:hAnsi="Arial"/>
          <w:sz w:val="16"/>
          <w:szCs w:val="16"/>
          <w:color w:val="auto"/>
        </w:rPr>
        <w:t>. Subject to the terms of the Plan and this Award Agreement, including, without limitation, Section 4 hereof, and to the extent that it would not cause a violation of Section 409A, each RSU shall be settled by the issuance of a Share as soon as practicable following the Vesting Date, and in all events no later than sixty (60) days following the Vesting Date, as determined solely by the Company (the date of settlement, the “</w:t>
      </w:r>
      <w:r>
        <w:rPr>
          <w:rFonts w:ascii="Arial" w:cs="Arial" w:eastAsia="Arial" w:hAnsi="Arial"/>
          <w:sz w:val="16"/>
          <w:szCs w:val="16"/>
          <w:b w:val="1"/>
          <w:bCs w:val="1"/>
          <w:color w:val="auto"/>
        </w:rPr>
        <w:t>Settlement Date</w:t>
      </w:r>
      <w:r>
        <w:rPr>
          <w:rFonts w:ascii="Arial" w:cs="Arial" w:eastAsia="Arial" w:hAnsi="Arial"/>
          <w:sz w:val="16"/>
          <w:szCs w:val="16"/>
          <w:color w:val="auto"/>
        </w:rPr>
        <w:t>”). RSUs settled via Share issuance shall be distributed to the Participant or the Participant’s legal representative; provided, that the Company may, at its election, either (a) on or after the Settlement Date, issue a certificate representing the Shares subject to this Award Agreement,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issue any certificate representing Shares subject to this Award Agreement and instead document the Participant’s or the Participant’s legal</w:t>
      </w:r>
    </w:p>
    <w:p>
      <w:pPr>
        <w:spacing w:after="0" w:line="20" w:lineRule="exact"/>
        <w:rPr>
          <w:rFonts w:ascii="Arial" w:cs="Arial" w:eastAsia="Arial" w:hAnsi="Arial"/>
          <w:sz w:val="17"/>
          <w:szCs w:val="17"/>
          <w:color w:val="auto"/>
        </w:rPr>
      </w:pPr>
    </w:p>
    <w:p>
      <w:pPr>
        <w:ind w:left="4" w:right="320"/>
        <w:spacing w:after="0" w:line="260" w:lineRule="auto"/>
        <w:rPr>
          <w:rFonts w:ascii="Arial" w:cs="Arial" w:eastAsia="Arial" w:hAnsi="Arial"/>
          <w:sz w:val="17"/>
          <w:szCs w:val="17"/>
          <w:color w:val="auto"/>
        </w:rPr>
      </w:pPr>
      <w:r>
        <w:rPr>
          <w:rFonts w:ascii="Arial" w:cs="Arial" w:eastAsia="Arial" w:hAnsi="Arial"/>
          <w:sz w:val="18"/>
          <w:szCs w:val="18"/>
          <w:color w:val="auto"/>
        </w:rPr>
        <w:t>representative’s interest in the Shares by registering the Shares with the Company’s transfer agent (or another custodian selected by the Company) in book-entry form.</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1">
            <w:col w:w="11024"/>
          </w:cols>
          <w:pgMar w:left="436" w:top="121" w:right="439" w:bottom="1440" w:gutter="0" w:footer="0" w:header="0"/>
        </w:sectPr>
      </w:pPr>
    </w:p>
    <w:bookmarkStart w:id="59" w:name="page60"/>
    <w:bookmarkEnd w:id="59"/>
    <w:p>
      <w:pPr>
        <w:ind w:left="4" w:right="480" w:firstLine="987"/>
        <w:spacing w:after="0" w:line="277" w:lineRule="auto"/>
        <w:tabs>
          <w:tab w:leader="none" w:pos="138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Clawback Policy</w:t>
      </w:r>
      <w:r>
        <w:rPr>
          <w:rFonts w:ascii="Arial" w:cs="Arial" w:eastAsia="Arial" w:hAnsi="Arial"/>
          <w:sz w:val="18"/>
          <w:szCs w:val="18"/>
          <w:color w:val="auto"/>
        </w:rPr>
        <w:t>. The Participant agrees and acknowledges that the Participant is bound by, and the Award is subject to, any clawback policy adopted by the Committee from time to time.</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Notwithstanding anything herein to the contrary:</w:t>
      </w:r>
    </w:p>
    <w:p>
      <w:pPr>
        <w:spacing w:after="0" w:line="225" w:lineRule="exact"/>
        <w:rPr>
          <w:rFonts w:ascii="Arial" w:cs="Arial" w:eastAsia="Arial" w:hAnsi="Arial"/>
          <w:sz w:val="18"/>
          <w:szCs w:val="18"/>
          <w:color w:val="auto"/>
        </w:rPr>
      </w:pPr>
    </w:p>
    <w:p>
      <w:pPr>
        <w:ind w:left="4" w:right="60" w:firstLine="987"/>
        <w:spacing w:after="0" w:line="259" w:lineRule="auto"/>
        <w:tabs>
          <w:tab w:leader="none" w:pos="137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Service Due to Death or Disability</w:t>
      </w:r>
      <w:r>
        <w:rPr>
          <w:rFonts w:ascii="Arial" w:cs="Arial" w:eastAsia="Arial" w:hAnsi="Arial"/>
          <w:sz w:val="18"/>
          <w:szCs w:val="18"/>
          <w:color w:val="auto"/>
        </w:rPr>
        <w:t>. Upon a termination of the Participant’s Service by reason of death or Disability that occurs at any time prior to the Settlement Date, then the Award shall be settled in accordance with Section 2 above in respect of the number of then-outstanding RSUs, except that notwithstanding Section 1, such RSUs shall be immediately fully vested and settled on the Settlement Date next following such termination of Service, subject to the applicable limitations set forth in Section 2 above.</w:t>
      </w:r>
    </w:p>
    <w:p>
      <w:pPr>
        <w:spacing w:after="0" w:line="183"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For purposes of this Award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93" w:lineRule="exact"/>
        <w:rPr>
          <w:sz w:val="20"/>
          <w:szCs w:val="20"/>
          <w:color w:val="auto"/>
        </w:rPr>
      </w:pPr>
    </w:p>
    <w:p>
      <w:pPr>
        <w:ind w:left="4" w:right="80" w:firstLine="987"/>
        <w:spacing w:after="0" w:line="291" w:lineRule="auto"/>
        <w:tabs>
          <w:tab w:leader="none" w:pos="138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upon hiring permanent CEO or expiration of Interim CEO Agreement</w:t>
      </w:r>
      <w:r>
        <w:rPr>
          <w:rFonts w:ascii="Arial" w:cs="Arial" w:eastAsia="Arial" w:hAnsi="Arial"/>
          <w:sz w:val="16"/>
          <w:szCs w:val="16"/>
          <w:color w:val="auto"/>
        </w:rPr>
        <w:t>. Upon the termination of the Participant’s Service by the Company or one of its successors or Affiliates by reason of (i) the hiring by the Company of a permanent CEO (other than the Participant) or</w:t>
      </w:r>
    </w:p>
    <w:p>
      <w:pPr>
        <w:ind w:left="4" w:right="20" w:hanging="4"/>
        <w:spacing w:after="0" w:line="253" w:lineRule="auto"/>
        <w:tabs>
          <w:tab w:leader="none" w:pos="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expiration of the Interim CEO Agreement dated September 21, 2021, either of which that occurs at any time prior to the Settlement Date, then the Award shall be settled in accordance with Section 2 above in respect of the number of then-outstanding RSUs, except that notwithstanding Section 1, such RSUs shall be immediately fully vested and settled on the Settlement Date next following such termination of Service, subject to the applicable limitations set forth in Section 2 above.</w:t>
      </w:r>
    </w:p>
    <w:p>
      <w:pPr>
        <w:spacing w:after="0" w:line="192" w:lineRule="exact"/>
        <w:rPr>
          <w:rFonts w:ascii="Arial" w:cs="Arial" w:eastAsia="Arial" w:hAnsi="Arial"/>
          <w:sz w:val="18"/>
          <w:szCs w:val="18"/>
          <w:color w:val="auto"/>
        </w:rPr>
      </w:pPr>
    </w:p>
    <w:p>
      <w:pPr>
        <w:ind w:left="4" w:right="20" w:firstLine="987"/>
        <w:spacing w:after="0" w:line="269" w:lineRule="auto"/>
        <w:tabs>
          <w:tab w:leader="none" w:pos="1375"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for Good Reason related to a Change of Control</w:t>
      </w:r>
      <w:r>
        <w:rPr>
          <w:rFonts w:ascii="Arial" w:cs="Arial" w:eastAsia="Arial" w:hAnsi="Arial"/>
          <w:sz w:val="17"/>
          <w:szCs w:val="17"/>
          <w:color w:val="auto"/>
        </w:rPr>
        <w:t>. Upon (i) a termination of the Participant’s Service by the Company or one of its successors or Affiliates without Cause or due to the Participant’s resignation for Good Reason (excluding termination by reason of death or Disability), in either case prior to the Settlement Date (a “</w:t>
      </w:r>
      <w:r>
        <w:rPr>
          <w:rFonts w:ascii="Arial" w:cs="Arial" w:eastAsia="Arial" w:hAnsi="Arial"/>
          <w:sz w:val="17"/>
          <w:szCs w:val="17"/>
          <w:b w:val="1"/>
          <w:bCs w:val="1"/>
          <w:color w:val="auto"/>
        </w:rPr>
        <w:t>Specified Termination</w:t>
      </w:r>
      <w:r>
        <w:rPr>
          <w:rFonts w:ascii="Arial" w:cs="Arial" w:eastAsia="Arial" w:hAnsi="Arial"/>
          <w:sz w:val="17"/>
          <w:szCs w:val="17"/>
          <w:color w:val="auto"/>
        </w:rPr>
        <w:t>”) and (ii) the Specified Termination occurs either within ninety (90) days before or within twelve (12) months following the occurrence of a Change of Control of the Company (the “</w:t>
      </w:r>
      <w:r>
        <w:rPr>
          <w:rFonts w:ascii="Arial" w:cs="Arial" w:eastAsia="Arial" w:hAnsi="Arial"/>
          <w:sz w:val="17"/>
          <w:szCs w:val="17"/>
          <w:b w:val="1"/>
          <w:bCs w:val="1"/>
          <w:color w:val="auto"/>
        </w:rPr>
        <w:t>Protected Period</w:t>
      </w:r>
      <w:r>
        <w:rPr>
          <w:rFonts w:ascii="Arial" w:cs="Arial" w:eastAsia="Arial" w:hAnsi="Arial"/>
          <w:sz w:val="17"/>
          <w:szCs w:val="17"/>
          <w:color w:val="auto"/>
        </w:rPr>
        <w:t xml:space="preserve">”), that occurs at any time prior to the Settlement Date, then the Award shall be settled in accordance with Section 2 above in respect of the number of then-outstanding RSUs, except that notwithstanding Section 1, such RSUs shall be immediately fully vested and thereafter settled on the Settlement Date next following such termination of Service, subject to the applicable limitations set forth in Section 2 above; </w:t>
      </w:r>
      <w:r>
        <w:rPr>
          <w:rFonts w:ascii="Arial" w:cs="Arial" w:eastAsia="Arial" w:hAnsi="Arial"/>
          <w:sz w:val="17"/>
          <w:szCs w:val="17"/>
          <w:u w:val="single" w:color="auto"/>
          <w:color w:val="auto"/>
        </w:rPr>
        <w:t>provided</w:t>
      </w:r>
      <w:r>
        <w:rPr>
          <w:rFonts w:ascii="Arial" w:cs="Arial" w:eastAsia="Arial" w:hAnsi="Arial"/>
          <w:sz w:val="17"/>
          <w:szCs w:val="17"/>
          <w:color w:val="auto"/>
        </w:rPr>
        <w:t>, that if a Specified Termination should occur prior to a Change of Control of the Company, the Award shall remain outstanding for up to ninety (90) days following such Specified Termination in order to determine whether such Specified Termination shall have occurred during a Protected Period such that the Award shall be eligible for settlement pursuant to this Section 3(b).</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024"/>
          </w:cols>
          <w:pgMar w:left="436" w:top="274" w:right="439" w:bottom="1440" w:gutter="0" w:footer="0" w:header="0"/>
        </w:sectPr>
      </w:pPr>
    </w:p>
    <w:bookmarkStart w:id="60" w:name="page61"/>
    <w:bookmarkEnd w:id="60"/>
    <w:p>
      <w:pPr>
        <w:ind w:right="140" w:firstLine="987"/>
        <w:spacing w:after="0" w:line="293" w:lineRule="auto"/>
        <w:tabs>
          <w:tab w:leader="none" w:pos="138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without Cause</w:t>
      </w:r>
      <w:r>
        <w:rPr>
          <w:rFonts w:ascii="Arial" w:cs="Arial" w:eastAsia="Arial" w:hAnsi="Arial"/>
          <w:sz w:val="16"/>
          <w:szCs w:val="16"/>
          <w:color w:val="auto"/>
        </w:rPr>
        <w:t>. Upon a termination of the Participant’s Service by the Company or one of its successors or Affiliates without Cause, that occurs at any time prior to the Settlement Date, then the Award shall be settled in accordance with Section 2 above in respect of the number of then-outstanding RSUs that would have vested on the applicable date of vesting coincident with or next following such termination of Service, multiplied by a fraction, the numerator of which is the number of days elapsed after the immediately preceding date of vesting through and including the date of termination of Service, and the denominator of which is 272, except that notwithstanding Section 1, such RSUs shall be fully vested and settled on the Settlement Date next following such termination of Service, subject to the applicable limitations set forth in Section 2 above.</w:t>
      </w:r>
    </w:p>
    <w:p>
      <w:pPr>
        <w:spacing w:after="0" w:line="160" w:lineRule="exact"/>
        <w:rPr>
          <w:rFonts w:ascii="Arial" w:cs="Arial" w:eastAsia="Arial" w:hAnsi="Arial"/>
          <w:sz w:val="16"/>
          <w:szCs w:val="16"/>
          <w:color w:val="auto"/>
        </w:rPr>
      </w:pPr>
    </w:p>
    <w:p>
      <w:pPr>
        <w:ind w:right="340" w:firstLine="987"/>
        <w:spacing w:after="0" w:line="274" w:lineRule="auto"/>
        <w:tabs>
          <w:tab w:leader="none" w:pos="1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this Award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misdemeanor involving fraud, theft or moral turpitude, or any other reckless or willful misconduct that is contrary to the best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the Company or materially and adversely affects the reputation of the Company.</w:t>
      </w:r>
    </w:p>
    <w:p>
      <w:pPr>
        <w:spacing w:after="0" w:line="173" w:lineRule="exact"/>
        <w:rPr>
          <w:rFonts w:ascii="Arial" w:cs="Arial" w:eastAsia="Arial" w:hAnsi="Arial"/>
          <w:sz w:val="17"/>
          <w:szCs w:val="17"/>
          <w:color w:val="auto"/>
        </w:rPr>
      </w:pPr>
    </w:p>
    <w:p>
      <w:pPr>
        <w:ind w:right="60" w:firstLine="987"/>
        <w:spacing w:after="0" w:line="294" w:lineRule="auto"/>
        <w:tabs>
          <w:tab w:leader="none" w:pos="13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purposes of this Award Agreement, “</w:t>
      </w:r>
      <w:r>
        <w:rPr>
          <w:rFonts w:ascii="Arial" w:cs="Arial" w:eastAsia="Arial" w:hAnsi="Arial"/>
          <w:sz w:val="16"/>
          <w:szCs w:val="16"/>
          <w:b w:val="1"/>
          <w:bCs w:val="1"/>
          <w:color w:val="auto"/>
        </w:rPr>
        <w:t>Good Reason</w:t>
      </w:r>
      <w:r>
        <w:rPr>
          <w:rFonts w:ascii="Arial" w:cs="Arial" w:eastAsia="Arial" w:hAnsi="Arial"/>
          <w:sz w:val="16"/>
          <w:szCs w:val="16"/>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63" w:lineRule="exact"/>
        <w:rPr>
          <w:rFonts w:ascii="Arial" w:cs="Arial" w:eastAsia="Arial" w:hAnsi="Arial"/>
          <w:sz w:val="16"/>
          <w:szCs w:val="16"/>
          <w:color w:val="auto"/>
        </w:rPr>
      </w:pPr>
    </w:p>
    <w:p>
      <w:pPr>
        <w:ind w:right="100" w:firstLine="987"/>
        <w:spacing w:after="0" w:line="263" w:lineRule="auto"/>
        <w:tabs>
          <w:tab w:leader="none" w:pos="138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Other Terminations of Service</w:t>
      </w:r>
      <w:r>
        <w:rPr>
          <w:rFonts w:ascii="Arial" w:cs="Arial" w:eastAsia="Arial" w:hAnsi="Arial"/>
          <w:sz w:val="18"/>
          <w:szCs w:val="18"/>
          <w:color w:val="auto"/>
        </w:rPr>
        <w:t>. Upon a termination of the Participant’s Service prior to the Settlement Date for any reason other than pursuant to Sections 3(a), 3(b), 3(c) and 3(d) above, the Award, including any then-outstanding RSUs, shall immediately terminate and be forfeited without consideration.</w:t>
      </w:r>
    </w:p>
    <w:p>
      <w:pPr>
        <w:spacing w:after="0" w:line="183" w:lineRule="exact"/>
        <w:rPr>
          <w:rFonts w:ascii="Arial" w:cs="Arial" w:eastAsia="Arial" w:hAnsi="Arial"/>
          <w:sz w:val="18"/>
          <w:szCs w:val="18"/>
          <w:color w:val="auto"/>
        </w:rPr>
      </w:pPr>
    </w:p>
    <w:p>
      <w:pPr>
        <w:ind w:right="220" w:firstLine="987"/>
        <w:spacing w:after="0" w:line="257" w:lineRule="auto"/>
        <w:tabs>
          <w:tab w:leader="none" w:pos="138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Upon a termination of the Participant’s Service prior to the Settlement Date for termination without Cause pursuant to Section 3(c), settlement of any Award shall be conditioned first upon the Participant’s execution of a fully effective and non-revocable general release (“Release”) in favor of the Company, its Board of Directors, Affiliates, and employees, in such form as reasonably approved by the Company and the Participant within sixty (60) days of the Participant’s termination of Service, which Release shall be provided to the Participant within five (5) days of the Participant’s termination of Service.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8</w:t>
      </w:r>
    </w:p>
    <w:p>
      <w:pPr>
        <w:sectPr>
          <w:pgSz w:w="11900" w:h="16838" w:orient="portrait"/>
          <w:cols w:equalWidth="0" w:num="1">
            <w:col w:w="11020"/>
          </w:cols>
          <w:pgMar w:left="440" w:top="274" w:right="439" w:bottom="1440" w:gutter="0" w:footer="0" w:header="0"/>
        </w:sectPr>
      </w:pPr>
    </w:p>
    <w:bookmarkStart w:id="61" w:name="page62"/>
    <w:bookmarkEnd w:id="61"/>
    <w:p>
      <w:pPr>
        <w:ind w:right="200" w:firstLine="436"/>
        <w:spacing w:after="0" w:line="263"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Right to Continued Service</w:t>
      </w:r>
      <w:r>
        <w:rPr>
          <w:rFonts w:ascii="Arial" w:cs="Arial" w:eastAsia="Arial" w:hAnsi="Arial"/>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83" w:lineRule="exact"/>
        <w:rPr>
          <w:rFonts w:ascii="Arial" w:cs="Arial" w:eastAsia="Arial" w:hAnsi="Arial"/>
          <w:sz w:val="18"/>
          <w:szCs w:val="18"/>
          <w:color w:val="auto"/>
        </w:rPr>
      </w:pPr>
    </w:p>
    <w:p>
      <w:pPr>
        <w:ind w:right="320" w:firstLine="436"/>
        <w:spacing w:after="0" w:line="277" w:lineRule="auto"/>
        <w:tabs>
          <w:tab w:leader="none" w:pos="75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70" w:lineRule="exact"/>
        <w:rPr>
          <w:rFonts w:ascii="Arial" w:cs="Arial" w:eastAsia="Arial" w:hAnsi="Arial"/>
          <w:sz w:val="18"/>
          <w:szCs w:val="18"/>
          <w:color w:val="auto"/>
        </w:rPr>
      </w:pPr>
    </w:p>
    <w:p>
      <w:pPr>
        <w:ind w:right="260" w:firstLine="436"/>
        <w:spacing w:after="0" w:line="286" w:lineRule="auto"/>
        <w:tabs>
          <w:tab w:leader="none" w:pos="75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Non-Solicitation and Non-Hire</w:t>
      </w:r>
      <w:r>
        <w:rPr>
          <w:rFonts w:ascii="Arial" w:cs="Arial" w:eastAsia="Arial" w:hAnsi="Arial"/>
          <w:sz w:val="17"/>
          <w:szCs w:val="17"/>
          <w:color w:val="auto"/>
        </w:rPr>
        <w:t>. If the Participant has an employment agreement with the Company or any of its Subsidiaries that contains non-solicitation and/or non-hire covenants, the covenants are incorporated into this Award Agreement by reference. To the extent the Participant does not have an employment agreement containing such covenants, the following restrictive covenants shall apply:</w:t>
      </w:r>
    </w:p>
    <w:p>
      <w:pPr>
        <w:spacing w:after="0" w:line="165" w:lineRule="exact"/>
        <w:rPr>
          <w:sz w:val="20"/>
          <w:szCs w:val="20"/>
          <w:color w:val="auto"/>
        </w:rPr>
      </w:pPr>
    </w:p>
    <w:p>
      <w:pPr>
        <w:ind w:right="60" w:firstLine="991"/>
        <w:spacing w:after="0" w:line="267" w:lineRule="auto"/>
        <w:rPr>
          <w:sz w:val="20"/>
          <w:szCs w:val="20"/>
          <w:color w:val="auto"/>
        </w:rPr>
      </w:pPr>
      <w:r>
        <w:rPr>
          <w:rFonts w:ascii="Arial" w:cs="Arial" w:eastAsia="Arial" w:hAnsi="Arial"/>
          <w:sz w:val="17"/>
          <w:szCs w:val="17"/>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6,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Section 6 shall survive termination or settlement of the Award and termination or satisfaction of the Award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1020"/>
          </w:cols>
          <w:pgMar w:left="440" w:top="274" w:right="439" w:bottom="1440" w:gutter="0" w:footer="0" w:header="0"/>
        </w:sectPr>
      </w:pPr>
    </w:p>
    <w:bookmarkStart w:id="62" w:name="page63"/>
    <w:bookmarkEnd w:id="62"/>
    <w:p>
      <w:pPr>
        <w:ind w:right="60" w:firstLine="436"/>
        <w:spacing w:after="0" w:line="254" w:lineRule="auto"/>
        <w:tabs>
          <w:tab w:leader="none" w:pos="75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Laws/Legend on Certificates</w:t>
      </w:r>
      <w:r>
        <w:rPr>
          <w:rFonts w:ascii="Arial" w:cs="Arial" w:eastAsia="Arial" w:hAnsi="Arial"/>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Arial" w:cs="Arial" w:eastAsia="Arial" w:hAnsi="Arial"/>
          <w:sz w:val="18"/>
          <w:szCs w:val="18"/>
          <w:color w:val="auto"/>
        </w:rPr>
      </w:pPr>
    </w:p>
    <w:p>
      <w:pPr>
        <w:ind w:right="80" w:firstLine="436"/>
        <w:spacing w:after="0" w:line="272" w:lineRule="auto"/>
        <w:tabs>
          <w:tab w:leader="none" w:pos="75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77" w:lineRule="exact"/>
        <w:rPr>
          <w:rFonts w:ascii="Arial" w:cs="Arial" w:eastAsia="Arial" w:hAnsi="Arial"/>
          <w:sz w:val="17"/>
          <w:szCs w:val="17"/>
          <w:color w:val="auto"/>
        </w:rPr>
      </w:pPr>
    </w:p>
    <w:p>
      <w:pPr>
        <w:ind w:right="380" w:firstLine="436"/>
        <w:spacing w:after="0" w:line="286" w:lineRule="auto"/>
        <w:tabs>
          <w:tab w:leader="none" w:pos="75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65" w:lineRule="exact"/>
        <w:rPr>
          <w:rFonts w:ascii="Arial" w:cs="Arial" w:eastAsia="Arial" w:hAnsi="Arial"/>
          <w:sz w:val="17"/>
          <w:szCs w:val="17"/>
          <w:color w:val="auto"/>
        </w:rPr>
      </w:pPr>
    </w:p>
    <w:p>
      <w:pPr>
        <w:ind w:right="80" w:firstLine="436"/>
        <w:spacing w:after="0" w:line="259" w:lineRule="auto"/>
        <w:tabs>
          <w:tab w:leader="none" w:pos="84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jc w:val="both"/>
        <w:ind w:right="300" w:firstLine="436"/>
        <w:spacing w:after="0" w:line="263" w:lineRule="auto"/>
        <w:tabs>
          <w:tab w:leader="none" w:pos="83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83" w:lineRule="exact"/>
        <w:rPr>
          <w:rFonts w:ascii="Arial" w:cs="Arial" w:eastAsia="Arial" w:hAnsi="Arial"/>
          <w:sz w:val="18"/>
          <w:szCs w:val="18"/>
          <w:color w:val="auto"/>
        </w:rPr>
      </w:pPr>
    </w:p>
    <w:p>
      <w:pPr>
        <w:ind w:right="80" w:firstLine="436"/>
        <w:spacing w:after="0" w:line="277" w:lineRule="auto"/>
        <w:tabs>
          <w:tab w:leader="none" w:pos="84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Award Agreement shall be deemed to be a waiver of any other or subsequent breach or condition whether of like or different nature.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8</w:t>
      </w:r>
    </w:p>
    <w:p>
      <w:pPr>
        <w:sectPr>
          <w:pgSz w:w="11900" w:h="16838" w:orient="portrait"/>
          <w:cols w:equalWidth="0" w:num="1">
            <w:col w:w="11020"/>
          </w:cols>
          <w:pgMar w:left="440" w:top="274" w:right="439" w:bottom="1440" w:gutter="0" w:footer="0" w:header="0"/>
        </w:sectPr>
      </w:pPr>
    </w:p>
    <w:bookmarkStart w:id="63" w:name="page64"/>
    <w:bookmarkEnd w:id="63"/>
    <w:p>
      <w:pPr>
        <w:ind w:right="140" w:firstLine="436"/>
        <w:spacing w:after="0" w:line="259" w:lineRule="auto"/>
        <w:tabs>
          <w:tab w:leader="none" w:pos="84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6" w:lineRule="exact"/>
        <w:rPr>
          <w:rFonts w:ascii="Arial" w:cs="Arial" w:eastAsia="Arial" w:hAnsi="Arial"/>
          <w:sz w:val="18"/>
          <w:szCs w:val="18"/>
          <w:color w:val="auto"/>
        </w:rPr>
      </w:pPr>
    </w:p>
    <w:p>
      <w:pPr>
        <w:ind w:left="840" w:hanging="40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7"/>
        <w:spacing w:after="0" w:line="269" w:lineRule="auto"/>
        <w:tabs>
          <w:tab w:leader="none" w:pos="1368"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Arial" w:cs="Arial" w:eastAsia="Arial" w:hAnsi="Arial"/>
          <w:sz w:val="17"/>
          <w:szCs w:val="17"/>
          <w:b w:val="1"/>
          <w:b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85" w:lineRule="exact"/>
        <w:rPr>
          <w:rFonts w:ascii="Arial" w:cs="Arial" w:eastAsia="Arial" w:hAnsi="Arial"/>
          <w:sz w:val="17"/>
          <w:szCs w:val="17"/>
          <w:color w:val="auto"/>
        </w:rPr>
      </w:pPr>
    </w:p>
    <w:p>
      <w:pPr>
        <w:ind w:right="380" w:firstLine="987"/>
        <w:spacing w:after="0" w:line="263" w:lineRule="auto"/>
        <w:tabs>
          <w:tab w:leader="none" w:pos="13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83" w:lineRule="exact"/>
        <w:rPr>
          <w:rFonts w:ascii="Arial" w:cs="Arial" w:eastAsia="Arial" w:hAnsi="Arial"/>
          <w:sz w:val="18"/>
          <w:szCs w:val="18"/>
          <w:color w:val="auto"/>
        </w:rPr>
      </w:pPr>
    </w:p>
    <w:p>
      <w:pPr>
        <w:ind w:right="180" w:firstLine="436"/>
        <w:spacing w:after="0" w:line="257" w:lineRule="auto"/>
        <w:tabs>
          <w:tab w:leader="none" w:pos="84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Award Subject to Plan</w:t>
      </w:r>
      <w:r>
        <w:rPr>
          <w:rFonts w:ascii="Arial" w:cs="Arial" w:eastAsia="Arial" w:hAnsi="Arial"/>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7" w:lineRule="exact"/>
        <w:rPr>
          <w:rFonts w:ascii="Arial" w:cs="Arial" w:eastAsia="Arial" w:hAnsi="Arial"/>
          <w:sz w:val="18"/>
          <w:szCs w:val="18"/>
          <w:color w:val="auto"/>
        </w:rPr>
      </w:pPr>
    </w:p>
    <w:p>
      <w:pPr>
        <w:ind w:right="260" w:firstLine="436"/>
        <w:spacing w:after="0" w:line="277" w:lineRule="auto"/>
        <w:tabs>
          <w:tab w:leader="none" w:pos="84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Guarantees Regarding Tax Treatment</w:t>
      </w:r>
      <w:r>
        <w:rPr>
          <w:rFonts w:ascii="Arial" w:cs="Arial" w:eastAsia="Arial" w:hAnsi="Arial"/>
          <w:sz w:val="18"/>
          <w:szCs w:val="18"/>
          <w:color w:val="auto"/>
        </w:rPr>
        <w:t>. The Participant shall be responsible for all taxes with respect to the Award. The Committee and the Company make no guarantees regarding the tax treatment of the Award.</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or alter this Award Agreement and the Award granted hereunder at any time, subject to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10" w:lineRule="exact"/>
        <w:rPr>
          <w:rFonts w:ascii="Arial" w:cs="Arial" w:eastAsia="Arial" w:hAnsi="Arial"/>
          <w:sz w:val="16"/>
          <w:szCs w:val="16"/>
          <w:color w:val="auto"/>
        </w:rPr>
      </w:pPr>
    </w:p>
    <w:p>
      <w:pPr>
        <w:ind w:right="220" w:firstLine="436"/>
        <w:spacing w:after="0" w:line="277" w:lineRule="auto"/>
        <w:tabs>
          <w:tab w:leader="none" w:pos="84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1020"/>
          </w:cols>
          <w:pgMar w:left="440" w:top="274" w:right="439" w:bottom="1440" w:gutter="0" w:footer="0" w:header="0"/>
        </w:sectPr>
      </w:pPr>
    </w:p>
    <w:bookmarkStart w:id="64" w:name="page65"/>
    <w:bookmarkEnd w:id="64"/>
    <w:p>
      <w:pPr>
        <w:ind w:right="240" w:firstLine="436"/>
        <w:spacing w:after="0" w:line="272" w:lineRule="auto"/>
        <w:tabs>
          <w:tab w:leader="none" w:pos="84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Signature and Delivery</w:t>
      </w:r>
      <w:r>
        <w:rPr>
          <w:rFonts w:ascii="Arial" w:cs="Arial" w:eastAsia="Arial" w:hAnsi="Arial"/>
          <w:sz w:val="17"/>
          <w:szCs w:val="17"/>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77" w:lineRule="exact"/>
        <w:rPr>
          <w:rFonts w:ascii="Arial" w:cs="Arial" w:eastAsia="Arial" w:hAnsi="Arial"/>
          <w:sz w:val="17"/>
          <w:szCs w:val="17"/>
          <w:color w:val="auto"/>
        </w:rPr>
      </w:pPr>
    </w:p>
    <w:p>
      <w:pPr>
        <w:ind w:right="620" w:firstLine="436"/>
        <w:spacing w:after="0" w:line="277" w:lineRule="auto"/>
        <w:tabs>
          <w:tab w:leader="none" w:pos="84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1020"/>
          </w:cols>
          <w:pgMar w:left="440" w:top="274" w:right="439" w:bottom="1440" w:gutter="0" w:footer="0" w:header="0"/>
        </w:sectPr>
      </w:pPr>
    </w:p>
    <w:bookmarkStart w:id="65" w:name="page66"/>
    <w:bookmarkEnd w:id="6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Agreement as of the date first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Agreement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1020"/>
          </w:cols>
          <w:pgMar w:left="440" w:top="274"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Exhibit 10.4</w:t>
            </w:r>
          </w:p>
        </w:tc>
      </w:tr>
      <w:tr>
        <w:trPr>
          <w:trHeight w:val="414"/>
        </w:trPr>
        <w:tc>
          <w:tcPr>
            <w:tcW w:w="9960" w:type="dxa"/>
            <w:vAlign w:val="bottom"/>
            <w:gridSpan w:val="16"/>
          </w:tcPr>
          <w:p>
            <w:pPr>
              <w:jc w:val="center"/>
              <w:ind w:left="970"/>
              <w:spacing w:after="0"/>
              <w:rPr>
                <w:sz w:val="20"/>
                <w:szCs w:val="20"/>
                <w:color w:val="auto"/>
              </w:rPr>
            </w:pPr>
            <w:r>
              <w:rPr>
                <w:rFonts w:ascii="Arial" w:cs="Arial" w:eastAsia="Arial" w:hAnsi="Arial"/>
                <w:sz w:val="18"/>
                <w:szCs w:val="18"/>
                <w:b w:val="1"/>
                <w:bCs w:val="1"/>
                <w:color w:val="auto"/>
                <w:w w:val="92"/>
              </w:rPr>
              <w:t>Dave &amp; Buster’s Entertainment, Inc.</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9960" w:type="dxa"/>
            <w:vAlign w:val="bottom"/>
            <w:gridSpan w:val="16"/>
          </w:tcPr>
          <w:p>
            <w:pPr>
              <w:jc w:val="center"/>
              <w:ind w:left="970"/>
              <w:spacing w:after="0"/>
              <w:rPr>
                <w:sz w:val="20"/>
                <w:szCs w:val="20"/>
                <w:color w:val="auto"/>
              </w:rPr>
            </w:pPr>
            <w:r>
              <w:rPr>
                <w:rFonts w:ascii="Arial" w:cs="Arial" w:eastAsia="Arial" w:hAnsi="Arial"/>
                <w:sz w:val="18"/>
                <w:szCs w:val="18"/>
                <w:b w:val="1"/>
                <w:bCs w:val="1"/>
                <w:color w:val="auto"/>
                <w:w w:val="90"/>
              </w:rPr>
              <w:t>2014 Omnibus Incentive Plan</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9960" w:type="dxa"/>
            <w:vAlign w:val="bottom"/>
            <w:gridSpan w:val="16"/>
          </w:tcPr>
          <w:p>
            <w:pPr>
              <w:jc w:val="center"/>
              <w:ind w:left="970"/>
              <w:spacing w:after="0"/>
              <w:rPr>
                <w:sz w:val="20"/>
                <w:szCs w:val="20"/>
                <w:color w:val="auto"/>
              </w:rPr>
            </w:pPr>
            <w:r>
              <w:rPr>
                <w:rFonts w:ascii="Arial" w:cs="Arial" w:eastAsia="Arial" w:hAnsi="Arial"/>
                <w:sz w:val="18"/>
                <w:szCs w:val="18"/>
                <w:b w:val="1"/>
                <w:bCs w:val="1"/>
                <w:color w:val="auto"/>
                <w:w w:val="89"/>
              </w:rPr>
              <w:t>(Performance Based)</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9960" w:type="dxa"/>
            <w:vAlign w:val="bottom"/>
            <w:gridSpan w:val="16"/>
          </w:tcPr>
          <w:p>
            <w:pPr>
              <w:jc w:val="center"/>
              <w:ind w:left="970"/>
              <w:spacing w:after="0"/>
              <w:rPr>
                <w:sz w:val="20"/>
                <w:szCs w:val="20"/>
                <w:color w:val="auto"/>
              </w:rPr>
            </w:pPr>
            <w:r>
              <w:rPr>
                <w:rFonts w:ascii="Arial" w:cs="Arial" w:eastAsia="Arial" w:hAnsi="Arial"/>
                <w:sz w:val="18"/>
                <w:szCs w:val="18"/>
                <w:b w:val="1"/>
                <w:bCs w:val="1"/>
                <w:color w:val="auto"/>
              </w:rPr>
              <w:t>RESTRICTED STOCK UNIT AWARD AGREEMENT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9220" w:type="dxa"/>
            <w:vAlign w:val="bottom"/>
            <w:gridSpan w:val="15"/>
          </w:tcPr>
          <w:p>
            <w:pPr>
              <w:ind w:left="980"/>
              <w:spacing w:after="0"/>
              <w:rPr>
                <w:sz w:val="20"/>
                <w:szCs w:val="20"/>
                <w:color w:val="auto"/>
              </w:rPr>
            </w:pPr>
            <w:r>
              <w:rPr>
                <w:rFonts w:ascii="Arial" w:cs="Arial" w:eastAsia="Arial" w:hAnsi="Arial"/>
                <w:sz w:val="18"/>
                <w:szCs w:val="18"/>
                <w:color w:val="auto"/>
                <w:w w:val="94"/>
              </w:rPr>
              <w:t>THIS RESTRICTED STOCK UNIT AWARD AGREEMENT (this “</w:t>
            </w:r>
            <w:r>
              <w:rPr>
                <w:rFonts w:ascii="Arial" w:cs="Arial" w:eastAsia="Arial" w:hAnsi="Arial"/>
                <w:sz w:val="18"/>
                <w:szCs w:val="18"/>
                <w:b w:val="1"/>
                <w:bCs w:val="1"/>
                <w:color w:val="auto"/>
                <w:w w:val="94"/>
              </w:rPr>
              <w:t>Award Agreement</w:t>
            </w:r>
            <w:r>
              <w:rPr>
                <w:rFonts w:ascii="Arial" w:cs="Arial" w:eastAsia="Arial" w:hAnsi="Arial"/>
                <w:sz w:val="18"/>
                <w:szCs w:val="18"/>
                <w:color w:val="auto"/>
                <w:w w:val="94"/>
              </w:rPr>
              <w:t>”) is made effective as of</w:t>
            </w: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(the</w:t>
            </w:r>
          </w:p>
        </w:tc>
      </w:tr>
      <w:tr>
        <w:trPr>
          <w:trHeight w:val="237"/>
        </w:trPr>
        <w:tc>
          <w:tcPr>
            <w:tcW w:w="9960" w:type="dxa"/>
            <w:vAlign w:val="bottom"/>
            <w:gridSpan w:val="16"/>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Date of Grant</w:t>
            </w:r>
            <w:r>
              <w:rPr>
                <w:rFonts w:ascii="Arial" w:cs="Arial" w:eastAsia="Arial" w:hAnsi="Arial"/>
                <w:sz w:val="18"/>
                <w:szCs w:val="18"/>
                <w:color w:val="auto"/>
                <w:w w:val="94"/>
              </w:rPr>
              <w:t>”), between Dave &amp; Buster’s Entertainment, Inc., a Delaware corporation (the “</w:t>
            </w:r>
            <w:r>
              <w:rPr>
                <w:rFonts w:ascii="Arial" w:cs="Arial" w:eastAsia="Arial" w:hAnsi="Arial"/>
                <w:sz w:val="18"/>
                <w:szCs w:val="18"/>
                <w:b w:val="1"/>
                <w:bCs w:val="1"/>
                <w:color w:val="auto"/>
                <w:w w:val="94"/>
              </w:rPr>
              <w:t>Company</w:t>
            </w:r>
            <w:r>
              <w:rPr>
                <w:rFonts w:ascii="Arial" w:cs="Arial" w:eastAsia="Arial" w:hAnsi="Arial"/>
                <w:sz w:val="18"/>
                <w:szCs w:val="18"/>
                <w:color w:val="auto"/>
                <w:w w:val="94"/>
              </w:rPr>
              <w:t>”) and [●] (the “</w:t>
            </w:r>
            <w:r>
              <w:rPr>
                <w:rFonts w:ascii="Arial" w:cs="Arial" w:eastAsia="Arial" w:hAnsi="Arial"/>
                <w:sz w:val="18"/>
                <w:szCs w:val="18"/>
                <w:b w:val="1"/>
                <w:bCs w:val="1"/>
                <w:color w:val="auto"/>
                <w:w w:val="94"/>
              </w:rPr>
              <w:t>Participant</w:t>
            </w:r>
            <w:r>
              <w:rPr>
                <w:rFonts w:ascii="Arial" w:cs="Arial" w:eastAsia="Arial" w:hAnsi="Arial"/>
                <w:sz w:val="18"/>
                <w:szCs w:val="18"/>
                <w:color w:val="auto"/>
                <w:w w:val="94"/>
              </w:rPr>
              <w:t>”).</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900" w:type="dxa"/>
            <w:vAlign w:val="bottom"/>
          </w:tcPr>
          <w:p>
            <w:pPr>
              <w:spacing w:after="0"/>
              <w:rPr>
                <w:sz w:val="24"/>
                <w:szCs w:val="24"/>
                <w:color w:val="auto"/>
              </w:rPr>
            </w:pPr>
          </w:p>
        </w:tc>
        <w:tc>
          <w:tcPr>
            <w:tcW w:w="5060" w:type="dxa"/>
            <w:vAlign w:val="bottom"/>
            <w:gridSpan w:val="15"/>
          </w:tcPr>
          <w:p>
            <w:pPr>
              <w:jc w:val="center"/>
              <w:ind w:right="3840"/>
              <w:spacing w:after="0"/>
              <w:rPr>
                <w:sz w:val="20"/>
                <w:szCs w:val="20"/>
                <w:color w:val="auto"/>
              </w:rPr>
            </w:pPr>
            <w:r>
              <w:rPr>
                <w:rFonts w:ascii="Arial" w:cs="Arial" w:eastAsia="Arial" w:hAnsi="Arial"/>
                <w:sz w:val="18"/>
                <w:szCs w:val="18"/>
                <w:color w:val="auto"/>
                <w:w w:val="95"/>
              </w:rPr>
              <w:t xml:space="preserve">R E C </w:t>
            </w:r>
            <w:r>
              <w:rPr>
                <w:rFonts w:ascii="Arial" w:cs="Arial" w:eastAsia="Arial" w:hAnsi="Arial"/>
                <w:sz w:val="18"/>
                <w:szCs w:val="18"/>
                <w:u w:val="single" w:color="auto"/>
                <w:color w:val="auto"/>
                <w:w w:val="95"/>
              </w:rPr>
              <w:t>I</w:t>
            </w:r>
            <w:r>
              <w:rPr>
                <w:rFonts w:ascii="Arial" w:cs="Arial" w:eastAsia="Arial" w:hAnsi="Arial"/>
                <w:sz w:val="18"/>
                <w:szCs w:val="18"/>
                <w:color w:val="auto"/>
                <w:w w:val="95"/>
              </w:rPr>
              <w:t xml:space="preserve"> T A L 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WHEREAS, the Company has adopted the Dave &amp; Buster’s Entertainment, Inc. 2014 Omnibus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and</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“Committee”) has determined that it would be in the best interests of the Company and its stockholders to grant the award (the “</w:t>
      </w:r>
      <w:r>
        <w:rPr>
          <w:rFonts w:ascii="Arial" w:cs="Arial" w:eastAsia="Arial" w:hAnsi="Arial"/>
          <w:sz w:val="18"/>
          <w:szCs w:val="18"/>
          <w:b w:val="1"/>
          <w:bCs w:val="1"/>
          <w:color w:val="auto"/>
        </w:rPr>
        <w:t>Award</w:t>
      </w:r>
      <w:r>
        <w:rPr>
          <w:rFonts w:ascii="Arial" w:cs="Arial" w:eastAsia="Arial" w:hAnsi="Arial"/>
          <w:sz w:val="18"/>
          <w:szCs w:val="18"/>
          <w:color w:val="auto"/>
        </w:rPr>
        <w:t>”) of performance-vesting restricted stock units (each, an “</w:t>
      </w:r>
      <w:r>
        <w:rPr>
          <w:rFonts w:ascii="Arial" w:cs="Arial" w:eastAsia="Arial" w:hAnsi="Arial"/>
          <w:sz w:val="18"/>
          <w:szCs w:val="18"/>
          <w:b w:val="1"/>
          <w:bCs w:val="1"/>
          <w:color w:val="auto"/>
        </w:rPr>
        <w:t>RSU</w:t>
      </w:r>
      <w:r>
        <w:rPr>
          <w:rFonts w:ascii="Arial" w:cs="Arial" w:eastAsia="Arial" w:hAnsi="Arial"/>
          <w:sz w:val="18"/>
          <w:szCs w:val="18"/>
          <w:color w:val="auto"/>
        </w:rPr>
        <w:t>”) provided for herein to the Participant pursuant to the Plan and the terms set forth 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RSUs on the following terms:</w:t>
      </w:r>
    </w:p>
    <w:p>
      <w:pPr>
        <w:spacing w:after="0" w:line="2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Upon achievement of target-level performance set forth in this Agreement, [●] RSUs may be earned under this Award (the “</w:t>
      </w:r>
      <w:r>
        <w:rPr>
          <w:rFonts w:ascii="Arial" w:cs="Arial" w:eastAsia="Arial" w:hAnsi="Arial"/>
          <w:sz w:val="16"/>
          <w:szCs w:val="16"/>
          <w:b w:val="1"/>
          <w:bCs w:val="1"/>
          <w:color w:val="auto"/>
        </w:rPr>
        <w:t>Target</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Achievable RSUs</w:t>
      </w:r>
      <w:r>
        <w:rPr>
          <w:rFonts w:ascii="Arial" w:cs="Arial" w:eastAsia="Arial" w:hAnsi="Arial"/>
          <w:sz w:val="18"/>
          <w:szCs w:val="18"/>
          <w:color w:val="auto"/>
        </w:rPr>
        <w:t>”) in respect of the one-year performance period commencing on and ending on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and the last day,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-172720</wp:posOffset>
            </wp:positionV>
            <wp:extent cx="8001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-172720</wp:posOffset>
            </wp:positionV>
            <wp:extent cx="913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61" w:lineRule="exact"/>
        <w:rPr>
          <w:sz w:val="20"/>
          <w:szCs w:val="20"/>
          <w:color w:val="auto"/>
        </w:rPr>
      </w:pPr>
    </w:p>
    <w:p>
      <w:pPr>
        <w:ind w:left="1380" w:hanging="393"/>
        <w:spacing w:after="0"/>
        <w:tabs>
          <w:tab w:leader="none" w:pos="13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RSU represents one notional share of common stock, par value $.01 per share, of the Company (each, a “</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760" w:hanging="324"/>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p>
    <w:p>
      <w:pPr>
        <w:spacing w:after="0" w:line="225" w:lineRule="exact"/>
        <w:rPr>
          <w:rFonts w:ascii="Arial" w:cs="Arial" w:eastAsia="Arial" w:hAnsi="Arial"/>
          <w:sz w:val="18"/>
          <w:szCs w:val="18"/>
          <w:color w:val="auto"/>
        </w:rPr>
      </w:pPr>
    </w:p>
    <w:p>
      <w:pPr>
        <w:ind w:right="40" w:firstLine="987"/>
        <w:spacing w:after="0" w:line="275" w:lineRule="auto"/>
        <w:tabs>
          <w:tab w:leader="none" w:pos="137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Calculation of Earned Portion</w:t>
      </w:r>
      <w:r>
        <w:rPr>
          <w:rFonts w:ascii="Arial" w:cs="Arial" w:eastAsia="Arial" w:hAnsi="Arial"/>
          <w:sz w:val="17"/>
          <w:szCs w:val="17"/>
          <w:color w:val="auto"/>
        </w:rPr>
        <w:t>. The Award shall be one hundred percent (100%) unvested as of the Date of Grant. Pursuant to the terms of the Plan and this Award Agreement, including, without limitation, Sections 3 and 4 below, as soon as reasonably practicable following the Closing Date, the Committee shall determine and certify the number of RSUs, if any, that shall be deemed earned and eligible for vesting and settlement (such RSUs, “</w:t>
      </w:r>
      <w:r>
        <w:rPr>
          <w:rFonts w:ascii="Arial" w:cs="Arial" w:eastAsia="Arial" w:hAnsi="Arial"/>
          <w:sz w:val="17"/>
          <w:szCs w:val="17"/>
          <w:b w:val="1"/>
          <w:bCs w:val="1"/>
          <w:color w:val="auto"/>
        </w:rPr>
        <w:t>Earned RSUs</w:t>
      </w:r>
      <w:r>
        <w:rPr>
          <w:rFonts w:ascii="Arial" w:cs="Arial" w:eastAsia="Arial" w:hAnsi="Arial"/>
          <w:sz w:val="17"/>
          <w:szCs w:val="17"/>
          <w:color w:val="auto"/>
        </w:rPr>
        <w:t>”) in accordance with subsection (c) below. Any and all RSUs that are not deemed to be Earned RSUs shall be forfeited and canceled immediately without consideration and shall not be eligible for settlement in accordance with Section 3 hereof.</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020"/>
          </w:cols>
          <w:pgMar w:left="440" w:top="121"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ind w:left="980"/>
              <w:spacing w:after="0"/>
              <w:rPr>
                <w:sz w:val="20"/>
                <w:szCs w:val="20"/>
                <w:color w:val="auto"/>
              </w:rPr>
            </w:pPr>
            <w:r>
              <w:rPr>
                <w:rFonts w:ascii="Arial" w:cs="Arial" w:eastAsia="Arial" w:hAnsi="Arial"/>
                <w:sz w:val="18"/>
                <w:szCs w:val="18"/>
                <w:color w:val="auto"/>
                <w:w w:val="92"/>
              </w:rPr>
              <w:t>(b)  Service Vesting. The Earned RSUs shall vest on</w:t>
            </w:r>
          </w:p>
        </w:tc>
        <w:tc>
          <w:tcPr>
            <w:tcW w:w="5900" w:type="dxa"/>
            <w:vAlign w:val="bottom"/>
            <w:gridSpan w:val="2"/>
          </w:tcPr>
          <w:p>
            <w:pPr>
              <w:ind w:left="1440"/>
              <w:spacing w:after="0"/>
              <w:rPr>
                <w:sz w:val="20"/>
                <w:szCs w:val="20"/>
                <w:color w:val="auto"/>
              </w:rPr>
            </w:pPr>
            <w:r>
              <w:rPr>
                <w:rFonts w:ascii="Arial" w:cs="Arial" w:eastAsia="Arial" w:hAnsi="Arial"/>
                <w:sz w:val="18"/>
                <w:szCs w:val="18"/>
                <w:color w:val="auto"/>
                <w:w w:val="90"/>
              </w:rPr>
              <w:t>, subject to earlier vesting in accordance with Section 4 below</w:t>
            </w:r>
          </w:p>
        </w:tc>
      </w:tr>
      <w:tr>
        <w:trPr>
          <w:trHeight w:val="20"/>
        </w:trPr>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37"/>
        </w:trPr>
        <w:tc>
          <w:tcPr>
            <w:tcW w:w="4880" w:type="dxa"/>
            <w:vAlign w:val="bottom"/>
            <w:gridSpan w:val="3"/>
          </w:tcPr>
          <w:p>
            <w:pPr>
              <w:spacing w:after="0"/>
              <w:rPr>
                <w:sz w:val="20"/>
                <w:szCs w:val="20"/>
                <w:color w:val="auto"/>
              </w:rPr>
            </w:pPr>
            <w:r>
              <w:rPr>
                <w:rFonts w:ascii="Arial" w:cs="Arial" w:eastAsia="Arial" w:hAnsi="Arial"/>
                <w:sz w:val="18"/>
                <w:szCs w:val="18"/>
                <w:color w:val="auto"/>
              </w:rPr>
              <w:t>(the date of vesting, the “</w:t>
            </w:r>
            <w:r>
              <w:rPr>
                <w:rFonts w:ascii="Arial" w:cs="Arial" w:eastAsia="Arial" w:hAnsi="Arial"/>
                <w:sz w:val="18"/>
                <w:szCs w:val="18"/>
                <w:b w:val="1"/>
                <w:bCs w:val="1"/>
                <w:color w:val="auto"/>
              </w:rPr>
              <w:t>Vesting Date</w:t>
            </w:r>
            <w:r>
              <w:rPr>
                <w:rFonts w:ascii="Arial" w:cs="Arial" w:eastAsia="Arial" w:hAnsi="Arial"/>
                <w:sz w:val="18"/>
                <w:szCs w:val="18"/>
                <w:color w:val="auto"/>
              </w:rPr>
              <w:t>”).</w:t>
            </w:r>
          </w:p>
        </w:tc>
        <w:tc>
          <w:tcPr>
            <w:tcW w:w="144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20" w:firstLine="987"/>
        <w:spacing w:after="0" w:line="273" w:lineRule="auto"/>
        <w:tabs>
          <w:tab w:leader="none" w:pos="137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Performance Calculation</w:t>
      </w:r>
      <w:r>
        <w:rPr>
          <w:rFonts w:ascii="Arial" w:cs="Arial" w:eastAsia="Arial" w:hAnsi="Arial"/>
          <w:sz w:val="17"/>
          <w:szCs w:val="17"/>
          <w:color w:val="auto"/>
        </w:rPr>
        <w:t>. All or a portion of the RSUs shall be deemed earned as set forth in the table below based on the volume-weighted average closing price of a share of the Company’s common stock for any consecutive 10-trading day period (the “Average Share Price”) during the Performance Period. If during the Performance Period, the Average Share Price fails to achieve the maximum level but falls between the minimum level and maximum level (each such level as set forth below), then the percentage of RSUs that shall be deemed earned shall be determined using straight-line interpolation between the two applicable levels. The RSUs that are deemed earned in accordance with this Section 2(c) shall be payable as of (and not before) the Settlement Date (defined below).</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Average Share Price</w:t>
            </w:r>
          </w:p>
        </w:tc>
        <w:tc>
          <w:tcPr>
            <w:tcW w:w="5340" w:type="dxa"/>
            <w:vAlign w:val="bottom"/>
            <w:vMerge w:val="restart"/>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1260" w:type="dxa"/>
            <w:vAlign w:val="bottom"/>
            <w:tcBorders>
              <w:bottom w:val="single" w:sz="8" w:color="auto"/>
            </w:tcBorders>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of RSUs</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or greater (maximum level)</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 (minimum level)</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hanging="324"/>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71" w:lineRule="auto"/>
        <w:tabs>
          <w:tab w:leader="none" w:pos="1371"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Share Settlement</w:t>
      </w:r>
      <w:r>
        <w:rPr>
          <w:rFonts w:ascii="Arial" w:cs="Arial" w:eastAsia="Arial" w:hAnsi="Arial"/>
          <w:sz w:val="17"/>
          <w:szCs w:val="17"/>
          <w:color w:val="auto"/>
        </w:rPr>
        <w:t>. Pursuant to the terms of the Plan and this Award Agreement, including, without limitation, Sections 3(b) and 4 below, and to the extent that it would not cause a violation of Section 409A, each vested Earned RSU shall be settled by the issuance of a Share as soon as practicable following the Vesting Date, and in all events no later than the June 30 next following the Vesting Date, as determined solely by the Company (the date of settlement, the “</w:t>
      </w:r>
      <w:r>
        <w:rPr>
          <w:rFonts w:ascii="Arial" w:cs="Arial" w:eastAsia="Arial" w:hAnsi="Arial"/>
          <w:sz w:val="17"/>
          <w:szCs w:val="17"/>
          <w:b w:val="1"/>
          <w:bCs w:val="1"/>
          <w:color w:val="auto"/>
        </w:rPr>
        <w:t>Settlement Date</w:t>
      </w:r>
      <w:r>
        <w:rPr>
          <w:rFonts w:ascii="Arial" w:cs="Arial" w:eastAsia="Arial" w:hAnsi="Arial"/>
          <w:sz w:val="17"/>
          <w:szCs w:val="17"/>
          <w:color w:val="auto"/>
        </w:rPr>
        <w:t>”). Vested and Earned RSUs settled via Share issuance shall be distributed to the Participant or the Participant’s legal representative; provided, that the Company may, at its election, either (a) on or after the Settlement Date, issue a certificate representing the Shares subject to this Award Agreement, or (b) not issue any certificate representing Shares subject to this Award Agreement and instead document the Participant’s or the Participant’s legal representative’s interest in the Shares by registering the Shares with the Company’s transfer agent (or another custodian selected by the Company) in book-entry form.</w:t>
      </w:r>
    </w:p>
    <w:p>
      <w:pPr>
        <w:spacing w:after="0" w:line="174" w:lineRule="exact"/>
        <w:rPr>
          <w:rFonts w:ascii="Arial" w:cs="Arial" w:eastAsia="Arial" w:hAnsi="Arial"/>
          <w:sz w:val="17"/>
          <w:szCs w:val="17"/>
          <w:color w:val="auto"/>
        </w:rPr>
      </w:pPr>
    </w:p>
    <w:p>
      <w:pPr>
        <w:ind w:right="300" w:firstLine="987"/>
        <w:spacing w:after="0" w:line="282" w:lineRule="auto"/>
        <w:tabs>
          <w:tab w:leader="none" w:pos="138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maximum number of Shares issuable under this Award Agreement (the “</w:t>
      </w:r>
      <w:r>
        <w:rPr>
          <w:rFonts w:ascii="Arial" w:cs="Arial" w:eastAsia="Arial" w:hAnsi="Arial"/>
          <w:sz w:val="18"/>
          <w:szCs w:val="18"/>
          <w:b w:val="1"/>
          <w:bCs w:val="1"/>
          <w:color w:val="auto"/>
        </w:rPr>
        <w:t>Maximum Share Limit</w:t>
      </w:r>
      <w:r>
        <w:rPr>
          <w:rFonts w:ascii="Arial" w:cs="Arial" w:eastAsia="Arial" w:hAnsi="Arial"/>
          <w:sz w:val="18"/>
          <w:szCs w:val="18"/>
          <w:color w:val="auto"/>
        </w:rPr>
        <w:t>”) shall equal 100% of the Target Achievable RSUs.</w:t>
      </w:r>
    </w:p>
    <w:p>
      <w:pPr>
        <w:spacing w:after="0" w:line="165" w:lineRule="exact"/>
        <w:rPr>
          <w:rFonts w:ascii="Arial" w:cs="Arial" w:eastAsia="Arial" w:hAnsi="Arial"/>
          <w:sz w:val="18"/>
          <w:szCs w:val="18"/>
          <w:color w:val="auto"/>
        </w:rPr>
      </w:pPr>
    </w:p>
    <w:p>
      <w:pPr>
        <w:ind w:right="500" w:firstLine="987"/>
        <w:spacing w:after="0" w:line="277" w:lineRule="auto"/>
        <w:tabs>
          <w:tab w:leader="none" w:pos="137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Award Subject to Clawback Policy</w:t>
      </w:r>
      <w:r>
        <w:rPr>
          <w:rFonts w:ascii="Arial" w:cs="Arial" w:eastAsia="Arial" w:hAnsi="Arial"/>
          <w:sz w:val="18"/>
          <w:szCs w:val="18"/>
          <w:color w:val="auto"/>
        </w:rPr>
        <w:t>. The Participant agrees and acknowledges that the Participant is bound by, and the Award is subject to, any clawback policy adopted by the Committee from time to time.</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Notwithstanding anything herein to the contrary: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020"/>
          </w:cols>
          <w:pgMar w:left="440" w:top="257" w:right="439" w:bottom="1440" w:gutter="0" w:footer="0" w:header="0"/>
        </w:sectPr>
      </w:pPr>
    </w:p>
    <w:bookmarkStart w:id="68" w:name="page69"/>
    <w:bookmarkEnd w:id="68"/>
    <w:p>
      <w:pPr>
        <w:ind w:left="984"/>
        <w:spacing w:after="0"/>
        <w:tabs>
          <w:tab w:leader="none" w:pos="13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sz w:val="20"/>
          <w:szCs w:val="20"/>
          <w:color w:val="auto"/>
        </w:rPr>
        <w:tab/>
      </w:r>
      <w:r>
        <w:rPr>
          <w:rFonts w:ascii="Arial" w:cs="Arial" w:eastAsia="Arial" w:hAnsi="Arial"/>
          <w:sz w:val="16"/>
          <w:szCs w:val="16"/>
          <w:u w:val="single" w:color="auto"/>
          <w:color w:val="auto"/>
        </w:rPr>
        <w:t>Termination of Service Due to Death or Disability</w:t>
      </w:r>
      <w:r>
        <w:rPr>
          <w:rFonts w:ascii="Arial" w:cs="Arial" w:eastAsia="Arial" w:hAnsi="Arial"/>
          <w:sz w:val="16"/>
          <w:szCs w:val="16"/>
          <w:color w:val="auto"/>
        </w:rPr>
        <w:t>. Upon a termination of the Participant’s Service by reason of death or Disability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that occurs:</w:t>
      </w:r>
    </w:p>
    <w:p>
      <w:pPr>
        <w:spacing w:after="0" w:line="103" w:lineRule="exact"/>
        <w:rPr>
          <w:sz w:val="20"/>
          <w:szCs w:val="20"/>
          <w:color w:val="auto"/>
        </w:rPr>
      </w:pPr>
    </w:p>
    <w:p>
      <w:pPr>
        <w:ind w:left="444" w:right="380" w:firstLine="419"/>
        <w:spacing w:after="0" w:line="259" w:lineRule="auto"/>
        <w:tabs>
          <w:tab w:leader="none" w:pos="12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any time prior to the expiration of the Performance Period, then the Award shall be settled in accordance with Section 3 above in respect of 100% of the Target Achievable RSUs, notwithstanding the termination of the Participant’s Service, except that notwithstanding Section 2(b), such RSUs shall be immediately fully vested and thereafter settled within sixty (60) days following such termination of Service, subject to the applicable limitations set forth in Section 3 above; and</w:t>
      </w:r>
    </w:p>
    <w:p>
      <w:pPr>
        <w:spacing w:after="0" w:line="78" w:lineRule="exact"/>
        <w:rPr>
          <w:rFonts w:ascii="Arial" w:cs="Arial" w:eastAsia="Arial" w:hAnsi="Arial"/>
          <w:sz w:val="18"/>
          <w:szCs w:val="18"/>
          <w:color w:val="auto"/>
        </w:rPr>
      </w:pPr>
    </w:p>
    <w:p>
      <w:pPr>
        <w:ind w:left="444" w:right="60" w:firstLine="419"/>
        <w:spacing w:after="0" w:line="259" w:lineRule="auto"/>
        <w:tabs>
          <w:tab w:leader="none" w:pos="12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after the expiration of the Performance Period and prior to the Settlement Date, then the Award shall be settled in accordance with Section 3 above, in respect of the number of then-outstanding Earned RSUs, except that notwithstanding Section 2(b), such RSUs shall be immediately fully vested and settled within thirty (30) days following such termination of Service, subject to the applicable limitations set forth in Section 3 above.</w:t>
      </w:r>
    </w:p>
    <w:p>
      <w:pPr>
        <w:spacing w:after="0" w:line="183"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For purposes of this Award Agreement, “</w:t>
      </w:r>
      <w:r>
        <w:rPr>
          <w:rFonts w:ascii="Arial" w:cs="Arial" w:eastAsia="Arial" w:hAnsi="Arial"/>
          <w:sz w:val="18"/>
          <w:szCs w:val="18"/>
          <w:b w:val="1"/>
          <w:bCs w:val="1"/>
          <w:color w:val="auto"/>
        </w:rPr>
        <w:t>Disability</w:t>
      </w:r>
      <w:r>
        <w:rPr>
          <w:rFonts w:ascii="Arial" w:cs="Arial" w:eastAsia="Arial" w:hAnsi="Arial"/>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93" w:lineRule="exact"/>
        <w:rPr>
          <w:sz w:val="20"/>
          <w:szCs w:val="20"/>
          <w:color w:val="auto"/>
        </w:rPr>
      </w:pPr>
    </w:p>
    <w:p>
      <w:pPr>
        <w:ind w:left="4" w:right="80" w:firstLine="987"/>
        <w:spacing w:after="0" w:line="291" w:lineRule="auto"/>
        <w:tabs>
          <w:tab w:leader="none" w:pos="1385" w:val="left"/>
        </w:tabs>
        <w:numPr>
          <w:ilvl w:val="2"/>
          <w:numId w:val="57"/>
        </w:numPr>
        <w:rPr>
          <w:rFonts w:ascii="Arial" w:cs="Arial" w:eastAsia="Arial" w:hAnsi="Arial"/>
          <w:sz w:val="16"/>
          <w:szCs w:val="16"/>
          <w:color w:val="auto"/>
        </w:rPr>
      </w:pPr>
      <w:r>
        <w:rPr>
          <w:rFonts w:ascii="Arial" w:cs="Arial" w:eastAsia="Arial" w:hAnsi="Arial"/>
          <w:sz w:val="16"/>
          <w:szCs w:val="16"/>
          <w:u w:val="single" w:color="auto"/>
          <w:color w:val="auto"/>
        </w:rPr>
        <w:t>Termination upon hiring permanent CEO or expiration of Interim CEO Agreement</w:t>
      </w:r>
      <w:r>
        <w:rPr>
          <w:rFonts w:ascii="Arial" w:cs="Arial" w:eastAsia="Arial" w:hAnsi="Arial"/>
          <w:sz w:val="16"/>
          <w:szCs w:val="16"/>
          <w:color w:val="auto"/>
        </w:rPr>
        <w:t>. Upon the termination of the Participant’s Service by the Company or one of its successors or Affiliates by reason of (i) the hiring by the Company of a permanent CEO (other than the Participant), or</w:t>
      </w:r>
    </w:p>
    <w:p>
      <w:pPr>
        <w:jc w:val="both"/>
        <w:ind w:left="4" w:right="260" w:hanging="4"/>
        <w:spacing w:after="0" w:line="323" w:lineRule="auto"/>
        <w:tabs>
          <w:tab w:leader="none" w:pos="26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expiration of the Interim CEO Agreement dated September 21, 2021, either of which that occurs at any time prior to the Settlement Date, then the Award shall be settled in accordance with Section 3 above following the end of the Performance Period in respect of the number of Earned RSUs.</w:t>
      </w:r>
    </w:p>
    <w:p>
      <w:pPr>
        <w:spacing w:after="0" w:line="138" w:lineRule="exact"/>
        <w:rPr>
          <w:rFonts w:ascii="Arial" w:cs="Arial" w:eastAsia="Arial" w:hAnsi="Arial"/>
          <w:sz w:val="16"/>
          <w:szCs w:val="16"/>
          <w:color w:val="auto"/>
        </w:rPr>
      </w:pPr>
    </w:p>
    <w:p>
      <w:pPr>
        <w:ind w:left="4" w:right="80" w:firstLine="987"/>
        <w:spacing w:after="0" w:line="279" w:lineRule="auto"/>
        <w:tabs>
          <w:tab w:leader="none" w:pos="1375" w:val="left"/>
        </w:tabs>
        <w:numPr>
          <w:ilvl w:val="2"/>
          <w:numId w:val="5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for Good Reason related to a Change of Control</w:t>
      </w:r>
      <w:r>
        <w:rPr>
          <w:rFonts w:ascii="Arial" w:cs="Arial" w:eastAsia="Arial" w:hAnsi="Arial"/>
          <w:sz w:val="17"/>
          <w:szCs w:val="17"/>
          <w:color w:val="auto"/>
        </w:rPr>
        <w:t>. Upon (i) a termination of the Participant’s Service by the Company or one of its successors or Affiliates without Cause or due to the Participant’s resignation for Good Reason (excluding termination by reason of death or Disability) (a “</w:t>
      </w:r>
      <w:r>
        <w:rPr>
          <w:rFonts w:ascii="Arial" w:cs="Arial" w:eastAsia="Arial" w:hAnsi="Arial"/>
          <w:sz w:val="17"/>
          <w:szCs w:val="17"/>
          <w:b w:val="1"/>
          <w:bCs w:val="1"/>
          <w:color w:val="auto"/>
        </w:rPr>
        <w:t>Specified Termination</w:t>
      </w:r>
      <w:r>
        <w:rPr>
          <w:rFonts w:ascii="Arial" w:cs="Arial" w:eastAsia="Arial" w:hAnsi="Arial"/>
          <w:sz w:val="17"/>
          <w:szCs w:val="17"/>
          <w:color w:val="auto"/>
        </w:rPr>
        <w:t>”) and (ii) the Specified Termination occurs either within ninety (90) days before or within twelve (12) months following the occurrence of a Change of Control of the Company (the “</w:t>
      </w:r>
      <w:r>
        <w:rPr>
          <w:rFonts w:ascii="Arial" w:cs="Arial" w:eastAsia="Arial" w:hAnsi="Arial"/>
          <w:sz w:val="17"/>
          <w:szCs w:val="17"/>
          <w:b w:val="1"/>
          <w:bCs w:val="1"/>
          <w:color w:val="auto"/>
        </w:rPr>
        <w:t>Protected Period</w:t>
      </w:r>
      <w:r>
        <w:rPr>
          <w:rFonts w:ascii="Arial" w:cs="Arial" w:eastAsia="Arial" w:hAnsi="Arial"/>
          <w:sz w:val="17"/>
          <w:szCs w:val="17"/>
          <w:color w:val="auto"/>
        </w:rPr>
        <w:t>”), then:</w:t>
      </w:r>
    </w:p>
    <w:p>
      <w:pPr>
        <w:spacing w:after="0" w:line="63" w:lineRule="exact"/>
        <w:rPr>
          <w:rFonts w:ascii="Arial" w:cs="Arial" w:eastAsia="Arial" w:hAnsi="Arial"/>
          <w:sz w:val="17"/>
          <w:szCs w:val="17"/>
          <w:color w:val="auto"/>
        </w:rPr>
      </w:pPr>
    </w:p>
    <w:p>
      <w:pPr>
        <w:ind w:left="444" w:right="60" w:firstLine="419"/>
        <w:spacing w:after="0" w:line="259" w:lineRule="auto"/>
        <w:tabs>
          <w:tab w:leader="none" w:pos="12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Change in Control occurs at any time prior to the expiration of the Performance Period, the Award shall be converted to restricted stock units (“RSUs”) in respect of the Target Achievable RSUs, notwithstanding the termination of the Participant’s Service, except that notwithstanding Section 2(b), such RSUs shall be immediately fully vested and be settled on the Settlement Date following such termination of Service, subject to the applicable limitations set forth in Section 3 above; and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024"/>
          </w:cols>
          <w:pgMar w:left="436" w:top="274" w:right="439" w:bottom="1440" w:gutter="0" w:footer="0" w:header="0"/>
        </w:sectPr>
      </w:pPr>
    </w:p>
    <w:bookmarkStart w:id="69" w:name="page70"/>
    <w:bookmarkEnd w:id="69"/>
    <w:p>
      <w:pPr>
        <w:ind w:left="444" w:right="160" w:firstLine="419"/>
        <w:spacing w:after="0" w:line="279" w:lineRule="auto"/>
        <w:tabs>
          <w:tab w:leader="none" w:pos="1267"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Change in Control occurs after the expiration of the Performance Period and prior to the Settlement Date, the Award shall be settled in accordance with Section 3 above, in respect of the number of then-outstanding Earned RSUs, except that notwithstanding Section 2(b), such RSUs shall be fully vested upon such termination (or, if later, such Change of Control) and settled within ten (10) days following such termination (or, if later, such Change of Control), subject to the applicable limitations set forth in Section 3 above;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if a Specified Termination should occur prior to a Change of Control of the Company, the Award shall remain outstanding for up to ninety</w:t>
      </w:r>
    </w:p>
    <w:p>
      <w:pPr>
        <w:spacing w:after="0" w:line="46" w:lineRule="exact"/>
        <w:rPr>
          <w:sz w:val="20"/>
          <w:szCs w:val="20"/>
          <w:color w:val="auto"/>
        </w:rPr>
      </w:pPr>
    </w:p>
    <w:p>
      <w:pPr>
        <w:ind w:left="4" w:right="60" w:hanging="4"/>
        <w:spacing w:after="0" w:line="260"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days following such Specified Termination in order to determine whether such Specified Termination shall have occurred during a Protected Period such that the Award shall be eligible for settlement pursuant to this Section 4(c).</w:t>
      </w:r>
    </w:p>
    <w:p>
      <w:pPr>
        <w:spacing w:after="0" w:line="185" w:lineRule="exact"/>
        <w:rPr>
          <w:rFonts w:ascii="Arial" w:cs="Arial" w:eastAsia="Arial" w:hAnsi="Arial"/>
          <w:sz w:val="18"/>
          <w:szCs w:val="18"/>
          <w:color w:val="auto"/>
        </w:rPr>
      </w:pPr>
    </w:p>
    <w:p>
      <w:pPr>
        <w:ind w:left="4" w:right="280" w:firstLine="987"/>
        <w:spacing w:after="0" w:line="277" w:lineRule="auto"/>
        <w:tabs>
          <w:tab w:leader="none" w:pos="1385"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of Service without Cause</w:t>
      </w:r>
      <w:r>
        <w:rPr>
          <w:rFonts w:ascii="Arial" w:cs="Arial" w:eastAsia="Arial" w:hAnsi="Arial"/>
          <w:sz w:val="18"/>
          <w:szCs w:val="18"/>
          <w:color w:val="auto"/>
        </w:rPr>
        <w:t>. Upon a termination of the Participant’s Service by the Company or one of its successors or Affiliates without Cause that occurs:</w:t>
      </w:r>
    </w:p>
    <w:p>
      <w:pPr>
        <w:spacing w:after="0" w:line="62" w:lineRule="exact"/>
        <w:rPr>
          <w:rFonts w:ascii="Arial" w:cs="Arial" w:eastAsia="Arial" w:hAnsi="Arial"/>
          <w:sz w:val="18"/>
          <w:szCs w:val="18"/>
          <w:color w:val="auto"/>
        </w:rPr>
      </w:pPr>
    </w:p>
    <w:p>
      <w:pPr>
        <w:ind w:left="444" w:right="120" w:firstLine="419"/>
        <w:spacing w:after="0" w:line="255" w:lineRule="auto"/>
        <w:tabs>
          <w:tab w:leader="none" w:pos="121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any time prior to the expiration of the Performance Period, then the Award shall be settled in accordance with Section 3 above in respect of the number of RSUs that would have been earned pursuant to this Agreement based on actual performance during the full Performance Period, notwithstanding the termination of the Participant’s Service, multiplied by a fraction, the numerator of which is the number of days in the Performance Period through and including the date of termination of Service, and the denominator of which is 272, except that notwithstanding Section 2(b), such RSUs shall be fully vested and settled on the Settlement Date following such termination of Service, subject to the applicable limitations set forth in Section 3 above; and</w:t>
      </w:r>
    </w:p>
    <w:p>
      <w:pPr>
        <w:spacing w:after="0" w:line="84" w:lineRule="exact"/>
        <w:rPr>
          <w:rFonts w:ascii="Arial" w:cs="Arial" w:eastAsia="Arial" w:hAnsi="Arial"/>
          <w:sz w:val="18"/>
          <w:szCs w:val="18"/>
          <w:color w:val="auto"/>
        </w:rPr>
      </w:pPr>
    </w:p>
    <w:p>
      <w:pPr>
        <w:ind w:left="444" w:right="400" w:firstLine="419"/>
        <w:spacing w:after="0" w:line="277" w:lineRule="auto"/>
        <w:tabs>
          <w:tab w:leader="none" w:pos="126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after the expiration of the Performance Period and prior to the Settlement Date, then the Award shall be settled in accordance with Section 3 above.</w:t>
      </w:r>
    </w:p>
    <w:p>
      <w:pPr>
        <w:spacing w:after="0" w:line="166" w:lineRule="exact"/>
        <w:rPr>
          <w:rFonts w:ascii="Arial" w:cs="Arial" w:eastAsia="Arial" w:hAnsi="Arial"/>
          <w:sz w:val="18"/>
          <w:szCs w:val="18"/>
          <w:color w:val="auto"/>
        </w:rPr>
      </w:pPr>
    </w:p>
    <w:p>
      <w:pPr>
        <w:ind w:left="4" w:right="340" w:firstLine="987"/>
        <w:spacing w:after="0" w:line="274" w:lineRule="auto"/>
        <w:tabs>
          <w:tab w:leader="none" w:pos="1375" w:val="left"/>
        </w:tabs>
        <w:numPr>
          <w:ilvl w:val="2"/>
          <w:numId w:val="61"/>
        </w:numPr>
        <w:rPr>
          <w:rFonts w:ascii="Arial" w:cs="Arial" w:eastAsia="Arial" w:hAnsi="Arial"/>
          <w:sz w:val="17"/>
          <w:szCs w:val="17"/>
          <w:color w:val="auto"/>
        </w:rPr>
      </w:pPr>
      <w:r>
        <w:rPr>
          <w:rFonts w:ascii="Arial" w:cs="Arial" w:eastAsia="Arial" w:hAnsi="Arial"/>
          <w:sz w:val="17"/>
          <w:szCs w:val="17"/>
          <w:color w:val="auto"/>
        </w:rPr>
        <w:t>For purposes of this Award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misdemeanor involving fraud, theft or moral turpitude, or any other reckless or willful misconduct that is contrary to the best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the Company or materially and adversely affects the reputation of the Company.</w:t>
      </w:r>
    </w:p>
    <w:p>
      <w:pPr>
        <w:spacing w:after="0" w:line="173" w:lineRule="exact"/>
        <w:rPr>
          <w:rFonts w:ascii="Arial" w:cs="Arial" w:eastAsia="Arial" w:hAnsi="Arial"/>
          <w:sz w:val="17"/>
          <w:szCs w:val="17"/>
          <w:color w:val="auto"/>
        </w:rPr>
      </w:pPr>
    </w:p>
    <w:p>
      <w:pPr>
        <w:ind w:left="4" w:right="60" w:firstLine="987"/>
        <w:spacing w:after="0" w:line="266" w:lineRule="auto"/>
        <w:tabs>
          <w:tab w:leader="none" w:pos="1355" w:val="left"/>
        </w:tabs>
        <w:numPr>
          <w:ilvl w:val="2"/>
          <w:numId w:val="61"/>
        </w:numPr>
        <w:rPr>
          <w:rFonts w:ascii="Arial" w:cs="Arial" w:eastAsia="Arial" w:hAnsi="Arial"/>
          <w:sz w:val="18"/>
          <w:szCs w:val="18"/>
          <w:color w:val="auto"/>
        </w:rPr>
      </w:pPr>
      <w:r>
        <w:rPr>
          <w:rFonts w:ascii="Arial" w:cs="Arial" w:eastAsia="Arial" w:hAnsi="Arial"/>
          <w:sz w:val="18"/>
          <w:szCs w:val="18"/>
          <w:color w:val="auto"/>
        </w:rPr>
        <w:t>For purposes of this Award Agreement, “</w:t>
      </w:r>
      <w:r>
        <w:rPr>
          <w:rFonts w:ascii="Arial" w:cs="Arial" w:eastAsia="Arial" w:hAnsi="Arial"/>
          <w:sz w:val="18"/>
          <w:szCs w:val="18"/>
          <w:b w:val="1"/>
          <w:bCs w:val="1"/>
          <w:color w:val="auto"/>
        </w:rPr>
        <w:t>Good Reason</w:t>
      </w:r>
      <w:r>
        <w:rPr>
          <w:rFonts w:ascii="Arial" w:cs="Arial" w:eastAsia="Arial" w:hAnsi="Arial"/>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024"/>
          </w:cols>
          <w:pgMar w:left="436" w:top="274" w:right="439" w:bottom="1440" w:gutter="0" w:footer="0" w:header="0"/>
        </w:sectPr>
      </w:pPr>
    </w:p>
    <w:bookmarkStart w:id="70" w:name="page71"/>
    <w:bookmarkEnd w:id="7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87" w:lineRule="exact"/>
        <w:rPr>
          <w:sz w:val="20"/>
          <w:szCs w:val="20"/>
          <w:color w:val="auto"/>
        </w:rPr>
      </w:pPr>
    </w:p>
    <w:p>
      <w:pPr>
        <w:ind w:right="100" w:firstLine="987"/>
        <w:spacing w:after="0" w:line="263" w:lineRule="auto"/>
        <w:tabs>
          <w:tab w:leader="none" w:pos="138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Other Terminations of Service</w:t>
      </w:r>
      <w:r>
        <w:rPr>
          <w:rFonts w:ascii="Arial" w:cs="Arial" w:eastAsia="Arial" w:hAnsi="Arial"/>
          <w:sz w:val="18"/>
          <w:szCs w:val="18"/>
          <w:color w:val="auto"/>
        </w:rPr>
        <w:t>. Upon a termination of the Participant’s Service prior to the Settlement Date for any reason other than pursuant to Sections 4(a), 4(b) and 4(c) above, the Award, including any then-outstanding Earned RSUs, shall immediately terminate and be forfeited without consideration.</w:t>
      </w:r>
    </w:p>
    <w:p>
      <w:pPr>
        <w:spacing w:after="0" w:line="183" w:lineRule="exact"/>
        <w:rPr>
          <w:rFonts w:ascii="Arial" w:cs="Arial" w:eastAsia="Arial" w:hAnsi="Arial"/>
          <w:sz w:val="18"/>
          <w:szCs w:val="18"/>
          <w:color w:val="auto"/>
        </w:rPr>
      </w:pPr>
    </w:p>
    <w:p>
      <w:pPr>
        <w:ind w:right="120" w:firstLine="987"/>
        <w:spacing w:after="0" w:line="257" w:lineRule="auto"/>
        <w:tabs>
          <w:tab w:leader="none" w:pos="138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Upon a termination of the Participant’s Service prior to the final Settlement Date for termination without Cause pursuant to Section 4(c), settlement of any Award shall be conditioned first upon the Participant’s execution of a fully effective and non-revocable general release (“Release”) in favor of the Company, its Board of Directors, Affiliates, and employees, in such form as reasonably approved by the Company and the Participant within sixty (60) days of the Participant’s termination of Service, which Release shall be provided to the Participant within five (5) days of the Participant’s termination of Service.</w:t>
      </w:r>
    </w:p>
    <w:p>
      <w:pPr>
        <w:spacing w:after="0" w:line="187" w:lineRule="exact"/>
        <w:rPr>
          <w:rFonts w:ascii="Arial" w:cs="Arial" w:eastAsia="Arial" w:hAnsi="Arial"/>
          <w:sz w:val="18"/>
          <w:szCs w:val="18"/>
          <w:color w:val="auto"/>
        </w:rPr>
      </w:pPr>
    </w:p>
    <w:p>
      <w:pPr>
        <w:ind w:right="200" w:firstLine="436"/>
        <w:spacing w:after="0" w:line="263" w:lineRule="auto"/>
        <w:tabs>
          <w:tab w:leader="none" w:pos="75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83" w:lineRule="exact"/>
        <w:rPr>
          <w:rFonts w:ascii="Arial" w:cs="Arial" w:eastAsia="Arial" w:hAnsi="Arial"/>
          <w:sz w:val="18"/>
          <w:szCs w:val="18"/>
          <w:color w:val="auto"/>
        </w:rPr>
      </w:pPr>
    </w:p>
    <w:p>
      <w:pPr>
        <w:ind w:right="320" w:firstLine="436"/>
        <w:spacing w:after="0" w:line="277" w:lineRule="auto"/>
        <w:tabs>
          <w:tab w:leader="none" w:pos="75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70" w:lineRule="exact"/>
        <w:rPr>
          <w:rFonts w:ascii="Arial" w:cs="Arial" w:eastAsia="Arial" w:hAnsi="Arial"/>
          <w:sz w:val="18"/>
          <w:szCs w:val="18"/>
          <w:color w:val="auto"/>
        </w:rPr>
      </w:pPr>
    </w:p>
    <w:p>
      <w:pPr>
        <w:ind w:right="260" w:firstLine="436"/>
        <w:spacing w:after="0" w:line="286" w:lineRule="auto"/>
        <w:tabs>
          <w:tab w:leader="none" w:pos="75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Non-Solicitation and Non-Hire</w:t>
      </w:r>
      <w:r>
        <w:rPr>
          <w:rFonts w:ascii="Arial" w:cs="Arial" w:eastAsia="Arial" w:hAnsi="Arial"/>
          <w:sz w:val="17"/>
          <w:szCs w:val="17"/>
          <w:color w:val="auto"/>
        </w:rPr>
        <w:t>. If the Participant has an employment agreement with the Company or any of its Subsidiaries that contains non-solicitation and/or non-hire covenants, the covenants are incorporated into this Award Agreement by reference. To the extent the Participant does not have an employment agreement containing such covenants, the following restrictive covenants shall apply:</w:t>
      </w:r>
    </w:p>
    <w:p>
      <w:pPr>
        <w:spacing w:after="0" w:line="16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7, an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020"/>
          </w:cols>
          <w:pgMar w:left="440" w:top="274" w:right="439" w:bottom="1440" w:gutter="0" w:footer="0" w:header="0"/>
        </w:sectPr>
      </w:pPr>
    </w:p>
    <w:bookmarkStart w:id="71" w:name="page72"/>
    <w:bookmarkEnd w:id="7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This Section 7 shall survive termination or settlement of the Award and termination or satisfaction of the Award Agreement.</w:t>
      </w:r>
    </w:p>
    <w:p>
      <w:pPr>
        <w:spacing w:after="0" w:line="225" w:lineRule="exact"/>
        <w:rPr>
          <w:sz w:val="20"/>
          <w:szCs w:val="20"/>
          <w:color w:val="auto"/>
        </w:rPr>
      </w:pPr>
    </w:p>
    <w:p>
      <w:pPr>
        <w:ind w:right="60" w:firstLine="436"/>
        <w:spacing w:after="0" w:line="254" w:lineRule="auto"/>
        <w:tabs>
          <w:tab w:leader="none" w:pos="75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Securities Laws/Legend on Certificates</w:t>
      </w:r>
      <w:r>
        <w:rPr>
          <w:rFonts w:ascii="Arial" w:cs="Arial" w:eastAsia="Arial" w:hAnsi="Arial"/>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Arial" w:cs="Arial" w:eastAsia="Arial" w:hAnsi="Arial"/>
          <w:sz w:val="18"/>
          <w:szCs w:val="18"/>
          <w:color w:val="auto"/>
        </w:rPr>
      </w:pPr>
    </w:p>
    <w:p>
      <w:pPr>
        <w:ind w:right="80" w:firstLine="436"/>
        <w:spacing w:after="0" w:line="272" w:lineRule="auto"/>
        <w:tabs>
          <w:tab w:leader="none" w:pos="75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020"/>
          </w:cols>
          <w:pgMar w:left="440" w:top="274" w:right="439" w:bottom="1440" w:gutter="0" w:footer="0" w:header="0"/>
        </w:sectPr>
      </w:pPr>
    </w:p>
    <w:bookmarkStart w:id="72" w:name="page73"/>
    <w:bookmarkEnd w:id="72"/>
    <w:p>
      <w:pPr>
        <w:ind w:right="300" w:firstLine="436"/>
        <w:spacing w:after="0" w:line="263" w:lineRule="auto"/>
        <w:tabs>
          <w:tab w:leader="none" w:pos="8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83" w:lineRule="exact"/>
        <w:rPr>
          <w:rFonts w:ascii="Arial" w:cs="Arial" w:eastAsia="Arial" w:hAnsi="Arial"/>
          <w:sz w:val="18"/>
          <w:szCs w:val="18"/>
          <w:color w:val="auto"/>
        </w:rPr>
      </w:pPr>
    </w:p>
    <w:p>
      <w:pPr>
        <w:ind w:right="80" w:firstLine="436"/>
        <w:spacing w:after="0" w:line="259" w:lineRule="auto"/>
        <w:tabs>
          <w:tab w:leader="none" w:pos="83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jc w:val="both"/>
        <w:ind w:right="300" w:firstLine="436"/>
        <w:spacing w:after="0" w:line="263" w:lineRule="auto"/>
        <w:tabs>
          <w:tab w:leader="none" w:pos="8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83" w:lineRule="exact"/>
        <w:rPr>
          <w:rFonts w:ascii="Arial" w:cs="Arial" w:eastAsia="Arial" w:hAnsi="Arial"/>
          <w:sz w:val="18"/>
          <w:szCs w:val="18"/>
          <w:color w:val="auto"/>
        </w:rPr>
      </w:pPr>
    </w:p>
    <w:p>
      <w:pPr>
        <w:ind w:right="80" w:firstLine="436"/>
        <w:spacing w:after="0" w:line="277" w:lineRule="auto"/>
        <w:tabs>
          <w:tab w:leader="none" w:pos="8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Award Agreement shall be deemed to be a waiver of any other or subsequent breach or condition whether of like or different nature.</w:t>
      </w:r>
    </w:p>
    <w:p>
      <w:pPr>
        <w:spacing w:after="0" w:line="170" w:lineRule="exact"/>
        <w:rPr>
          <w:rFonts w:ascii="Arial" w:cs="Arial" w:eastAsia="Arial" w:hAnsi="Arial"/>
          <w:sz w:val="18"/>
          <w:szCs w:val="18"/>
          <w:color w:val="auto"/>
        </w:rPr>
      </w:pPr>
    </w:p>
    <w:p>
      <w:pPr>
        <w:ind w:right="140" w:firstLine="436"/>
        <w:spacing w:after="0" w:line="259" w:lineRule="auto"/>
        <w:tabs>
          <w:tab w:leader="none" w:pos="8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6" w:lineRule="exact"/>
        <w:rPr>
          <w:rFonts w:ascii="Arial" w:cs="Arial" w:eastAsia="Arial" w:hAnsi="Arial"/>
          <w:sz w:val="18"/>
          <w:szCs w:val="18"/>
          <w:color w:val="auto"/>
        </w:rPr>
      </w:pPr>
    </w:p>
    <w:p>
      <w:pPr>
        <w:ind w:left="840" w:hanging="404"/>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7"/>
        <w:spacing w:after="0" w:line="269" w:lineRule="auto"/>
        <w:tabs>
          <w:tab w:leader="none" w:pos="1368"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Arial" w:cs="Arial" w:eastAsia="Arial" w:hAnsi="Arial"/>
          <w:sz w:val="17"/>
          <w:szCs w:val="17"/>
          <w:b w:val="1"/>
          <w:b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020"/>
          </w:cols>
          <w:pgMar w:left="440" w:top="274" w:right="439" w:bottom="1440" w:gutter="0" w:footer="0" w:header="0"/>
        </w:sectPr>
      </w:pPr>
    </w:p>
    <w:bookmarkStart w:id="73" w:name="page74"/>
    <w:bookmarkEnd w:id="73"/>
    <w:p>
      <w:pPr>
        <w:ind w:right="380" w:firstLine="987"/>
        <w:spacing w:after="0" w:line="263" w:lineRule="auto"/>
        <w:tabs>
          <w:tab w:leader="none" w:pos="1381"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83" w:lineRule="exact"/>
        <w:rPr>
          <w:rFonts w:ascii="Arial" w:cs="Arial" w:eastAsia="Arial" w:hAnsi="Arial"/>
          <w:sz w:val="18"/>
          <w:szCs w:val="18"/>
          <w:color w:val="auto"/>
        </w:rPr>
      </w:pPr>
    </w:p>
    <w:p>
      <w:pPr>
        <w:ind w:right="40" w:firstLine="436"/>
        <w:spacing w:after="0" w:line="257" w:lineRule="auto"/>
        <w:tabs>
          <w:tab w:leader="none" w:pos="8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Award Subject to Plan</w:t>
      </w:r>
      <w:r>
        <w:rPr>
          <w:rFonts w:ascii="Arial" w:cs="Arial" w:eastAsia="Arial" w:hAnsi="Arial"/>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7" w:lineRule="exact"/>
        <w:rPr>
          <w:rFonts w:ascii="Arial" w:cs="Arial" w:eastAsia="Arial" w:hAnsi="Arial"/>
          <w:sz w:val="18"/>
          <w:szCs w:val="18"/>
          <w:color w:val="auto"/>
        </w:rPr>
      </w:pPr>
    </w:p>
    <w:p>
      <w:pPr>
        <w:ind w:right="260" w:firstLine="436"/>
        <w:spacing w:after="0" w:line="277" w:lineRule="auto"/>
        <w:tabs>
          <w:tab w:leader="none" w:pos="8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Guarantees Regarding Tax Treatment</w:t>
      </w:r>
      <w:r>
        <w:rPr>
          <w:rFonts w:ascii="Arial" w:cs="Arial" w:eastAsia="Arial" w:hAnsi="Arial"/>
          <w:sz w:val="18"/>
          <w:szCs w:val="18"/>
          <w:color w:val="auto"/>
        </w:rPr>
        <w:t>. The Participant shall be responsible for all taxes with respect to the Award. The Committee and the Company make no guarantees regarding the tax treatment of the Award.</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or alter this Award Agreement and the Award granted hereunder at any time, subject to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10" w:lineRule="exact"/>
        <w:rPr>
          <w:rFonts w:ascii="Arial" w:cs="Arial" w:eastAsia="Arial" w:hAnsi="Arial"/>
          <w:sz w:val="16"/>
          <w:szCs w:val="16"/>
          <w:color w:val="auto"/>
        </w:rPr>
      </w:pPr>
    </w:p>
    <w:p>
      <w:pPr>
        <w:ind w:right="220" w:firstLine="436"/>
        <w:spacing w:after="0" w:line="277" w:lineRule="auto"/>
        <w:tabs>
          <w:tab w:leader="none" w:pos="8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70" w:lineRule="exact"/>
        <w:rPr>
          <w:rFonts w:ascii="Arial" w:cs="Arial" w:eastAsia="Arial" w:hAnsi="Arial"/>
          <w:sz w:val="18"/>
          <w:szCs w:val="18"/>
          <w:color w:val="auto"/>
        </w:rPr>
      </w:pPr>
    </w:p>
    <w:p>
      <w:pPr>
        <w:ind w:right="240" w:firstLine="436"/>
        <w:spacing w:after="0" w:line="272" w:lineRule="auto"/>
        <w:tabs>
          <w:tab w:leader="none" w:pos="84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77" w:lineRule="exact"/>
        <w:rPr>
          <w:rFonts w:ascii="Arial" w:cs="Arial" w:eastAsia="Arial" w:hAnsi="Arial"/>
          <w:sz w:val="17"/>
          <w:szCs w:val="17"/>
          <w:color w:val="auto"/>
        </w:rPr>
      </w:pPr>
    </w:p>
    <w:p>
      <w:pPr>
        <w:ind w:right="620" w:firstLine="436"/>
        <w:spacing w:after="0" w:line="277" w:lineRule="auto"/>
        <w:tabs>
          <w:tab w:leader="none" w:pos="8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1020"/>
          </w:cols>
          <w:pgMar w:left="440" w:top="274" w:right="439" w:bottom="1440" w:gutter="0" w:footer="0" w:header="0"/>
        </w:sectPr>
      </w:pPr>
    </w:p>
    <w:bookmarkStart w:id="74" w:name="page75"/>
    <w:bookmarkEnd w:id="74"/>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and the Participant have executed this Restricted Stock Unit Award Agreement as of the date first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D&amp;B Team Member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 Award Agreement – Performance Based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020"/>
          </w:cols>
          <w:pgMar w:left="440" w:top="274"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Kevin Sheehan, Interim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40" w:hanging="532"/>
        <w:spacing w:after="0" w:line="263"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6"/>
          <w:szCs w:val="16"/>
          <w:color w:val="auto"/>
        </w:rPr>
        <w:t>/s/ Kevin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Kevin Sheehan</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024"/>
          </w:cols>
          <w:pgMar w:left="436" w:top="12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40" w:hanging="532"/>
        <w:spacing w:after="0" w:line="263"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6"/>
          <w:szCs w:val="16"/>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October 31, 2021 as filed with the Securities and Exchange Commission on the date hereof (the “Report”), I, Kevin Sheehan, Interim Chief Executive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Sheehan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020"/>
          </w:cols>
          <w:pgMar w:left="440" w:top="121"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October 31, 2021 as filed with the Securities and Exchange Commission on the date hereof (the “Report”), I, Scott J. Bowman, Chief Financial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2"/>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4"/>
    </w:lvl>
  </w:abstractNum>
  <w:abstractNum w:abstractNumId="16">
    <w:nsid w:val="725A06FB"/>
    <w:multiLevelType w:val="hybridMultilevel"/>
    <w:lvl w:ilvl="0">
      <w:lvlJc w:val="left"/>
      <w:lvlText w:val="%1."/>
      <w:numFmt w:val="decimal"/>
      <w:start w:val="7"/>
    </w:lvl>
  </w:abstractNum>
  <w:abstractNum w:abstractNumId="17">
    <w:nsid w:val="2CD89A32"/>
    <w:multiLevelType w:val="hybridMultilevel"/>
    <w:lvl w:ilvl="0">
      <w:lvlJc w:val="left"/>
      <w:lvlText w:val="%1."/>
      <w:numFmt w:val="decimal"/>
      <w:start w:val="8"/>
    </w:lvl>
  </w:abstractNum>
  <w:abstractNum w:abstractNumId="18">
    <w:nsid w:val="57E4CCAF"/>
    <w:multiLevelType w:val="hybridMultilevel"/>
    <w:lvl w:ilvl="0">
      <w:lvlJc w:val="left"/>
      <w:lvlText w:val="(%1)"/>
      <w:numFmt w:val="lowerLetter"/>
      <w:start w:val="1"/>
    </w:lvl>
  </w:abstractNum>
  <w:abstractNum w:abstractNumId="19">
    <w:nsid w:val="7A6D8D3C"/>
    <w:multiLevelType w:val="hybridMultilevel"/>
    <w:lvl w:ilvl="0">
      <w:lvlJc w:val="left"/>
      <w:lvlText w:val="(%1)"/>
      <w:numFmt w:val="lowerLetter"/>
      <w:start w:val="4"/>
    </w:lvl>
  </w:abstractNum>
  <w:abstractNum w:abstractNumId="20">
    <w:nsid w:val="4B588F54"/>
    <w:multiLevelType w:val="hybridMultilevel"/>
    <w:lvl w:ilvl="0">
      <w:lvlJc w:val="left"/>
      <w:lvlText w:val="%1."/>
      <w:numFmt w:val="decimal"/>
      <w:start w:val="9"/>
    </w:lvl>
  </w:abstractNum>
  <w:abstractNum w:abstractNumId="21">
    <w:nsid w:val="542289EC"/>
    <w:multiLevelType w:val="hybridMultilevel"/>
    <w:lvl w:ilvl="0">
      <w:lvlJc w:val="left"/>
      <w:lvlText w:val="%1"/>
      <w:numFmt w:val="decimal"/>
      <w:start w:val="1"/>
    </w:lvl>
    <w:lvl w:ilvl="1">
      <w:lvlJc w:val="left"/>
      <w:lvlText w:val="%2."/>
      <w:numFmt w:val="lowerRoman"/>
      <w:start w:val="1"/>
    </w:lvl>
  </w:abstractNum>
  <w:abstractNum w:abstractNumId="22">
    <w:nsid w:val="6DE91B18"/>
    <w:multiLevelType w:val="hybridMultilevel"/>
    <w:lvl w:ilvl="0">
      <w:lvlJc w:val="left"/>
      <w:lvlText w:val="%1."/>
      <w:numFmt w:val="decimal"/>
      <w:start w:val="12"/>
    </w:lvl>
    <w:lvl w:ilvl="1">
      <w:lvlJc w:val="left"/>
      <w:lvlText w:val="%2"/>
      <w:numFmt w:val="lowerRoman"/>
      <w:start w:val="1"/>
    </w:lvl>
  </w:abstractNum>
  <w:abstractNum w:abstractNumId="23">
    <w:nsid w:val="38437FDB"/>
    <w:multiLevelType w:val="hybridMultilevel"/>
    <w:lvl w:ilvl="0">
      <w:lvlJc w:val="left"/>
      <w:lvlText w:val="%1."/>
      <w:numFmt w:val="decimal"/>
      <w:start w:val="15"/>
    </w:lvl>
  </w:abstractNum>
  <w:abstractNum w:abstractNumId="24">
    <w:nsid w:val="7644A45C"/>
    <w:multiLevelType w:val="hybridMultilevel"/>
    <w:lvl w:ilvl="0">
      <w:lvlJc w:val="left"/>
      <w:lvlText w:val="(%1)"/>
      <w:numFmt w:val="lowerLetter"/>
      <w:start w:val="1"/>
    </w:lvl>
  </w:abstractNum>
  <w:abstractNum w:abstractNumId="25">
    <w:nsid w:val="32FFF902"/>
    <w:multiLevelType w:val="hybridMultilevel"/>
    <w:lvl w:ilvl="0">
      <w:lvlJc w:val="left"/>
      <w:lvlText w:val="%1."/>
      <w:numFmt w:val="decimal"/>
      <w:start w:val="19"/>
    </w:lvl>
  </w:abstractNum>
  <w:abstractNum w:abstractNumId="26">
    <w:nsid w:val="684A481A"/>
    <w:multiLevelType w:val="hybridMultilevel"/>
    <w:lvl w:ilvl="0">
      <w:lvlJc w:val="left"/>
      <w:lvlText w:val="%1."/>
      <w:numFmt w:val="decimal"/>
      <w:start w:val="25"/>
    </w:lvl>
  </w:abstractNum>
  <w:abstractNum w:abstractNumId="27">
    <w:nsid w:val="579478FE"/>
    <w:multiLevelType w:val="hybridMultilevel"/>
    <w:lvl w:ilvl="0">
      <w:lvlJc w:val="left"/>
      <w:lvlText w:val="%1."/>
      <w:numFmt w:val="decimal"/>
      <w:start w:val="25"/>
    </w:lvl>
  </w:abstractNum>
  <w:abstractNum w:abstractNumId="28">
    <w:nsid w:val="749ABB43"/>
    <w:multiLevelType w:val="hybridMultilevel"/>
    <w:lvl w:ilvl="0">
      <w:lvlJc w:val="left"/>
      <w:lvlText w:val="%1."/>
      <w:numFmt w:val="decimal"/>
      <w:start w:val="26"/>
    </w:lvl>
  </w:abstractNum>
  <w:abstractNum w:abstractNumId="29">
    <w:nsid w:val="3DC240FB"/>
    <w:multiLevelType w:val="hybridMultilevel"/>
    <w:lvl w:ilvl="0">
      <w:lvlJc w:val="left"/>
      <w:lvlText w:val="%1."/>
      <w:numFmt w:val="decimal"/>
      <w:start w:val="27"/>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2"/>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1."/>
      <w:numFmt w:val="decimal"/>
      <w:start w:val="3"/>
    </w:lvl>
  </w:abstractNum>
  <w:abstractNum w:abstractNumId="35">
    <w:nsid w:val="520EEDD1"/>
    <w:multiLevelType w:val="hybridMultilevel"/>
    <w:lvl w:ilvl="0">
      <w:lvlJc w:val="left"/>
      <w:lvlText w:val="%1."/>
      <w:numFmt w:val="decimal"/>
      <w:start w:val="4"/>
    </w:lvl>
  </w:abstractNum>
  <w:abstractNum w:abstractNumId="36">
    <w:nsid w:val="374A3FE6"/>
    <w:multiLevelType w:val="hybridMultilevel"/>
    <w:lvl w:ilvl="0">
      <w:lvlJc w:val="left"/>
      <w:lvlText w:val="%1."/>
      <w:numFmt w:val="decimal"/>
      <w:start w:val="6"/>
    </w:lvl>
  </w:abstractNum>
  <w:abstractNum w:abstractNumId="37">
    <w:nsid w:val="4F4EF005"/>
    <w:multiLevelType w:val="hybridMultilevel"/>
    <w:lvl w:ilvl="0">
      <w:lvlJc w:val="left"/>
      <w:lvlText w:val="%1."/>
      <w:numFmt w:val="decimal"/>
      <w:start w:val="8"/>
    </w:lvl>
  </w:abstractNum>
  <w:abstractNum w:abstractNumId="38">
    <w:nsid w:val="23F9C13C"/>
    <w:multiLevelType w:val="hybridMultilevel"/>
    <w:lvl w:ilvl="0">
      <w:lvlJc w:val="left"/>
      <w:lvlText w:val="%1."/>
      <w:numFmt w:val="decimal"/>
      <w:start w:val="10"/>
    </w:lvl>
  </w:abstractNum>
  <w:abstractNum w:abstractNumId="39">
    <w:nsid w:val="649BB77C"/>
    <w:multiLevelType w:val="hybridMultilevel"/>
    <w:lvl w:ilvl="0">
      <w:lvlJc w:val="left"/>
      <w:lvlText w:val="%1."/>
      <w:numFmt w:val="decimal"/>
      <w:start w:val="11"/>
    </w:lvl>
  </w:abstractNum>
  <w:abstractNum w:abstractNumId="40">
    <w:nsid w:val="275AC79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1">
    <w:nsid w:val="3938657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2">
    <w:nsid w:val="1CF10FD8"/>
    <w:multiLevelType w:val="hybridMultilevel"/>
    <w:lvl w:ilvl="0">
      <w:lvlJc w:val="left"/>
      <w:lvlText w:val="%1"/>
      <w:numFmt w:val="decimal"/>
      <w:start w:val="1"/>
    </w:lvl>
    <w:lvl w:ilvl="1">
      <w:lvlJc w:val="left"/>
      <w:lvlText w:val="(%2)"/>
      <w:numFmt w:val="lowerLetter"/>
      <w:start w:val="2"/>
    </w:lvl>
  </w:abstractNum>
  <w:abstractNum w:abstractNumId="43">
    <w:nsid w:val="180115BE"/>
    <w:multiLevelType w:val="hybridMultilevel"/>
    <w:lvl w:ilvl="0">
      <w:lvlJc w:val="left"/>
      <w:lvlText w:val="%1."/>
      <w:numFmt w:val="decimal"/>
      <w:start w:val="3"/>
    </w:lvl>
    <w:lvl w:ilvl="1">
      <w:lvlJc w:val="left"/>
      <w:lvlText w:val="(%2)"/>
      <w:numFmt w:val="lowerLetter"/>
      <w:start w:val="1"/>
    </w:lvl>
  </w:abstractNum>
  <w:abstractNum w:abstractNumId="44">
    <w:nsid w:val="235BA861"/>
    <w:multiLevelType w:val="hybridMultilevel"/>
    <w:lvl w:ilvl="0">
      <w:lvlJc w:val="left"/>
      <w:lvlText w:val="%1"/>
      <w:numFmt w:val="lowerLetter"/>
      <w:start w:val="1"/>
    </w:lvl>
    <w:lvl w:ilvl="1">
      <w:lvlJc w:val="left"/>
      <w:lvlText w:val="(%2)"/>
      <w:numFmt w:val="lowerLetter"/>
      <w:start w:val="2"/>
    </w:lvl>
  </w:abstractNum>
  <w:abstractNum w:abstractNumId="45">
    <w:nsid w:val="47398C89"/>
    <w:multiLevelType w:val="hybridMultilevel"/>
    <w:lvl w:ilvl="0">
      <w:lvlJc w:val="left"/>
      <w:lvlText w:val="(%1)"/>
      <w:numFmt w:val="lowerLetter"/>
      <w:start w:val="35"/>
    </w:lvl>
    <w:lvl w:ilvl="1">
      <w:lvlJc w:val="left"/>
      <w:lvlText w:val="(%2)"/>
      <w:numFmt w:val="lowerLetter"/>
      <w:start w:val="3"/>
    </w:lvl>
  </w:abstractNum>
  <w:abstractNum w:abstractNumId="46">
    <w:nsid w:val="354FE9F9"/>
    <w:multiLevelType w:val="hybridMultilevel"/>
    <w:lvl w:ilvl="0">
      <w:lvlJc w:val="left"/>
      <w:lvlText w:val="(%1)"/>
      <w:numFmt w:val="lowerLetter"/>
      <w:start w:val="4"/>
    </w:lvl>
  </w:abstractNum>
  <w:abstractNum w:abstractNumId="47">
    <w:nsid w:val="15B5AF5C"/>
    <w:multiLevelType w:val="hybridMultilevel"/>
    <w:lvl w:ilvl="0">
      <w:lvlJc w:val="left"/>
      <w:lvlText w:val="%1."/>
      <w:numFmt w:val="decimal"/>
      <w:start w:val="4"/>
    </w:lvl>
  </w:abstractNum>
  <w:abstractNum w:abstractNumId="48">
    <w:nsid w:val="741226BB"/>
    <w:multiLevelType w:val="hybridMultilevel"/>
    <w:lvl w:ilvl="0">
      <w:lvlJc w:val="left"/>
      <w:lvlText w:val="%1."/>
      <w:numFmt w:val="decimal"/>
      <w:start w:val="7"/>
    </w:lvl>
  </w:abstractNum>
  <w:abstractNum w:abstractNumId="49">
    <w:nsid w:val="D34B6A8"/>
    <w:multiLevelType w:val="hybridMultilevel"/>
    <w:lvl w:ilvl="0">
      <w:lvlJc w:val="left"/>
      <w:lvlText w:val="%1."/>
      <w:numFmt w:val="decimal"/>
      <w:start w:val="13"/>
    </w:lvl>
    <w:lvl w:ilvl="1">
      <w:lvlJc w:val="left"/>
      <w:lvlText w:val="(%2)"/>
      <w:numFmt w:val="lowerLetter"/>
      <w:start w:val="1"/>
    </w:lvl>
  </w:abstractNum>
  <w:abstractNum w:abstractNumId="50">
    <w:nsid w:val="10233C99"/>
    <w:multiLevelType w:val="hybridMultilevel"/>
    <w:lvl w:ilvl="0">
      <w:lvlJc w:val="left"/>
      <w:lvlText w:val="%1."/>
      <w:numFmt w:val="decimal"/>
      <w:start w:val="19"/>
    </w:lvl>
  </w:abstractNum>
  <w:abstractNum w:abstractNumId="51">
    <w:nsid w:val="3F6AB60F"/>
    <w:multiLevelType w:val="hybridMultilevel"/>
    <w:lvl w:ilvl="0">
      <w:lvlJc w:val="left"/>
      <w:lvlText w:val="%1"/>
      <w:numFmt w:val="decimal"/>
      <w:start w:val="1"/>
    </w:lvl>
    <w:lvl w:ilvl="1">
      <w:lvlJc w:val="left"/>
      <w:lvlText w:val="(%2)"/>
      <w:numFmt w:val="lowerLetter"/>
      <w:start w:val="2"/>
    </w:lvl>
  </w:abstractNum>
  <w:abstractNum w:abstractNumId="52">
    <w:nsid w:val="61574095"/>
    <w:multiLevelType w:val="hybridMultilevel"/>
    <w:lvl w:ilvl="0">
      <w:lvlJc w:val="left"/>
      <w:lvlText w:val="%1."/>
      <w:numFmt w:val="decimal"/>
      <w:start w:val="2"/>
    </w:lvl>
    <w:lvl w:ilvl="1">
      <w:lvlJc w:val="left"/>
      <w:lvlText w:val="(%2)"/>
      <w:numFmt w:val="lowerLetter"/>
      <w:start w:val="1"/>
    </w:lvl>
  </w:abstractNum>
  <w:abstractNum w:abstractNumId="53">
    <w:nsid w:val="7E0C57B1"/>
    <w:multiLevelType w:val="hybridMultilevel"/>
    <w:lvl w:ilvl="0">
      <w:lvlJc w:val="left"/>
      <w:lvlText w:val="(%1)"/>
      <w:numFmt w:val="lowerLetter"/>
      <w:start w:val="3"/>
    </w:lvl>
  </w:abstractNum>
  <w:abstractNum w:abstractNumId="54">
    <w:nsid w:val="77AE35EB"/>
    <w:multiLevelType w:val="hybridMultilevel"/>
    <w:lvl w:ilvl="0">
      <w:lvlJc w:val="left"/>
      <w:lvlText w:val="%1."/>
      <w:numFmt w:val="decimal"/>
      <w:start w:val="3"/>
    </w:lvl>
    <w:lvl w:ilvl="1">
      <w:lvlJc w:val="left"/>
      <w:lvlText w:val="(%2)"/>
      <w:numFmt w:val="lowerLetter"/>
      <w:start w:val="1"/>
    </w:lvl>
  </w:abstractNum>
  <w:abstractNum w:abstractNumId="55">
    <w:nsid w:val="579BE4F1"/>
    <w:multiLevelType w:val="hybridMultilevel"/>
    <w:lvl w:ilvl="0">
      <w:lvlJc w:val="left"/>
      <w:lvlText w:val="(%1)"/>
      <w:numFmt w:val="lowerRoman"/>
      <w:start w:val="1"/>
    </w:lvl>
  </w:abstractNum>
  <w:abstractNum w:abstractNumId="56">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57">
    <w:nsid w:val="5FF87E05"/>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3"/>
    </w:lvl>
  </w:abstractNum>
  <w:abstractNum w:abstractNumId="58">
    <w:nsid w:val="2F305DEF"/>
    <w:multiLevelType w:val="hybridMultilevel"/>
    <w:lvl w:ilvl="0">
      <w:lvlJc w:val="left"/>
      <w:lvlText w:val="(%1)"/>
      <w:numFmt w:val="lowerRoman"/>
      <w:start w:val="2"/>
    </w:lvl>
  </w:abstractNum>
  <w:abstractNum w:abstractNumId="59">
    <w:nsid w:val="25A70BF7"/>
    <w:multiLevelType w:val="hybridMultilevel"/>
    <w:lvl w:ilvl="0">
      <w:lvlJc w:val="left"/>
      <w:lvlText w:val="(%1)"/>
      <w:numFmt w:val="decimal"/>
      <w:start w:val="90"/>
    </w:lvl>
    <w:lvl w:ilvl="1">
      <w:lvlJc w:val="left"/>
      <w:lvlText w:val="(%2)"/>
      <w:numFmt w:val="lowerRoman"/>
    </w:lvl>
    <w:lvl w:ilvl="2">
      <w:lvlJc w:val="left"/>
      <w:lvlText w:val="(%3)"/>
      <w:numFmt w:val="lowerLetter"/>
      <w:start w:val="4"/>
    </w:lvl>
  </w:abstractNum>
  <w:abstractNum w:abstractNumId="60">
    <w:nsid w:val="1DBABF0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61">
    <w:nsid w:val="4AD084E9"/>
    <w:multiLevelType w:val="hybridMultilevel"/>
    <w:lvl w:ilvl="0">
      <w:lvlJc w:val="left"/>
      <w:lvlText w:val="%1"/>
      <w:numFmt w:val="decimal"/>
      <w:start w:val="1"/>
    </w:lvl>
    <w:lvl w:ilvl="1">
      <w:lvlJc w:val="left"/>
      <w:lvlText w:val="(%2)"/>
      <w:numFmt w:val="lowerLetter"/>
      <w:start w:val="7"/>
    </w:lvl>
  </w:abstractNum>
  <w:abstractNum w:abstractNumId="62">
    <w:nsid w:val="1F48EAA1"/>
    <w:multiLevelType w:val="hybridMultilevel"/>
    <w:lvl w:ilvl="0">
      <w:lvlJc w:val="left"/>
      <w:lvlText w:val="%1."/>
      <w:numFmt w:val="decimal"/>
      <w:start w:val="5"/>
    </w:lvl>
    <w:lvl w:ilvl="1">
      <w:lvlJc w:val="left"/>
      <w:lvlText w:val="%2"/>
      <w:numFmt w:val="lowerLetter"/>
      <w:start w:val="1"/>
    </w:lvl>
  </w:abstractNum>
  <w:abstractNum w:abstractNumId="63">
    <w:nsid w:val="1381823A"/>
    <w:multiLevelType w:val="hybridMultilevel"/>
    <w:lvl w:ilvl="0">
      <w:lvlJc w:val="left"/>
      <w:lvlText w:val="%1."/>
      <w:numFmt w:val="decimal"/>
      <w:start w:val="8"/>
    </w:lvl>
  </w:abstractNum>
  <w:abstractNum w:abstractNumId="64">
    <w:nsid w:val="5DB70AE5"/>
    <w:multiLevelType w:val="hybridMultilevel"/>
    <w:lvl w:ilvl="0">
      <w:lvlJc w:val="left"/>
      <w:lvlText w:val="%1."/>
      <w:numFmt w:val="decimal"/>
      <w:start w:val="10"/>
    </w:lvl>
    <w:lvl w:ilvl="1">
      <w:lvlJc w:val="left"/>
      <w:lvlText w:val="(%2)"/>
      <w:numFmt w:val="lowerLetter"/>
      <w:start w:val="1"/>
    </w:lvl>
  </w:abstractNum>
  <w:abstractNum w:abstractNumId="65">
    <w:nsid w:val="100F8FCA"/>
    <w:multiLevelType w:val="hybridMultilevel"/>
    <w:lvl w:ilvl="0">
      <w:lvlJc w:val="left"/>
      <w:lvlText w:val="%1"/>
      <w:numFmt w:val="decimal"/>
      <w:start w:val="1"/>
    </w:lvl>
    <w:lvl w:ilvl="1">
      <w:lvlJc w:val="left"/>
      <w:lvlText w:val="(%2)"/>
      <w:numFmt w:val="lowerLetter"/>
      <w:start w:val="2"/>
    </w:lvl>
  </w:abstractNum>
  <w:abstractNum w:abstractNumId="66">
    <w:nsid w:val="6590700B"/>
    <w:multiLevelType w:val="hybridMultilevel"/>
    <w:lvl w:ilvl="0">
      <w:lvlJc w:val="left"/>
      <w:lvlText w:val="%1."/>
      <w:numFmt w:val="decimal"/>
      <w:start w:val="16"/>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2021-12-07T16:11:20Z</dcterms:created>
  <dcterms:modified xsi:type="dcterms:W3CDTF">2021-12-07T16:11:20Z</dcterms:modified>
</cp:coreProperties>
</file>