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6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2, 2020</w:t>
      </w:r>
    </w:p>
    <w:p>
      <w:pPr>
        <w:spacing w:after="0" w:line="1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40" w:right="4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04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4075430</wp:posOffset>
            </wp:positionH>
            <wp:positionV relativeFrom="paragraph">
              <wp:posOffset>-5080</wp:posOffset>
            </wp:positionV>
            <wp:extent cx="1134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8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Dave &amp; Buster’s Entertainment,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tbl>
      <w:tblPr>
        <w:tblLayout w:type="fixed"/>
        <w:tblInd w:w="720" w:type="dxa"/>
        <w:tblCellMar>
          <w:top w:w="0" w:type="dxa"/>
          <w:left w:w="0" w:type="dxa"/>
          <w:bottom w:w="0" w:type="dxa"/>
          <w:right w:w="0" w:type="dxa"/>
        </w:tblCellMar>
      </w:tblPr>
      <w:tr>
        <w:trPr>
          <w:trHeight w:val="214"/>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2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60" w:type="dxa"/>
            <w:vAlign w:val="bottom"/>
          </w:tcPr>
          <w:p>
            <w:pPr>
              <w:spacing w:after="0"/>
              <w:rPr>
                <w:sz w:val="18"/>
                <w:szCs w:val="18"/>
                <w:color w:val="auto"/>
              </w:rPr>
            </w:pPr>
          </w:p>
        </w:tc>
        <w:tc>
          <w:tcPr>
            <w:tcW w:w="438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35-2382255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3720" w:type="dxa"/>
            <w:vAlign w:val="bottom"/>
            <w:gridSpan w:val="2"/>
          </w:tcPr>
          <w:p>
            <w:pPr>
              <w:jc w:val="center"/>
              <w:ind w:right="65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160" w:type="dxa"/>
            <w:vAlign w:val="bottom"/>
          </w:tcPr>
          <w:p>
            <w:pPr>
              <w:spacing w:after="0"/>
              <w:rPr>
                <w:sz w:val="16"/>
                <w:szCs w:val="16"/>
                <w:color w:val="auto"/>
              </w:rPr>
            </w:pPr>
          </w:p>
        </w:tc>
        <w:tc>
          <w:tcPr>
            <w:tcW w:w="4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(I.R.S. Employer ID)</w:t>
            </w:r>
          </w:p>
        </w:tc>
        <w:tc>
          <w:tcPr>
            <w:tcW w:w="0" w:type="dxa"/>
            <w:vAlign w:val="bottom"/>
          </w:tcPr>
          <w:p>
            <w:pPr>
              <w:spacing w:after="0"/>
              <w:rPr>
                <w:sz w:val="1"/>
                <w:szCs w:val="1"/>
                <w:color w:val="auto"/>
              </w:rPr>
            </w:pPr>
          </w:p>
        </w:tc>
      </w:tr>
      <w:tr>
        <w:trPr>
          <w:trHeight w:val="390"/>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2481 Mañana Drive, Dallas, Texas, 75220</w:t>
            </w:r>
          </w:p>
        </w:tc>
        <w:tc>
          <w:tcPr>
            <w:tcW w:w="1160" w:type="dxa"/>
            <w:vAlign w:val="bottom"/>
          </w:tcPr>
          <w:p>
            <w:pPr>
              <w:spacing w:after="0"/>
              <w:rPr>
                <w:sz w:val="24"/>
                <w:szCs w:val="24"/>
                <w:color w:val="auto"/>
              </w:rPr>
            </w:pPr>
          </w:p>
        </w:tc>
        <w:tc>
          <w:tcPr>
            <w:tcW w:w="438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(214) 357-9588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160" w:type="dxa"/>
            <w:vAlign w:val="bottom"/>
          </w:tcPr>
          <w:p>
            <w:pPr>
              <w:spacing w:after="0"/>
              <w:rPr>
                <w:sz w:val="16"/>
                <w:szCs w:val="16"/>
                <w:color w:val="auto"/>
              </w:rPr>
            </w:pPr>
          </w:p>
        </w:tc>
        <w:tc>
          <w:tcPr>
            <w:tcW w:w="44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0" w:type="dxa"/>
            <w:vAlign w:val="bottom"/>
          </w:tcPr>
          <w:p>
            <w:pPr>
              <w:spacing w:after="0"/>
              <w:rPr>
                <w:sz w:val="1"/>
                <w:szCs w:val="1"/>
                <w:color w:val="auto"/>
              </w:rPr>
            </w:pPr>
          </w:p>
        </w:tc>
      </w:tr>
      <w:tr>
        <w:trPr>
          <w:trHeight w:val="455"/>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8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6"/>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0"/>
              </w:rPr>
              <w:t>Common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gridSpan w:val="3"/>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0" w:type="dxa"/>
            <w:vAlign w:val="bottom"/>
            <w:vMerge w:val="continue"/>
          </w:tcPr>
          <w:p>
            <w:pPr>
              <w:spacing w:after="0"/>
              <w:rPr>
                <w:sz w:val="16"/>
                <w:szCs w:val="16"/>
                <w:color w:val="auto"/>
              </w:rPr>
            </w:pPr>
          </w:p>
        </w:tc>
        <w:tc>
          <w:tcPr>
            <w:tcW w:w="372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Stock $0.01 par value</w:t>
            </w: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PLAY</w:t>
            </w:r>
          </w:p>
        </w:tc>
        <w:tc>
          <w:tcPr>
            <w:tcW w:w="1720" w:type="dxa"/>
            <w:vAlign w:val="bottom"/>
            <w:vMerge w:val="continue"/>
          </w:tcPr>
          <w:p>
            <w:pPr>
              <w:spacing w:after="0"/>
              <w:rPr>
                <w:sz w:val="16"/>
                <w:szCs w:val="16"/>
                <w:color w:val="auto"/>
              </w:rPr>
            </w:pPr>
          </w:p>
        </w:tc>
        <w:tc>
          <w:tcPr>
            <w:tcW w:w="2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40" w:type="dxa"/>
            <w:vAlign w:val="bottom"/>
            <w:gridSpan w:val="3"/>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1720" w:type="dxa"/>
            <w:vAlign w:val="bottom"/>
          </w:tcPr>
          <w:p>
            <w:pPr>
              <w:spacing w:after="0"/>
              <w:rPr>
                <w:sz w:val="20"/>
                <w:szCs w:val="20"/>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checkmark whether the registrant (1) has filed all reports required to be filed by Section 13 or 15(d) of the Securities Exchange Act of</w:t>
      </w:r>
    </w:p>
    <w:p>
      <w:pPr>
        <w:spacing w:after="0" w:line="27" w:lineRule="exact"/>
        <w:rPr>
          <w:sz w:val="24"/>
          <w:szCs w:val="24"/>
          <w:color w:val="auto"/>
        </w:rPr>
      </w:pPr>
    </w:p>
    <w:p>
      <w:pPr>
        <w:ind w:left="120" w:right="24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left="120" w:right="16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43" w:lineRule="exact"/>
        <w:rPr>
          <w:sz w:val="24"/>
          <w:szCs w:val="24"/>
          <w:color w:val="auto"/>
        </w:rPr>
      </w:pPr>
    </w:p>
    <w:p>
      <w:pPr>
        <w:ind w:left="120" w:right="1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left="120" w:right="1080" w:firstLine="44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September 4, 2020, the registrant had 47,594,912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10-Q FOR QUARTERLY PERIOD ENDED AUGUST 2, 2020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9"/>
        </w:trPr>
        <w:tc>
          <w:tcPr>
            <w:tcW w:w="760" w:type="dxa"/>
            <w:vAlign w:val="bottom"/>
            <w:vMerge w:val="continue"/>
          </w:tcPr>
          <w:p>
            <w:pPr>
              <w:spacing w:after="0"/>
              <w:rPr>
                <w:sz w:val="18"/>
                <w:szCs w:val="18"/>
                <w:color w:val="auto"/>
              </w:rPr>
            </w:pPr>
          </w:p>
        </w:tc>
        <w:tc>
          <w:tcPr>
            <w:tcW w:w="9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Controls and Procedures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Exhibits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Signatures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990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14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DAVE &amp; BUSTER’S ENTERTAINMENT,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8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224,305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23,805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$739,805 and $686,824 accumulated depreciation as of August 2, 2020 and February 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872,010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900,637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1,062,266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1,011,568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272,650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272,636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19,682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2,619,967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2,370,139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8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207,452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1,285,533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1,222,054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731,646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632,689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0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400,000,000 shares; issued: 60,422,212 shares at August 2, 2020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43,386,852 shares at February 2, 2020; outstanding: 47,594,912 shares at August 2, 2020 and 30,603,340 shares at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 2020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50,000,000 authorized;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339,161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12,827,300 and 12,783,512 shares as of August 2, 2020 and February 2, 2020,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(595,728)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(595,041)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331,319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433,465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250,371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2,619,967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2,370,139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(LOSS)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8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8440" w:type="dxa"/>
            <w:vAlign w:val="bottom"/>
          </w:tcPr>
          <w:p>
            <w:pPr>
              <w:spacing w:after="0"/>
              <w:rPr>
                <w:sz w:val="15"/>
                <w:szCs w:val="15"/>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206,678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344,599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4,659</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36,934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22,689</w:t>
            </w:r>
          </w:p>
        </w:tc>
        <w:tc>
          <w:tcPr>
            <w:tcW w:w="0" w:type="dxa"/>
            <w:vAlign w:val="bottom"/>
          </w:tcPr>
          <w:p>
            <w:pPr>
              <w:spacing w:after="0"/>
              <w:rPr>
                <w:sz w:val="1"/>
                <w:szCs w:val="1"/>
                <w:color w:val="auto"/>
              </w:rPr>
            </w:pP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13,756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80,927</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62,682</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104,376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9,278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15,991</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35,160</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32,745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131,948</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(81,115)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46,214</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(89,278)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41,609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(30,676)</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(58,602)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32,356</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derivatives, net of tax</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(56,926)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29,117</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47,111,763</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35,407,965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47,111,763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36,015,710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(LOSS)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August 2, 2020</w:t>
            </w: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8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80,922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286,142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129,717</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422,039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210,639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708,181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22,003</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75,688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14,753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45,660</w:t>
            </w:r>
          </w:p>
        </w:tc>
        <w:tc>
          <w:tcPr>
            <w:tcW w:w="0" w:type="dxa"/>
            <w:vAlign w:val="bottom"/>
          </w:tcPr>
          <w:p>
            <w:pPr>
              <w:spacing w:after="0"/>
              <w:rPr>
                <w:sz w:val="1"/>
                <w:szCs w:val="1"/>
                <w:color w:val="auto"/>
              </w:rPr>
            </w:pPr>
          </w:p>
        </w:tc>
      </w:tr>
      <w:tr>
        <w:trPr>
          <w:trHeight w:val="223"/>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57,493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163,800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158,354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210,621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23,841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32,837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70,512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63,886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11,725</w:t>
            </w:r>
          </w:p>
        </w:tc>
        <w:tc>
          <w:tcPr>
            <w:tcW w:w="0" w:type="dxa"/>
            <w:vAlign w:val="bottom"/>
          </w:tcPr>
          <w:p>
            <w:pPr>
              <w:spacing w:after="0"/>
              <w:rPr>
                <w:sz w:val="1"/>
                <w:szCs w:val="1"/>
                <w:color w:val="auto"/>
              </w:rPr>
            </w:pP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353,167</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(142,528)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103,964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14,278</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8,661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(156,806)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95,303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(54,660)</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20,504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(102,146)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74,799</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1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(105,854)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68,835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39,470,874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36,117,815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39,470,874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36,803,001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 OF STOCKHOLDERS’ EQUITY (UNAUDITED) </w:t>
      </w:r>
      <w:r>
        <w:rPr>
          <w:rFonts w:ascii="Times New Roman" w:cs="Times New Roman" w:eastAsia="Times New Roman" w:hAnsi="Times New Roman"/>
          <w:sz w:val="18"/>
          <w:szCs w:val="18"/>
          <w:color w:val="auto"/>
        </w:rPr>
        <w:t>(in thousands, except share amounts)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Thirteen Weeks Ended August 2, 2020</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900" w:type="dxa"/>
            <w:vAlign w:val="bottom"/>
            <w:gridSpan w:val="4"/>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2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48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900" w:type="dxa"/>
            <w:vAlign w:val="bottom"/>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gridSpan w:val="2"/>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May 3, 2020</w:t>
            </w:r>
          </w:p>
        </w:tc>
        <w:tc>
          <w:tcPr>
            <w:tcW w:w="90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49,578,351</w:t>
            </w: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gridSpan w:val="2"/>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$496</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$411,048</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gridSpan w:val="3"/>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12,786,624</w:t>
            </w:r>
          </w:p>
        </w:tc>
        <w:tc>
          <w:tcPr>
            <w:tcW w:w="880" w:type="dxa"/>
            <w:vAlign w:val="bottom"/>
            <w:tcBorders>
              <w:top w:val="single" w:sz="8" w:color="CCEEFF"/>
            </w:tcBorders>
            <w:gridSpan w:val="2"/>
            <w:shd w:val="clear" w:color="auto" w:fill="CCEEFF"/>
          </w:tcPr>
          <w:p>
            <w:pPr>
              <w:jc w:val="right"/>
              <w:ind w:right="1"/>
              <w:spacing w:after="0" w:line="189" w:lineRule="exact"/>
              <w:rPr>
                <w:sz w:val="20"/>
                <w:szCs w:val="20"/>
                <w:color w:val="auto"/>
              </w:rPr>
            </w:pPr>
            <w:r>
              <w:rPr>
                <w:rFonts w:ascii="Times New Roman" w:cs="Times New Roman" w:eastAsia="Times New Roman" w:hAnsi="Times New Roman"/>
                <w:sz w:val="18"/>
                <w:szCs w:val="18"/>
                <w:color w:val="auto"/>
                <w:w w:val="98"/>
              </w:rPr>
              <w:t>$(595,077)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(13,753)</w:t>
            </w: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$389,921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$192,635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(58,602)</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(58,602)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1040" w:type="dxa"/>
            <w:vAlign w:val="bottom"/>
            <w:gridSpan w:val="3"/>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304</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040" w:type="dxa"/>
            <w:vAlign w:val="bottom"/>
            <w:gridSpan w:val="3"/>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gridSpan w:val="3"/>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10,843,861</w:t>
            </w:r>
          </w:p>
        </w:tc>
        <w:tc>
          <w:tcPr>
            <w:tcW w:w="1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112,471</w:t>
            </w:r>
          </w:p>
        </w:tc>
        <w:tc>
          <w:tcPr>
            <w:tcW w:w="80" w:type="dxa"/>
            <w:vAlign w:val="bottom"/>
          </w:tcPr>
          <w:p>
            <w:pPr>
              <w:spacing w:after="0"/>
              <w:rPr>
                <w:sz w:val="18"/>
                <w:szCs w:val="18"/>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112,579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40" w:type="dxa"/>
            <w:vAlign w:val="bottom"/>
            <w:gridSpan w:val="3"/>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40,676</w:t>
            </w: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August 2, 2020</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60,422,212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526,253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12,827,300</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(595,728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331,319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250,371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August 4, 2019</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98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680" w:type="dxa"/>
            <w:vAlign w:val="bottom"/>
            <w:gridSpan w:val="4"/>
            <w:vMerge w:val="continue"/>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9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May 5, 2019</w:t>
            </w:r>
          </w:p>
        </w:tc>
        <w:tc>
          <w:tcPr>
            <w:tcW w:w="1100" w:type="dxa"/>
            <w:vAlign w:val="bottom"/>
            <w:tcBorders>
              <w:top w:val="single" w:sz="8" w:color="CCEEFF"/>
            </w:tcBorders>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43,323,049</w:t>
            </w:r>
          </w:p>
        </w:tc>
        <w:tc>
          <w:tcPr>
            <w:tcW w:w="580" w:type="dxa"/>
            <w:vAlign w:val="bottom"/>
            <w:tcBorders>
              <w:top w:val="single" w:sz="8" w:color="CCEEFF"/>
            </w:tcBorders>
            <w:gridSpan w:val="2"/>
            <w:shd w:val="clear" w:color="auto" w:fill="CCEEFF"/>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9"/>
              </w:rPr>
              <w:t>$433</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$333,515</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gridSpan w:val="3"/>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6,958,291</w:t>
            </w:r>
          </w:p>
        </w:tc>
        <w:tc>
          <w:tcPr>
            <w:tcW w:w="1000" w:type="dxa"/>
            <w:vAlign w:val="bottom"/>
            <w:tcBorders>
              <w:top w:val="single" w:sz="8" w:color="CCEEFF"/>
            </w:tcBorders>
            <w:gridSpan w:val="3"/>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$(361,186)</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4"/>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w w:val="83"/>
              </w:rPr>
              <w:t>(3,408)</w:t>
            </w: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$390,771</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$ 360,125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32,356</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32,356</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134</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(3,373)</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14,076</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3,400,000</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(136,676)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(136,676)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($0.15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(5,348)</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August 4, 2019</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43,337,125</w:t>
            </w:r>
          </w:p>
        </w:tc>
        <w:tc>
          <w:tcPr>
            <w:tcW w:w="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433</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335,599</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10,358,291</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(497,862)</w:t>
            </w:r>
          </w:p>
        </w:tc>
        <w:tc>
          <w:tcPr>
            <w:tcW w:w="3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(6,647)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417,779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$ 249,302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 OF STOCKHOLDERS’ EQUITY (UNAUDITED) </w:t>
      </w:r>
      <w:r>
        <w:rPr>
          <w:rFonts w:ascii="Times New Roman" w:cs="Times New Roman" w:eastAsia="Times New Roman" w:hAnsi="Times New Roman"/>
          <w:sz w:val="18"/>
          <w:szCs w:val="18"/>
          <w:color w:val="auto"/>
        </w:rPr>
        <w:t>(in thousands, except share amounts)</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Twenty-Six Weeks Ended August 2, 2020</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7"/>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9"/>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6"/>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Borders>
              <w:top w:val="single" w:sz="8" w:color="auto"/>
              <w:bottom w:val="single" w:sz="8" w:color="auto"/>
            </w:tcBorders>
            <w:gridSpan w:val="4"/>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gridSpan w:val="2"/>
          </w:tcPr>
          <w:p>
            <w:pPr>
              <w:spacing w:after="0"/>
              <w:rPr>
                <w:sz w:val="14"/>
                <w:szCs w:val="14"/>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February 2, 2020</w:t>
            </w:r>
          </w:p>
        </w:tc>
        <w:tc>
          <w:tcPr>
            <w:tcW w:w="1480" w:type="dxa"/>
            <w:vAlign w:val="bottom"/>
            <w:tcBorders>
              <w:top w:val="single" w:sz="8" w:color="CCEEFF"/>
            </w:tcBorders>
            <w:gridSpan w:val="6"/>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43,386,852</w:t>
            </w: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gridSpan w:val="3"/>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$339,161</w:t>
            </w:r>
          </w:p>
        </w:tc>
        <w:tc>
          <w:tcPr>
            <w:tcW w:w="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gridSpan w:val="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w w:val="98"/>
              </w:rPr>
              <w:t>12,783,512</w:t>
            </w:r>
          </w:p>
        </w:tc>
        <w:tc>
          <w:tcPr>
            <w:tcW w:w="980" w:type="dxa"/>
            <w:vAlign w:val="bottom"/>
            <w:tcBorders>
              <w:top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$(595,041)</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(8,369)</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$ 433,465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$ 169,650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center"/>
              <w:ind w:left="41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(102,146)</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(102,146)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Unrealized foreign currency translation loss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center"/>
              <w:ind w:left="41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(3,577)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17,035,360</w:t>
            </w:r>
          </w:p>
        </w:tc>
        <w:tc>
          <w:tcPr>
            <w:tcW w:w="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184,747</w:t>
            </w:r>
          </w:p>
        </w:tc>
        <w:tc>
          <w:tcPr>
            <w:tcW w:w="120" w:type="dxa"/>
            <w:vAlign w:val="bottom"/>
          </w:tcPr>
          <w:p>
            <w:pPr>
              <w:spacing w:after="0"/>
              <w:rPr>
                <w:sz w:val="18"/>
                <w:szCs w:val="18"/>
                <w:color w:val="auto"/>
              </w:rPr>
            </w:pPr>
          </w:p>
        </w:tc>
        <w:tc>
          <w:tcPr>
            <w:tcW w:w="880" w:type="dxa"/>
            <w:vAlign w:val="bottom"/>
            <w:gridSpan w:val="3"/>
          </w:tcPr>
          <w:p>
            <w:pPr>
              <w:jc w:val="center"/>
              <w:ind w:left="415"/>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184,917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43,788</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August 2, 2020</w:t>
            </w: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60,422,212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526,253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6"/>
              </w:rPr>
              <w:t>12,827,300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(595,728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$ 331,319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$ 250,371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7"/>
          </w:tcPr>
          <w:p>
            <w:pPr>
              <w:ind w:left="200"/>
              <w:spacing w:after="0"/>
              <w:rPr>
                <w:sz w:val="20"/>
                <w:szCs w:val="20"/>
                <w:color w:val="auto"/>
              </w:rPr>
            </w:pPr>
            <w:r>
              <w:rPr>
                <w:rFonts w:ascii="Times New Roman" w:cs="Times New Roman" w:eastAsia="Times New Roman" w:hAnsi="Times New Roman"/>
                <w:sz w:val="14"/>
                <w:szCs w:val="14"/>
                <w:b w:val="1"/>
                <w:bCs w:val="1"/>
                <w:color w:val="auto"/>
              </w:rPr>
              <w:t>Twenty-Six Weeks Ended August 4, 2019</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7"/>
            <w:vMerge w:val="restart"/>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42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500" w:type="dxa"/>
            <w:vAlign w:val="bottom"/>
            <w:gridSpan w:val="7"/>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500" w:type="dxa"/>
            <w:vAlign w:val="bottom"/>
            <w:gridSpan w:val="7"/>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7"/>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gridSpan w:val="2"/>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2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February 3, 2019</w:t>
            </w:r>
          </w:p>
        </w:tc>
        <w:tc>
          <w:tcPr>
            <w:tcW w:w="900" w:type="dxa"/>
            <w:vAlign w:val="bottom"/>
            <w:tcBorders>
              <w:top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43,177,476</w:t>
            </w:r>
          </w:p>
        </w:tc>
        <w:tc>
          <w:tcPr>
            <w:tcW w:w="600" w:type="dxa"/>
            <w:vAlign w:val="bottom"/>
            <w:tcBorders>
              <w:top w:val="single" w:sz="8" w:color="CCEEFF"/>
            </w:tcBorders>
            <w:gridSpan w:val="4"/>
            <w:shd w:val="clear" w:color="auto" w:fill="CCEEFF"/>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$432</w:t>
            </w: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$331,255</w:t>
            </w: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gridSpan w:val="3"/>
            <w:shd w:val="clear" w:color="auto" w:fill="CCEEFF"/>
          </w:tcPr>
          <w:p>
            <w:pPr>
              <w:jc w:val="right"/>
              <w:ind w:right="148"/>
              <w:spacing w:after="0" w:line="189" w:lineRule="exact"/>
              <w:rPr>
                <w:sz w:val="20"/>
                <w:szCs w:val="20"/>
                <w:color w:val="auto"/>
              </w:rPr>
            </w:pPr>
            <w:r>
              <w:rPr>
                <w:rFonts w:ascii="Times New Roman" w:cs="Times New Roman" w:eastAsia="Times New Roman" w:hAnsi="Times New Roman"/>
                <w:sz w:val="18"/>
                <w:szCs w:val="18"/>
                <w:color w:val="auto"/>
              </w:rPr>
              <w:t>5,655,391</w:t>
            </w:r>
          </w:p>
        </w:tc>
        <w:tc>
          <w:tcPr>
            <w:tcW w:w="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gridSpan w:val="3"/>
            <w:shd w:val="clear" w:color="auto" w:fill="CCEEFF"/>
          </w:tcPr>
          <w:p>
            <w:pPr>
              <w:jc w:val="right"/>
              <w:ind w:right="21"/>
              <w:spacing w:after="0" w:line="189" w:lineRule="exact"/>
              <w:rPr>
                <w:sz w:val="20"/>
                <w:szCs w:val="20"/>
                <w:color w:val="auto"/>
              </w:rPr>
            </w:pPr>
            <w:r>
              <w:rPr>
                <w:rFonts w:ascii="Times New Roman" w:cs="Times New Roman" w:eastAsia="Times New Roman" w:hAnsi="Times New Roman"/>
                <w:sz w:val="18"/>
                <w:szCs w:val="18"/>
                <w:color w:val="auto"/>
                <w:w w:val="98"/>
              </w:rPr>
              <w:t>$(297,129)</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$353,962</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$ 387,837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 change in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principle, net of tax</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74,799</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74,799</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48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54"/>
              <w:spacing w:after="0"/>
              <w:rPr>
                <w:sz w:val="20"/>
                <w:szCs w:val="20"/>
                <w:color w:val="auto"/>
              </w:rPr>
            </w:pPr>
            <w:r>
              <w:rPr>
                <w:rFonts w:ascii="Times New Roman" w:cs="Times New Roman" w:eastAsia="Times New Roman" w:hAnsi="Times New Roman"/>
                <w:sz w:val="18"/>
                <w:szCs w:val="18"/>
                <w:color w:val="auto"/>
              </w:rPr>
              <w:t>3,732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159,649</w:t>
            </w: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8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4,702,900</w:t>
            </w:r>
          </w:p>
        </w:tc>
        <w:tc>
          <w:tcPr>
            <w:tcW w:w="20" w:type="dxa"/>
            <w:vAlign w:val="bottom"/>
          </w:tcPr>
          <w:p>
            <w:pPr>
              <w:spacing w:after="0"/>
              <w:rPr>
                <w:sz w:val="18"/>
                <w:szCs w:val="18"/>
                <w:color w:val="auto"/>
              </w:rPr>
            </w:pPr>
          </w:p>
        </w:tc>
        <w:tc>
          <w:tcPr>
            <w:tcW w:w="9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(200,733)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(200,733)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($0.30 per share)</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(10,837)</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August 4, 2019</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43,337,125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433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335,599</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10,358,291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(497,862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417,779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$ 249,302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(102,146)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74,799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70,512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63,886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13,727</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(31,609)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3,288</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(4,811)</w:t>
            </w: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(21,474)</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6,646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37,522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22,057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16"/>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(13,504)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156,690</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(63,486)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(117,875)</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(63,334)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(117,500)</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138,000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233,000</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debt</w:t>
            </w:r>
          </w:p>
        </w:tc>
        <w:tc>
          <w:tcPr>
            <w:tcW w:w="10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(38,500)</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(59,500)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the issuance of common stock</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182,207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0" w:type="dxa"/>
            <w:vAlign w:val="bottom"/>
          </w:tcPr>
          <w:p>
            <w:pPr>
              <w:spacing w:after="0"/>
              <w:rPr>
                <w:sz w:val="18"/>
                <w:szCs w:val="18"/>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 under share repurchase program</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(200,147)</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(4,891)</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(10,837)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276,488</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199,650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21,585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23,318</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fixed asset 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(12,466)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22,850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11,295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6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thousands, except share and per share amounts)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Dallas, Texas, is a leading operator of high-volume entertainment and dining venues (“stores”) in North America for adults and families under the name “Dave &amp; Buster’s”. The Company operates its business as one operating and one reportable segment. As of August 2, 2020, we owned and operated 137 stores located in 39 states, Puerto Rico and one Canadian province.</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53-week fiscal year that ends on the Sunday after the Saturday closest to January 31. Each quarterly period reported has 13 weeks. Fiscal 2020 and 2019, which end on January 31, 2021 and February 2, 2020, respectively, contain 52 weeks.</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February 2, 2020, included in our Annual Report on Form 10-K as filed with the SEC.</w:t>
      </w:r>
    </w:p>
    <w:p>
      <w:pPr>
        <w:spacing w:after="0" w:line="183"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Going concern — </w:t>
      </w:r>
      <w:r>
        <w:rPr>
          <w:rFonts w:ascii="Times New Roman" w:cs="Times New Roman" w:eastAsia="Times New Roman" w:hAnsi="Times New Roman"/>
          <w:sz w:val="18"/>
          <w:szCs w:val="18"/>
          <w:color w:val="auto"/>
        </w:rPr>
        <w:t>During the period from March 14, 2020 to March 20, 2020, the Company closed 100% of its 137 operating stores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with guidance and orders issued by federal, state and local governments to combat the spread of the COVID-19 pandemic. The extent of impact of these conditions will be based in part on the duration of the store closures or re-opening of stores at full capacity and the timing and extent of customers re-engaging with the brand. During our first quarter, one store re-opened to the public with limited food and beverage offerings and two additional stores offered off-premise dining options. During our second quarter, we have progressively re-opened limited operations in an additional 83 stores in 27 states, Puerto Rico and Canada. Subsequent to the end of our second quarter, we re-opened one store and opened a new store located in Manchester, New Hampshire. As of September 4, 2020, 52 stores are closed due to jurisdictional restrictions. The Company is unable to determine whether, when or the manner in which the conditions surrounding the COVID-19 pandemic will change, including when any restrictions or closure requirements will be lifted or potentially re-imposed in certain states or local jurisdictions, whether it will be able to successfully staff stores, and the degree to which it will be able to re-engage customers. These developments have caused a material adverse impact on the Company’s revenues, results of operations and cash flows, including the Company’s ability to meet its obligations when due. These conditions raise substantial doubt about the Company’s ability to continue as a going concern for a period of one year from the date the financial statements are issued.</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has taken several steps to reduce operating costs and to conserve cash. The Company initially furloughed nearly all its workforce, except a small team of essential personnel and temporarily reduced pay and benefits for the remaining employees for a twelve-week period. On March 18, 2020, the Company borrowed substantially all the remaining availability under its revolving credit facility, and the Company continues to actively manage its daily cash flows. During our first and second quarter, the Company obtained additional liquidity through the sale of common stock, which resulted in net proceeds of $182,207.</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the Company initiated ongoing discussions with landlords and other vendors to negotiate relief from cash payments under existing lease and trade payable obligations. As of August 2, 2020, a total of 92 rent relief agreements related to our operating locations and corporate headquarters were executed, which generally provide for full deferral for three months beginning April 2020, with partial deferral continuing for periods of up to six months, at approximately 50% of those locations. We have also been successful in negotiating extended and reduced payment terms with several vendors.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Effective April 14, 2020, the Company negotiated an amendment to its existing credit facility, which included relief from compliance with financial covenants for the periods ended May 3, 2020, August 2, 2020 and November 1, 2020. During the financial covenant suspension period, the Company is required to maintain a minimum liquidity amount of $30,000. If the Company is not in compliance with financial covenants after the suspension period or some other event of default arises, the Company’s lenders could instruct the administrative agent under the existing credit facility to exercise remedies including declaring the principal of and accrued interest on all outstanding indebtedness due and payable, terminating all remaining commitments and obligations under the revolving credit facility and requiring the posting of cash collateral in respect of 103% of the outstanding letters of credit under the revolving credit facility. Additionally, the full amount due under the interest rate swap</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agreements would become due. Although the lenders under the existing credit facility may waive the default or forebear the exercise of remedies, they are not obligated to do so. Failure to obtain additional waivers would have a material adverse effect on the Company’s liquidity, financial condition and results of operations and may result in filing a voluntary petition for relief under Chapter 11 of the United States Bankruptcy Code to implement a restructuring plan.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w:t>
      </w:r>
    </w:p>
    <w:p>
      <w:pPr>
        <w:spacing w:after="0" w:line="225"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twenty-six weeks ended August 2, 2020 are not necessarily indicative of results that may be expected for any other interim period or for the fiscal year ending January 31, 2021.</w:t>
      </w:r>
    </w:p>
    <w:p>
      <w:pPr>
        <w:spacing w:after="0" w:line="160"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There was no book overdraft as of August 2, 2020. A book overdraft of $14,026 is presented in “Accounts payable” in the Consolidated Balance Sheets as of February 2, 2020. Changes in the book overdraft position are presented within “Net cash provided by (used in) operating activities” within the Consolidated Statements of Cash Flows.</w:t>
      </w:r>
    </w:p>
    <w:p>
      <w:pPr>
        <w:spacing w:after="0" w:line="182"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We believe that the carrying amount of our credit facility approximates its fair value because the interest rates reflect current market conditions. The fair value of the Company’s credit facility was determined to be a Level Two instrument as defined by GAAP. The fair value of the Company’s interest rate swap is determined based upon Level Two inputs which includes valuation models as reported by our counterparties. These valuation models are based on the present value of expected cash flows using forward rate curves.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Non-financial assets and liabilities recognized or disclosed at fair value in the consolidated financial statements on a nonrecurring basis include such items as property and equipment, right-of-use (“ROU”) assets, goodwill, tradenames and other assets.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disruption in operations and reduction in revenues have led the Company to consider the impact of the COVID-19 pandemic on the recoverability of its property and equipment and ROU assets for operating leases. During the first quarter of fiscal 2020, each store’s past and present operating performance was reviewed in combination with projected future results primarily through projected undiscounted cash flows that included management’s current expectation of future financial impacts from COVID-19. If the store’s assets were not determined to be recoverable through comparison of the asset’s carrying value to its undiscounted cash flows, the Company compared the carrying amount of each store’s assets to its fair value as estimated by management to calculate the impairment amount The fair value of the store’s assets is generally determined using a discounted cash flow projection model, which is based on Level Three inputs. Store asset impairment charges represent the excess of the carrying amount over the estimated fair value of the store asset. The Company recorded an impairment charge for its long-lived assets, including ROU assets, of $6,746 during the first quarter of fiscal 2020, primarily driven by the expected impact of the COVID-19 pandemic on future cash flows of specific stores. During the second quarter of fiscal 2020, the Company did not identify additional triggering events which would require a change in management’s estimate regarding the recoverability of store asset values, and no additional impairment related to our operating stores was recognized. The Company has determined no events and circumstances existed during the twenty-six weeks ended August 2, 2020 that would indicate it is more likely than not that its goodwill or tradename are impaired. The ultimate severity and longevity of the COVID-19 pandemic is unknown, and therefore, it is possible that impairments could be identified in future periods, and such amounts could be material.</w:t>
      </w:r>
    </w:p>
    <w:p>
      <w:pPr>
        <w:spacing w:after="0" w:line="19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Additionally, the Company is continuing discussions to terminate or delay possession on several executed lease contracts that have not yet commenced. The Company is also curtailing several potential new store projects that were in the early stage of development. During the thirteen and twenty-six weeks ended August 2, 2020, we recorded an impairment loss and related contract termination costs of $2,178 and $6,981 related to these projects, which is included in “Other store operating expenses” in the Consolidated Statements of Comprehensive Income (Loss).</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swaps </w:t>
      </w:r>
      <w:r>
        <w:rPr>
          <w:rFonts w:ascii="Times New Roman" w:cs="Times New Roman" w:eastAsia="Times New Roman" w:hAnsi="Times New Roman"/>
          <w:sz w:val="18"/>
          <w:szCs w:val="18"/>
          <w:color w:val="auto"/>
        </w:rPr>
        <w:t>— The Company entered into three interest rate swap agreements to manage our exposure to interest rate movements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rate credit facility. The agreements entitle the Company to receive at specified intervals, a variable rate of interest based on one-month LIBOR in exchange for the payment of a fixed rate of interest throughout the life of the agreements. The notional amount of the swap agreements total $350,000 and the fixed rate of interest for all agreements is 2.47%. The agreements became effective on February 28, 2019 and mature on August 17, 2022, which is the maturity date of our credit facility.</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initially designated its interest rate swap agreements as a cash flow hedge and accounted for the underlying activity in accordance with hedge accounting. Effective April 14, 2020, the Company amended its existing credit facility agreement to obtain relief from its financial covenants, and as a result, the variable interest rate terms were modified to create an interest rate floor of 1.00%. Accordingly, and as a result of the current forward interest rate curve, the Company discontinued the hedging relationship as of April 14, 2020 (de-designation date). Given the continued existence of the hedged interest payments, the Company will reclassify its accumulated other comprehensive loss of $17,609 as of the de-designation date into “Interest expense, net” using a straight-line approach over the remaining life of the originally designated hedging relationship. The amount of pre-tax losses in accumulated other comprehensive loss that was reclassified into interest expense subsequent to the de-designation date was $1,887 and $2,201 for the thirteen and twenty-six weeks ended August 2, 2020, respectively, and the Company expects to reclassify $7,547 within the next twelve months. Effective with the de-designation, any gain or loss on the derivatives are recognized in earnings in the period in which the change occurs. For the thirteen and twenty-six weeks ended August 2, 2020, a loss of $976 and $1,796 was recognized, respectively, which are included in “Other store operating expenses” in the Consolidated Statements of Comprehensive Income (Loss).</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Prior to the de-designation, 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component of interest expense and in operating activities.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Credit risk related to the failure of the our counterparties to perform under the terms of the swap agreements is minimized by entering into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derivative instruments were outstanding as of the end of the periods indicated: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1440" w:type="dxa"/>
            <w:vAlign w:val="bottom"/>
            <w:vMerge w:val="restart"/>
          </w:tcPr>
          <w:p>
            <w:pPr>
              <w:spacing w:after="0"/>
              <w:rPr>
                <w:sz w:val="15"/>
                <w:szCs w:val="15"/>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260" w:type="dxa"/>
            <w:vAlign w:val="bottom"/>
          </w:tcPr>
          <w:p>
            <w:pPr>
              <w:spacing w:after="0"/>
              <w:rPr>
                <w:sz w:val="12"/>
                <w:szCs w:val="12"/>
                <w:color w:val="auto"/>
              </w:rPr>
            </w:pPr>
          </w:p>
        </w:tc>
        <w:tc>
          <w:tcPr>
            <w:tcW w:w="128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(8,215)</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 (1)</w:t>
            </w: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(16,939)</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0" w:right="1480" w:hanging="4"/>
        <w:spacing w:after="0" w:line="410" w:lineRule="auto"/>
        <w:tabs>
          <w:tab w:leader="none" w:pos="336"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balance at August 2, 2020 relates to our swap agreements after hedge accounting was discontinued, effective April 14, 2020. The following table summarizes the activity in accumulated other comprehensive loss related to our derivative instruments:</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4, 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4, 2019</w:t>
            </w:r>
          </w:p>
        </w:tc>
        <w:tc>
          <w:tcPr>
            <w:tcW w:w="100" w:type="dxa"/>
            <w:vAlign w:val="bottom"/>
          </w:tcPr>
          <w:p>
            <w:pPr>
              <w:spacing w:after="0"/>
              <w:rPr>
                <w:sz w:val="12"/>
                <w:szCs w:val="12"/>
                <w:color w:val="auto"/>
              </w:rPr>
            </w:pPr>
          </w:p>
        </w:tc>
      </w:tr>
      <w:tr>
        <w:trPr>
          <w:trHeight w:val="191"/>
        </w:trPr>
        <w:tc>
          <w:tcPr>
            <w:tcW w:w="41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Amount of loss recorded in accumulated other</w:t>
            </w:r>
          </w:p>
        </w:tc>
        <w:tc>
          <w:tcPr>
            <w:tcW w:w="5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4,668</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7,602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Amount of loss reclassified into income (1)</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(1,887)</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(2,680)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(benefit) in accumulated other</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515</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(1,345)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(2,221)</w:t>
            </w:r>
          </w:p>
        </w:tc>
      </w:tr>
    </w:tbl>
    <w:p>
      <w:pPr>
        <w:spacing w:after="0" w:line="27" w:lineRule="exact"/>
        <w:rPr>
          <w:sz w:val="20"/>
          <w:szCs w:val="20"/>
          <w:color w:val="auto"/>
        </w:rPr>
      </w:pPr>
    </w:p>
    <w:p>
      <w:pPr>
        <w:ind w:left="340" w:hanging="224"/>
        <w:spacing w:after="0"/>
        <w:tabs>
          <w:tab w:leader="none" w:pos="34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Amounts reclassified into income are included in “Interest expense, net” in the Consolidated Statements of Comprehensive Income (Loss).</w:t>
      </w:r>
    </w:p>
    <w:p>
      <w:pPr>
        <w:spacing w:after="0" w:line="194"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Amusement revenues are primarily recognized upon utilization of game play credits on power cards purchased and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and twenty-six weeks ended August 2, 2020, we recognized revenue of approximately $2,500 and $12,100, respectively, related to the amount in deferred amusement revenue as of the end of fiscal 2019.</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and twenty-six weeks ended August 2, 2020, we recognized revenue of approximately $140 and $1,440, respectively, related to the amount in deferred gift card revenue as of the end of fiscal 2019, of which approximately $40 and $210 was breakage revenue.</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equity </w:t>
      </w:r>
      <w:r>
        <w:rPr>
          <w:rFonts w:ascii="Times New Roman" w:cs="Times New Roman" w:eastAsia="Times New Roman" w:hAnsi="Times New Roman"/>
          <w:sz w:val="17"/>
          <w:szCs w:val="17"/>
          <w:color w:val="auto"/>
        </w:rPr>
        <w:t>— Our Board of Directors has approved a share repurchase program under which the Company may repurchase shares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open market, through privately negotiated transactions and through trading plans. The total share repurchase authorization is $800,000 and the share repurchase authorization expires at the end of fiscal 2020. During the twenty-six weeks ended August 2, 2020, the Company indefinitely suspended all share repurchase activity. As of August 2, 2020, we have approximately $172,820 of share repurchase authorization remaining under the current plan.</w:t>
      </w:r>
    </w:p>
    <w:p>
      <w:pPr>
        <w:spacing w:after="0" w:line="165"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our consolidated financial statements, the Company treats shares withheld for tax purposes on behalf of our employees in connection with the vesting of time-based and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twenty-six weeks ended August 2, 2020 and August 4, 2019, we withheld 43,788 and 11,336 shares of common stock to satisfy $687 and $586 of employees’ tax obligations, respectively. The share activity in the twenty-six weeks ended August 2, 2020 includes the settlements of $2,351 cash obligations through the issuance of 150,455 shares of common stock.</w:t>
      </w:r>
    </w:p>
    <w:p>
      <w:pPr>
        <w:spacing w:after="0" w:line="18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Effective March 18, 2020, the Board of Directors of the Company adopted a 364-day duration Shareholder Rights Plan (the “Rights Plan”) and declared a dividend of one preferred share purchase right for each outstanding share of common stock to shareholders of record on March 30, 2020 to purchase from the Company one-ten thousandth of a share of Series A Junior Participating Preferred Stock, par value $0.01 per share, of the Company for an exercise price of $45.00 once the rights become exercisable, subject to adjustment as provided in the related rights agreement.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14, 2020, pursuant to an open market sale agreement, the Company sold 6,149,936 shares of its common stock at a price of $12.20 per share, for proceeds of $75,000, prior to deducting offering expenses related to the offering. On May 4, 2020, the Company entered into an underwriting agreement, pursuant to which it sold 9,578,545 shares of its common stock at a price of $10.44 per share, and on May 18, 2020, the underwriter exercised its over-allotment option for an additional 1,014,871 shares at $10.44 per share, resulting in additional proceeds of $110,600 prior to deducting offering costs.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June 23, 2020, shareholders approved a proposal to amend our 2014 Omnibus Incentive Plan (“Plan”) to increase the number of shares available for awards under the Plan by 3,000,000 shares.</w:t>
      </w:r>
    </w:p>
    <w:p>
      <w:pPr>
        <w:spacing w:after="0" w:line="158" w:lineRule="exact"/>
        <w:rPr>
          <w:sz w:val="20"/>
          <w:szCs w:val="20"/>
          <w:color w:val="auto"/>
        </w:rPr>
      </w:pPr>
    </w:p>
    <w:p>
      <w:pPr>
        <w:ind w:left="120" w:right="2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guidance </w:t>
      </w:r>
      <w:r>
        <w:rPr>
          <w:rFonts w:ascii="Times New Roman" w:cs="Times New Roman" w:eastAsia="Times New Roman" w:hAnsi="Times New Roman"/>
          <w:sz w:val="18"/>
          <w:szCs w:val="18"/>
          <w:color w:val="auto"/>
        </w:rPr>
        <w:t>— In June 2016, the Financial Accounting Standards Board (“FASB”) issued ASU 2016-13</w:t>
      </w:r>
      <w:r>
        <w:rPr>
          <w:rFonts w:ascii="Times New Roman" w:cs="Times New Roman" w:eastAsia="Times New Roman" w:hAnsi="Times New Roman"/>
          <w:sz w:val="18"/>
          <w:szCs w:val="18"/>
          <w:i w:val="1"/>
          <w:iCs w:val="1"/>
          <w:color w:val="auto"/>
        </w:rPr>
        <w:t>,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Instruments – Credit Losses (Topic 326): Measurement of Credit Losses on Financial Instruments, </w:t>
      </w:r>
      <w:r>
        <w:rPr>
          <w:rFonts w:ascii="Times New Roman" w:cs="Times New Roman" w:eastAsia="Times New Roman" w:hAnsi="Times New Roman"/>
          <w:sz w:val="18"/>
          <w:szCs w:val="18"/>
          <w:color w:val="auto"/>
        </w:rPr>
        <w:t>which requires measurement and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versus incurred losses for financial assets held. The guidance primarily relates to our credit card and tenant incentive receivables. The Company adopted this standard as of the beginning of fiscal year 2020, and the adoption did not have a material impact on our consolidated financial statements.</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w:t>
      </w:r>
      <w:r>
        <w:rPr>
          <w:rFonts w:ascii="Times New Roman" w:cs="Times New Roman" w:eastAsia="Times New Roman" w:hAnsi="Times New Roman"/>
          <w:sz w:val="18"/>
          <w:szCs w:val="18"/>
          <w:i w:val="1"/>
          <w:iCs w:val="1"/>
          <w:color w:val="auto"/>
        </w:rPr>
        <w:t>, Intangibles – Goodwill and Other (Topic 350): Simplifying the Test for Goodwill Impairment,</w:t>
      </w:r>
      <w:r>
        <w:rPr>
          <w:rFonts w:ascii="Times New Roman" w:cs="Times New Roman" w:eastAsia="Times New Roman" w:hAnsi="Times New Roman"/>
          <w:sz w:val="18"/>
          <w:szCs w:val="18"/>
          <w:color w:val="auto"/>
        </w:rPr>
        <w:t xml:space="preserve">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Company adopted this standard as of the beginning of fiscal year 2020, and the adoption did not have a material impact on our consolidated financial statements.</w:t>
      </w:r>
    </w:p>
    <w:p>
      <w:pPr>
        <w:spacing w:after="0" w:line="183" w:lineRule="exact"/>
        <w:rPr>
          <w:sz w:val="20"/>
          <w:szCs w:val="20"/>
          <w:color w:val="auto"/>
        </w:rPr>
      </w:pPr>
    </w:p>
    <w:p>
      <w:pPr>
        <w:ind w:left="120" w:right="160" w:firstLine="440"/>
        <w:spacing w:after="0" w:line="290" w:lineRule="auto"/>
        <w:rPr>
          <w:sz w:val="20"/>
          <w:szCs w:val="20"/>
          <w:color w:val="auto"/>
        </w:rPr>
      </w:pPr>
      <w:r>
        <w:rPr>
          <w:rFonts w:ascii="Times New Roman" w:cs="Times New Roman" w:eastAsia="Times New Roman" w:hAnsi="Times New Roman"/>
          <w:sz w:val="17"/>
          <w:szCs w:val="17"/>
          <w:color w:val="auto"/>
        </w:rPr>
        <w:t xml:space="preserve">In August 2018, the FASB issued ASU 2018-13, </w:t>
      </w:r>
      <w:r>
        <w:rPr>
          <w:rFonts w:ascii="Times New Roman" w:cs="Times New Roman" w:eastAsia="Times New Roman" w:hAnsi="Times New Roman"/>
          <w:sz w:val="17"/>
          <w:szCs w:val="17"/>
          <w:i w:val="1"/>
          <w:iCs w:val="1"/>
          <w:color w:val="auto"/>
        </w:rPr>
        <w:t>Fair Value Measurement (Topic 820): Disclosure Framework – Changes to the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Requirements for Fair Value Measurement</w:t>
      </w:r>
      <w:r>
        <w:rPr>
          <w:rFonts w:ascii="Times New Roman" w:cs="Times New Roman" w:eastAsia="Times New Roman" w:hAnsi="Times New Roman"/>
          <w:sz w:val="17"/>
          <w:szCs w:val="17"/>
          <w:color w:val="auto"/>
        </w:rPr>
        <w:t>, which eliminates, modifies and adds disclosure requirements for fair value measurements.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adopted this standard as of the beginning of fiscal year 2020, and the adoption did not have a material impact on our consolidated financial statements.</w:t>
      </w:r>
    </w:p>
    <w:p>
      <w:pPr>
        <w:spacing w:after="0" w:line="15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In December 2019, the FASB issued ASU 2019-12,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removes certain exceptions related to the approach for intraperiod tax allocations, the calculation of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periods, and the recognition of deferred taxes for taxable goodwill. The guidance is effective for fiscal years beginning after December 15, 2020 and for interim periods within those years, with early adoption permitted. The Company is currently assessing the impact of this new standard on our consolidated financial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temporary optional expedients and exceptions to the current guidance for contract modifications and hedging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December 31, 2022, that reference LIBOR or another reference rate expected to be discontinued because of reference rate reform. A contract modification resulting from reference rate reform may be accounted for as a continuation of the existing contract rather than the creation of a new contract. Additionally, changes in the critical terms of hedging relationships, caused by reference rate reform, should not result in the de-designation of the instrument, provided certain criteria are met. As of the end of the first quarter of fiscal 2020, the Company’s exposure to LIBOR rates included its senior credit facility and swap agreements. The Company is currently evaluating the impact of this new standard on our consolidated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Accrued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end of each period: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August 2, 2020</w:t>
            </w:r>
          </w:p>
        </w:tc>
        <w:tc>
          <w:tcPr>
            <w:tcW w:w="580" w:type="dxa"/>
            <w:vAlign w:val="bottom"/>
            <w:gridSpan w:val="2"/>
          </w:tcPr>
          <w:p>
            <w:pPr>
              <w:spacing w:after="0"/>
              <w:rPr>
                <w:sz w:val="15"/>
                <w:szCs w:val="15"/>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40" w:type="dxa"/>
            <w:vAlign w:val="bottom"/>
          </w:tcPr>
          <w:p>
            <w:pPr>
              <w:spacing w:after="0"/>
              <w:rPr>
                <w:sz w:val="15"/>
                <w:szCs w:val="15"/>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78,159</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75,113</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net (1)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52,636</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45,611</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payable (note 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31,589</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Variable rent liabilities (note 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10,832</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11,253</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9,936</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7,226</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8,664</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23,421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derivatives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8,215</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3,518</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insurance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6,200</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4,219</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4,442</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1,840</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Inventory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2,179</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4,891</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14,614</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13,643</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238,651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207,452</w:t>
            </w:r>
          </w:p>
        </w:tc>
        <w:tc>
          <w:tcPr>
            <w:tcW w:w="4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480" w:hanging="424"/>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leasehold incentive receivables of $2,231 and $6,339 at August 2, 2020 and February 2, 2020, respectively, is reflected as a reduction of the current portion of operating lease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Long-term debt consists of the following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August 2, 2020</w:t>
            </w:r>
          </w:p>
        </w:tc>
        <w:tc>
          <w:tcPr>
            <w:tcW w:w="600" w:type="dxa"/>
            <w:vAlign w:val="bottom"/>
            <w:gridSpan w:val="2"/>
          </w:tcPr>
          <w:p>
            <w:pPr>
              <w:spacing w:after="0"/>
              <w:rPr>
                <w:sz w:val="15"/>
                <w:szCs w:val="15"/>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2, 2020</w:t>
            </w:r>
          </w:p>
        </w:tc>
        <w:tc>
          <w:tcPr>
            <w:tcW w:w="100" w:type="dxa"/>
            <w:vAlign w:val="bottom"/>
          </w:tcPr>
          <w:p>
            <w:pPr>
              <w:spacing w:after="0"/>
              <w:rPr>
                <w:sz w:val="15"/>
                <w:szCs w:val="15"/>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facility—term</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258,750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266,250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facility—revolver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489,000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382,000</w:t>
            </w: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debt outstanding</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747,750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648,250</w:t>
            </w: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installments—term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costs—term</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731,646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632,689</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are $3,750 per quarter through maturity, when the remaining balance is due. Our current credit facility is secured by the assets of D&amp;B Inc and is unconditionally guaranteed by D&amp;B Holdings and each of its direct and indirect domestic wholly-owned subsidiaries. As of August 2, 2020, we had letters of credit outstanding of $9,686 and an unused commitment balance of $1,314 under of revolving credit facility.</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320" w:top="482" w:right="5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one-month LIBOR plus a spread ranging from 1.25% to 2.00% for the term loans and the revolving loans.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Effective April 14, 2020, we amended our existing credit facility, which included relief from compliance with financial covenants for the quarterly periods ended May 3, 2020, August 2, 2020 and November 1, 2020. During the financial covenant suspension period, a $30,000 liquidity covenant was added as well as certain additional reporting requirements, and the termination of additional borrowings under our revolving credit facility during the suspension period. The interest rate increased to LIBOR plus 2.00% with a LIBOR floor of 1.00%. For the twenty-six weeks ended August 2, 2020, and August 4, 2019, the Company’s weighted average interest rate on outstanding borrowings was 3.98% and 4.11%, respectively. In connection with the amendment, we incurred debt costs of $2,000, which are being amortized over the life of the credit facility. These costs are payable at the maturity date of the credit facility, with earlier payment required in the event of certain conditions, as defined in the agreement.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 The following table sets forth our recorded interest expense, net for the periods indicated:</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5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4, 2019</w:t>
            </w:r>
          </w:p>
        </w:tc>
        <w:tc>
          <w:tcPr>
            <w:tcW w:w="58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4, 2019</w:t>
            </w:r>
          </w:p>
        </w:tc>
        <w:tc>
          <w:tcPr>
            <w:tcW w:w="100" w:type="dxa"/>
            <w:vAlign w:val="bottom"/>
          </w:tcPr>
          <w:p>
            <w:pPr>
              <w:spacing w:after="0"/>
              <w:rPr>
                <w:sz w:val="12"/>
                <w:szCs w:val="12"/>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credit facilities</w:t>
            </w: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5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5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8,903</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2,680</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issuance cost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654</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5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8,661</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currently lease the building or site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 (Loss).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 for the fiscal year ended: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4, 2019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4,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30,448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5,688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3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37,277</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80,165</w:t>
            </w:r>
          </w:p>
        </w:tc>
        <w:tc>
          <w:tcPr>
            <w:tcW w:w="3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During the twenty-six weeks ended August 2, 2020, the Company entered into 92 rent relief agreements with our respective landlords on operating locations and our corporate headquarters. Under these agreements, certain rent payments will be abated, deferred or modified without penalty for various periods, generally providing for full deferral for three months beginning April 2020, with partial deferrals continuing for periods of up to six months at approximately 50% of those locations. The Company has elected to account for lease concessions and deferrals resulting directly from COVID-19 as though the enforceable rights and obligations to the deferrals existed in the respective contracts at lease inception and will not account for the concessions as lease modifications, unless the concession results in a substantial increase in the Company’s obligations. During the twenty-six weeks ended August 2, 2020, 84 of our 92 rent relief agreements qualified for this accounting election, and the remaining eight agreements were treated as lease modifications, primarily due to a significant extension of the lease term. Further, as a result of the COVID-19 pandemic and its impact on our financial condition, the Company has chosen not to pay the majority of its remaining facility operating lease obligations as they become due for properties without rent relief agreements as of the end of the second quarter. As of August 2, 2020, we have bifurcated our current operating lease liabilities into the portion that remains subject to accretion and the portion that is accounted for as a deferral of payments or as short payments.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guest-related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is currently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With respect to a portion of the California Cases, the Company has estimated and accrued for the most likely amount of loss. Where the Company has determined that a loss is reasonably possible but not probable, the Company is unable to estimate the amount or range of the reasonably possible loss due to the inherent difficulties of predicting the outcome of uncertainties regarding legal proceedings.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could change because of future determinations or the discovery of facts that are not presently known. Accordingly, the ultimate costs of resolving these cases may be substantially higher or lower than estimated. The Company is aggressively defending these cases.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Earnings per share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The weighted average anti-dilutive options excluded from the calculation of common equivalent shares were 160,967 and 97,502 in the thirteen and twenty-six weeks ended August 4, 2019.</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EPS, basic and diluted for the periods indicated:</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8"/>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August 4, 2019</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(58,602)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32,356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47,111,763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35,407,965</w:t>
            </w: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dilutive impact of equity-based awards (1)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607,745</w:t>
            </w:r>
          </w:p>
        </w:tc>
      </w:tr>
      <w:tr>
        <w:trPr>
          <w:trHeight w:val="198"/>
        </w:trPr>
        <w:tc>
          <w:tcPr>
            <w:tcW w:w="5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and common equivalent shares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(diluted)</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47,111,763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36,015,710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0.91</w:t>
            </w: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0.90</w:t>
            </w:r>
          </w:p>
        </w:tc>
      </w:tr>
      <w:tr>
        <w:trPr>
          <w:trHeight w:val="340"/>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Twenty-Six Weeks</w:t>
            </w:r>
          </w:p>
        </w:tc>
      </w:tr>
      <w:tr>
        <w:trPr>
          <w:trHeight w:val="148"/>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4"/>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00" w:type="dxa"/>
            <w:vAlign w:val="bottom"/>
          </w:tcPr>
          <w:p>
            <w:pPr>
              <w:spacing w:after="0"/>
              <w:rPr>
                <w:sz w:val="15"/>
                <w:szCs w:val="15"/>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August 4, 2019</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(102,146)</w:t>
            </w: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74,799</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15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39,470,874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36,117,815</w:t>
            </w: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dilutive impact of equity-based awards (1)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685,186</w:t>
            </w:r>
          </w:p>
        </w:tc>
      </w:tr>
      <w:tr>
        <w:trPr>
          <w:trHeight w:val="198"/>
        </w:trPr>
        <w:tc>
          <w:tcPr>
            <w:tcW w:w="5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and common equivalent shares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(diluted)</w:t>
            </w:r>
          </w:p>
        </w:tc>
        <w:tc>
          <w:tcPr>
            <w:tcW w:w="15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39,470,874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36,803,001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bl>
    <w:p>
      <w:pPr>
        <w:spacing w:after="0" w:line="225" w:lineRule="exact"/>
        <w:rPr>
          <w:sz w:val="20"/>
          <w:szCs w:val="20"/>
          <w:color w:val="auto"/>
        </w:rPr>
      </w:pPr>
    </w:p>
    <w:p>
      <w:pPr>
        <w:ind w:left="540" w:right="40" w:hanging="424"/>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net loss for the thirteen and twenty-six weeks ended August 2, 2020, zero incremental shares are included because the effect would be anti-dilutive.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stock options, time-based and performance-based RSU’s is included in general and administrative expenses and is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4, 2019</w:t>
            </w:r>
          </w:p>
        </w:tc>
        <w:tc>
          <w:tcPr>
            <w:tcW w:w="64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2, 2020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4,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1,103</w:t>
            </w:r>
          </w:p>
        </w:tc>
        <w:tc>
          <w:tcPr>
            <w:tcW w:w="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1,907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2,345</w:t>
            </w:r>
          </w:p>
        </w:tc>
        <w:tc>
          <w:tcPr>
            <w:tcW w:w="8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stock option awards during the twenty-six weeks ended August 2, 2020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2014 Stock Incentive Plan</w:t>
            </w:r>
          </w:p>
        </w:tc>
        <w:tc>
          <w:tcPr>
            <w:tcW w:w="21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2010 Stock Incentive Plan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Wtd. Avg.</w:t>
            </w:r>
          </w:p>
        </w:tc>
        <w:tc>
          <w:tcPr>
            <w:tcW w:w="580" w:type="dxa"/>
            <w:vAlign w:val="bottom"/>
          </w:tcPr>
          <w:p>
            <w:pPr>
              <w:spacing w:after="0"/>
              <w:rPr>
                <w:sz w:val="11"/>
                <w:szCs w:val="11"/>
                <w:color w:val="auto"/>
              </w:rPr>
            </w:pPr>
          </w:p>
        </w:tc>
        <w:tc>
          <w:tcPr>
            <w:tcW w:w="1200" w:type="dxa"/>
            <w:vAlign w:val="bottom"/>
            <w:tcBorders>
              <w:top w:val="single" w:sz="8" w:color="auto"/>
            </w:tcBorders>
            <w:gridSpan w:val="2"/>
          </w:tcPr>
          <w:p>
            <w:pPr>
              <w:jc w:val="right"/>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Wtd. Avg.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5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540" w:type="dxa"/>
            <w:vAlign w:val="bottom"/>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2, 2020</w:t>
            </w:r>
          </w:p>
        </w:tc>
        <w:tc>
          <w:tcPr>
            <w:tcW w:w="2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1,323,495</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36.97</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266,900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(79,142)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(82,741)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38.60</w:t>
            </w: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2, 2020</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36.86</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187,758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August 2, 2020</w:t>
            </w:r>
          </w:p>
        </w:tc>
        <w:tc>
          <w:tcPr>
            <w:tcW w:w="15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5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187,758</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2" w:right="5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twenty-six weeks ended August 2, 2020 was $792. The unrecognized expense related to our stock option plan totaled approximately $1,157 as of August 2, 2020 and will be expensed over a weighted average period of 1.5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time-based and performance-based RSU’s during the twenty-six weeks ended August 2, 2020,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Wtd. Avg.</w:t>
            </w:r>
          </w:p>
        </w:tc>
      </w:tr>
      <w:tr>
        <w:trPr>
          <w:trHeight w:val="173"/>
        </w:trPr>
        <w:tc>
          <w:tcPr>
            <w:tcW w:w="6540" w:type="dxa"/>
            <w:vAlign w:val="bottom"/>
          </w:tcPr>
          <w:p>
            <w:pPr>
              <w:spacing w:after="0"/>
              <w:rPr>
                <w:sz w:val="15"/>
                <w:szCs w:val="15"/>
                <w:color w:val="auto"/>
              </w:rPr>
            </w:pPr>
          </w:p>
        </w:tc>
        <w:tc>
          <w:tcPr>
            <w:tcW w:w="7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gridSpan w:val="2"/>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5"/>
                <w:szCs w:val="15"/>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2, 2020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216,815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51.58</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1,061,926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performance units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59.67</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(62,411)</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53.81</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(48,409)</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28.14</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August 2, 2020</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1,172,273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40" w:type="dxa"/>
            <w:vAlign w:val="bottom"/>
          </w:tcPr>
          <w:p>
            <w:pPr>
              <w:spacing w:after="0"/>
              <w:rPr>
                <w:sz w:val="19"/>
                <w:szCs w:val="19"/>
                <w:color w:val="auto"/>
              </w:rPr>
            </w:pPr>
          </w:p>
        </w:tc>
      </w:tr>
    </w:tbl>
    <w:p>
      <w:pPr>
        <w:spacing w:after="0" w:line="21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Fair value of our time-based and performance-based RSU’s is based on our closing stock price on the date of grant. The unrecognized expense related to our time-based and performance-based RSU’s was $12,658 as of August 2, 2020 and will be expensed over a weighted average period of 2.3 years.</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August 2, 2020 and August 4, 2019, excess tax expense (benefit) of $477 and ($884), respectively, were recognized as an expense (benefit) in the “Provision (benefit) for income taxes” in the Consolidated Statement of Comprehensive Income (Loss) and classified as a source in operating activities in the Consolidated Statement of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Act (“CARES Act”). Intended to provide economic relief to those impacted by the COVID-19 pandemic, the CARES Act includes provisions, among others, addressing the carryback of net operating losses for specific periods, temporary modifications to the limitations placed on the tax deductibility of net interest expenses, and technical amendments for qualified improvement property. Additionally, the CARES Act, in efforts to enhance business’ liquidity, provides for the deferral of the employer-paid portion of social security taxes. As of August 2, 2020, we have elected to defer employer-paid portion of social security taxes of $1,448, which is included in “Other liabilities” in the Consolidated Balance Sheets.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has historically calculated the provision for income taxes during interim reporting periods by applying an estimate of the annualized effective tax rate for the full fiscal year to “ordinary” income or loss for the reporting period. Due to the uncertainty created by the events surrounding the COVID-19 pandemic, the actual effective tax rate for the year to date period was used to calculate the income tax benefit for the twenty-six weeks ended August 2, 2020. The effective tax rate for the twenty-six weeks ended August 2, 2020, was a benefit of 34.9%, compared to an effective tax rate of 21.5% for the twenty-six weeks ended August 4, 2019, primarily due to the impact of a decrease in operating earnings before income tax and the impact of the tax provisions within the CARES Act. As a result of the impact of the technical amendments for qualified improvement property within the CARES Act, the Company generated a taxable loss in 2019, which together with the taxable loss in 2020, can now be carried back to prior years when the statutory federal tax rate was at 35.0%.</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3, 2020.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3, 2020.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COVID-19 outbreak to be a global pandemic and 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non-essential movement outside of the home. Shortly after the national emergency declaration, state and local officials began placing restrictions on restaurants, some of which allowed To-Go or curbside service only while others limited capacity in the dining room or midway. By March 20, 2020, all of our 137 operating stores were temporarily closed. During our first quarter, one store re-opened to the public with limited food and beverage offerings and two additional stores offered off-premise dining options. During our second quarter, we have progressively re-opened limited operations in an additional 83 stores in 27 states, Puerto Rico and Canada. Additionally, eight stores were re-opened during the second quarter and subsequently closed prior to August 2, 2020, due to changes in jurisdictional operating limits. Our scaled-down operating model includes a limited 15-item menu, reduced dining capacity and games in our midway for social distancing, reduced operating hours and reduced staffing levels designed to be responsive to restrictions imposed by various jurisdictions related to COVID-19 re-openings. Subsequent to the end of our second quarter, we re-opened one store and opened a new store located in Manchester, New Hampshire. As of September 4, 2020, 52 stores are closed due to jurisdictional restrictions.</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these developments, the Company is experiencing a significant decrease in traffic which has impacted the Company’s operating results during the thirteen and twenty-six weeks ended August 2, 2020. We expect our operating results to continue to be severely impacted until such time that state and local restrictions are lifted, and our dining rooms and midways can re-open at full capacity. We cannot predict how long the pandemic will last or when the state and local restrictions will be lifted or potentially re-imposed. In addition, we cannot predict how quickly our guests will return to our restaurants once such restrictions have been lifted or the impact this will have on consumer spending habits.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response to the pandemic, the Company and its Board of Directors implemented the following measures to enhance financial flexibility:</w:t>
      </w:r>
    </w:p>
    <w:p>
      <w:pPr>
        <w:spacing w:after="0" w:line="131" w:lineRule="exact"/>
        <w:rPr>
          <w:sz w:val="20"/>
          <w:szCs w:val="20"/>
          <w:color w:val="auto"/>
        </w:rPr>
      </w:pPr>
    </w:p>
    <w:p>
      <w:pPr>
        <w:ind w:left="1080" w:right="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expenses broadly, including by furloughing all of our hourly store team members and approximately 94% of store management personnel, on or about March 19, 2020, while enacting 12-week salary reductions for remaining managers. In addition, effective March 24, 2020, the Company furloughed all but a small team of essential corporate and administrative staff, enacted 12-week salary reductions ranging from 10% to 50%, and suspended all cash board fees through the remainder of fiscal 2020;</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canceled or delayed all non-essential planned capital spending for the remainder of fiscal 2020;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halted or delayed planned store openings after our one store opening in Chattanooga, TN, on March 16, 2020, including delayed construction through the second quarter of fiscal 2020;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stopped work on future planned sites and commenced negotiations to terminate related contracts, as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our share repurchase program and declaration of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drew down substantially all the remaining credit available under our $500,000 revolving credit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shares of our common stock, which generated gross proceeds of approximately $185,600;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with our landlords, vendors, and other business partners to temporarily reduce our lease and contract payments and obtain other concessions. As of August 2, 2020, a total of 92 rent relief agreements related to our operating locations and corporate headquarters were executed, which generally provide for full deferral for three months beginning April 2020, with partial deferral continuing for periods of up to six months, at approximately 50% of those locations.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re-opening process has been a gradual one with the safety of our employees and guests as our top priority. All of our re-opened stores are operating with streamlined menus, reduced games, new seating and game configurations, reduced operating hours, and reduced staff levels. As dining room and midway restrictions continue to ease and sales begin to improve, some labor inefficiencies and increased cleaning and supply costs are anticipated as stores adjust to improved sales volumes and enhanced health and safety protocols. On an ongoing basis, we will also continue to pursue long-term operating efficiencies and fixed cost restructuring opportunities.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Given the level of volatility and uncertainty surrounding the future impact of the pandemic, we have not provided a full year financial outlook for fiscal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in low to middle-income households.</w:t>
      </w:r>
    </w:p>
    <w:p>
      <w:pPr>
        <w:spacing w:after="0" w:line="187"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stores average 41,000 square feet, range in size between 16,000 and 70,000 square feet and are open seven days a week, with normal hours of operation typically from 11:30 a.m. to midnight on Sunday through Thursday and 11:30 a.m. to 2:00 a.m. on Friday and Saturday.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These measures include:</w:t>
      </w:r>
    </w:p>
    <w:p>
      <w:pPr>
        <w:spacing w:after="0" w:line="50" w:lineRule="exact"/>
        <w:rPr>
          <w:sz w:val="20"/>
          <w:szCs w:val="20"/>
          <w:color w:val="auto"/>
        </w:rPr>
      </w:pPr>
    </w:p>
    <w:p>
      <w:pPr>
        <w:jc w:val="both"/>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year-over-year comparison of sales at stores open at the end of the period which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 for at least 18 months as of the beginning of each of the fiscal years. It is a key performance indicator used within the industry and is indicative of acceptance of our initiatives as well as local economic and consumer trends. As of August 2, 2020, our comparable store base consisted of 115 stores, of which 47 stores were closed.</w:t>
      </w:r>
    </w:p>
    <w:p>
      <w:pPr>
        <w:spacing w:after="0" w:line="176"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Between August 4, 2019 and August 2, 2020, we opened seven new stores (six in fiscal 2019 and one in fiscal 2020).</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86"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r>
        <w:rPr>
          <w:rFonts w:ascii="Times New Roman" w:cs="Times New Roman" w:eastAsia="Times New Roman" w:hAnsi="Times New Roman"/>
          <w:sz w:val="18"/>
          <w:szCs w:val="18"/>
          <w:color w:val="auto"/>
        </w:rPr>
        <w:t>. We define “Adjusted EBITDA” as net income (loss) plus interest expense, net, loss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Operating Income Before Depreciation and Amortization and Store Operating Income Before Depreciation and Amortization Margin. </w:t>
      </w:r>
      <w:r>
        <w:rPr>
          <w:rFonts w:ascii="Times New Roman" w:cs="Times New Roman" w:eastAsia="Times New Roman" w:hAnsi="Times New Roman"/>
          <w:sz w:val="18"/>
          <w:szCs w:val="18"/>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operate on a 52 or 53-week fiscal year that ends on the Sunday after the Saturday closest to January 31. Each quarterly period has 13 weeks, except in a 53-week year when the fourth quarter has 14 weeks. All references to the second quarter of 2020 relate to the 13-week period ended August 2, 2020. All references to the second quarter of 2019 relate to the 13-week period ended August 4, 2019. Fiscal 2020 and fiscal 2019 consist of 52 weeks. All dollar amounts are presented in thousands, unless otherwise noted, except share and per share amounts.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operated stores varying in size and have experienced significant variability among stores in volumes, operating results and net investment costs.</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new stores historically open with sales volumes in excess of their expected long-term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may result in significant fluctuations in quarterly results.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6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 August 2, 2020 Compared to Thirteen Weeks Ended August 4, 2019</w:t>
      </w:r>
    </w:p>
    <w:p>
      <w:pPr>
        <w:spacing w:after="0" w:line="117" w:lineRule="exact"/>
        <w:rPr>
          <w:sz w:val="20"/>
          <w:szCs w:val="20"/>
          <w:color w:val="auto"/>
        </w:rPr>
      </w:pPr>
    </w:p>
    <w:p>
      <w:pPr>
        <w:jc w:val="both"/>
        <w:ind w:left="120" w:right="1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 (loss).</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0" w:type="dxa"/>
            <w:vAlign w:val="bottom"/>
          </w:tcPr>
          <w:p>
            <w:pPr>
              <w:spacing w:after="0"/>
              <w:rPr>
                <w:sz w:val="13"/>
                <w:szCs w:val="13"/>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left="35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17,002</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137,921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33,831</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206,678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50,833</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344,599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4,659</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36,934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amusement and other (as a percentage of amusement and other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4,025</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22,689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3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59,623</w:t>
            </w:r>
          </w:p>
        </w:tc>
        <w:tc>
          <w:tcPr>
            <w:tcW w:w="4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13,756</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80,927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62,682</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104,376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9,278</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15,991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35,160</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32,745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2,388</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4,723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131,948</w:t>
            </w:r>
          </w:p>
        </w:tc>
        <w:tc>
          <w:tcPr>
            <w:tcW w:w="3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298,385</w:t>
            </w:r>
          </w:p>
        </w:tc>
        <w:tc>
          <w:tcPr>
            <w:tcW w:w="4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(81,115)</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46,214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8,163</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4,605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(89,278)</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41,609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(30,676)</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9,253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(58,602)</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32,356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Change in comparable store sales </w:t>
            </w:r>
            <w:r>
              <w:rPr>
                <w:rFonts w:ascii="Times New Roman" w:cs="Times New Roman" w:eastAsia="Times New Roman" w:hAnsi="Times New Roman"/>
                <w:sz w:val="26"/>
                <w:szCs w:val="26"/>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Company-owned stores at end of period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51"/>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Comparable stores at end of period </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40" w:hanging="424"/>
        <w:spacing w:after="0" w:line="227" w:lineRule="auto"/>
        <w:tabs>
          <w:tab w:leader="none" w:pos="54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the end of the second quarter of fiscal 2020, 84 of our 137 stores were open. Our comparable store count as of the end of the second quarter of fiscal 2020 excludes a store in Chicago, Illinois which is near the end of its lease term which the Company has decided not to re-open. Our store in Duluth (Atlanta), Georgia permanently closed on March 3, 2019 as we did not exercise the renewal option and has been excluded from fiscal 2019 store counts and comparable store sales.</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(loss)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8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4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60" w:type="dxa"/>
            <w:vAlign w:val="bottom"/>
            <w:gridSpan w:val="2"/>
          </w:tcPr>
          <w:p>
            <w:pPr>
              <w:jc w:val="center"/>
              <w:ind w:left="39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center"/>
              <w:ind w:left="2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4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$(58,602)</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-115.3%</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$32,356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8,163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4,605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(30,676)</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9,253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32,745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(45,955)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78,959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2,178</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2,734</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2,388</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4,723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(38,479)</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85,982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Primarily represents costs related to currency transaction (gains) or losses.</w:t>
      </w:r>
    </w:p>
    <w:p>
      <w:pPr>
        <w:spacing w:after="0" w:line="301" w:lineRule="exact"/>
        <w:rPr>
          <w:rFonts w:ascii="Times New Roman" w:cs="Times New Roman" w:eastAsia="Times New Roman" w:hAnsi="Times New Roman"/>
          <w:sz w:val="27"/>
          <w:szCs w:val="27"/>
          <w:color w:val="auto"/>
          <w:vertAlign w:val="superscript"/>
        </w:rPr>
      </w:pPr>
    </w:p>
    <w:p>
      <w:pPr>
        <w:ind w:left="56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(loss)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7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0" w:type="dxa"/>
            <w:vAlign w:val="bottom"/>
          </w:tcPr>
          <w:p>
            <w:pPr>
              <w:spacing w:after="0"/>
              <w:rPr>
                <w:sz w:val="13"/>
                <w:szCs w:val="13"/>
                <w:color w:val="auto"/>
              </w:rPr>
            </w:pPr>
          </w:p>
        </w:tc>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980" w:type="dxa"/>
            <w:vAlign w:val="bottom"/>
            <w:gridSpan w:val="2"/>
          </w:tcPr>
          <w:p>
            <w:pPr>
              <w:jc w:val="center"/>
              <w:ind w:left="4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 (81,115)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$46,214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9,278</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15,991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35,160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32,745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4,723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(34,289)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99,673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3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August 4, 2019</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2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6,146</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4,190</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2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50,365</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232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4,014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7,099</w:t>
            </w:r>
          </w:p>
        </w:tc>
      </w:tr>
      <w:tr>
        <w:trPr>
          <w:trHeight w:val="364"/>
        </w:trPr>
        <w:tc>
          <w:tcPr>
            <w:tcW w:w="3480" w:type="dxa"/>
            <w:vAlign w:val="bottom"/>
          </w:tcPr>
          <w:p>
            <w:pPr>
              <w:spacing w:after="0"/>
              <w:rPr>
                <w:sz w:val="24"/>
                <w:szCs w:val="24"/>
                <w:color w:val="auto"/>
              </w:rPr>
            </w:pPr>
          </w:p>
        </w:tc>
        <w:tc>
          <w:tcPr>
            <w:tcW w:w="21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response to the business disruption caused by the COVID-19 pandemic, the Company has taken the following actions, related to its store operations: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closures of all of our 137 stores, completed by March 20, 2020 (including our one new store opening March 16);</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2020, one store re-opened to the public with limited food and beverage offerings. Two additional stores offered limited food and beverage for off-premises dining;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August 2, 2020, an additional 83 stores were re-opened. These stores are operating with limited menus, reduced dining room seating, reduced games in the midway, reduced operating hours and other restrictions referred to as “limited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30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7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54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50,833</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344,599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(293,766)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5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40,201</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308,995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(268,794)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w:t>
            </w:r>
          </w:p>
        </w:tc>
        <w:tc>
          <w:tcPr>
            <w:tcW w:w="15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5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Total revenues decreased $293,766, or 85.2%, to $50,833 in the second quarter of fiscal 2020 compared to total revenues of $344,599 in the second quarter of fiscal 2019. The decline in revenue is attributable primarily to fewer store operating weeks in the second quarter of fiscal 2020 as a result of temporary store closures, lower customer volumes due to limited food and beverage and amusement operations and the canceling or postponement of special events as a result of the COVID-19 pandemic. For the thirteen weeks ended August 2, 2020, we derived 22.2% of our total revenue from food sales, 11.2% from beverage sales, and 66.6% from amusement sales and less than 0.1% from other sources. For the thirteen weeks ended August 4, 2019, we derived 28.0% of our total revenue from food sales, 12.0% from beverage sales, 59.1% from amusement sales and 0.9% from other sources.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Comparable store revenue decreased $268,794 or 87.0%, in the second quarter of fiscal 2020 compared to the second quarter of fiscal 2019, due primarily to a 67.0% reduction in comparable store operating weeks and lower customer volumes as stores re-opened with limited operations. During the second quarter of fiscal 2020, the number of comparable stores operating increased from one at the beginning of the quarter to 68 at the end of the quarter. Our individual comparable stores generally experienced gradual increases in weekly sales performance as operating weeks increased. Individual store performance after re-opening was impacted by changes in local operating restrictions and consumer reactions to changes in local COVID-19 infection rates.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Food sales at comparable stores decreased by $77,714, or 89.6%, to $8,982 in the second quarter of fiscal 2020 from $86,696 in the second quarter of fiscal 2019. Beverage sales at comparable stores decreased by $32,508, or 87.5%, to $4,652 in the second quarter of fiscal 2020 from $37,160 in the 2019 comparison period. Comparable store amusement and other revenues in the second quarter of fiscal 2020 decreased by $158,572, or 85.7%, to $26,567 from $185,139 in the comparable thirteen weeks of fiscal 2019. The COVID-19 pandemic driven reduction in operating hours and product offerings contributed to a shift in our comparable store revenue mix away from food and beverage revenues to amusements and other revenues of approximately 600 basis points when compared to the second quarter of fiscal 2019.</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Non-comparable store revenue decreased $26,052 in the second quarter of fiscal 2020 compared to the second quarter of fiscal 2019, for the same reasons noted above, including 44 fewer store operating weeks.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total cost of products was $8,684 for the second quarter of fiscal 2020 and $59,623 for the second quarter of fiscal 2019. The total cost of products as a percentage of total revenues was relatively unchanged at 17.1% for the second quarter of fiscal 2020 compared to 17.3% for the second quarter of fiscal 2019.</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Cost of food and beverage products decreased to $4,659 compared to $36,934 for the second quarter of fiscal 2019. Cost of food and beverage products, as a percentage of food and beverage revenues, increased 60 basis points to 27.4% for the second quarter of fiscal 2020 from 26.8% for the second quarter of fiscal 2019. Cost of food and beverage products during the second quarter of 2020 was negatively impacted by a shift in mix to poultry resulting from our streamlined menu offering and food and beverage spoilage costs of approximately $500 associated with store closures, offset by cost reductions resulting from vendor payment negotiations.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Cost of amusement and other decreased to $4,025 in the second quarter of fiscal 2020 compared to $22,689 in the second quarter of fiscal 2019. The costs of amusement and other, as a percentage of amusement and other revenues, increased 90 basis points to 11.9% for the second quarter of fiscal 2020 from 11.0% in the second quarter of fiscal 2019, due primarily to a shift in ticket redemption patterns.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Total operating payroll and benefits decreased by $67,171, or 83.0%, to $13,756 in the second quarter of fiscal 2020 compared to $80,927 in the second quarter of fiscal 2019. Nearly all of our store workforce, with the exception of a small team of essential personnel, were furloughed in mid-March, returning only as stores re-opened and at reduced staffing levels. The total cost of operating payroll and benefits, as a percentage of total revenues, increased 360 basis points to 27.1% in the second quarter of fiscal 2020 compared to 23.5% for the second quarter of fiscal 2019. This increase was primarily due to sales deleveraging of management labor as a result of the temporary store closures and partially attributable to continued benefit coverage for furloughed employees.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Other store operating expenses decreased by $41,694, or 39.9%, to $62,682 in the second quarter of fiscal 2020 compared to $104,376 in the second quarter of fiscal 2019. Decreased spend on marketing, maintenance and other services due to temporary store closures and $1,000 insurance proceeds related to the COVID-19 business disruptions were partially offset by a $2,178 charge for impairment of long-lived assets and a net loss on derivatives of $976. Other store operating expense as a percentage of total revenues increased to 123.2% in the second quarter of fiscal 2020 compared to 30.3% in the second quarter of fiscal 2019. This increase was due primarily to sales deleveraging on occupancy costs and utilities as a result of the temporary store closures and the charges for impairment.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$6,713, or 42.0%, to $9,278 in the second quarter of fiscal 2020 compared to $15,991 in the second quarter of fiscal 2019. The decrease in general and administrative expenses was primarily driven by lower labor costs due to the furloughing of most of our corporate employees, temporarily reducing pay and benefits for the remaining employees through the first seven weeks of the second quarter, lower professional services, reduced travel and board fees. These cost reductions were partially offset by increased share-based compensation as a result of new grants issued during the second quarter.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$2,415 or 7.4%, to $35,160 in the second quarter of fiscal 2020 compared to $32,745 in the second quarter of fiscal 2019. Increased depreciation due to our 2020 and 2019 capital expenditures for new stores, operating initiatives, games and maintenance capital, was partially offset by other assets reaching the end of their depreciable lives.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Pre-opening costs decreased by $2,335 to $2,388 in the second quarter of fiscal 2020 compared to $4,723 in the second quarter of fiscal 2019 due to a decrease in the number of new store openings in the current year, as construction was put on hold, with pre-opening costs being primarily limited to pre-opening rent expense after the disruption of our business as a result of the COVID-19 pandemic.</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$3,558 to $8,163 in the second quarter of fiscal 2020 compared to $4,605 in the second quarter of fiscal 2019 due primarily to an increase in the average outstanding debt, a slightly higher weighted average effective interest rate and the absence of capitalized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thirteen weeks ended August 2, 2020, was a benefit of 34.4%, compared to an effective tax rate of 22.2% for the thirteen weeks ended August 4, 2019, primarily due to the impact of a decrease in operating earnings before income tax as well as the impact of provisions of the CARES Act, including technical amendments to qualified improvement property and the impact of carrying net operating losses from fiscal years 2020 and 2019 back to years with a higher federal corporate income tax 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Twenty-Six Weeks Ended August 2, 2020 Compared to Twenty-Six Weeks Ended August 4, 2019</w:t>
      </w:r>
    </w:p>
    <w:p>
      <w:pPr>
        <w:spacing w:after="0" w:line="117" w:lineRule="exact"/>
        <w:rPr>
          <w:sz w:val="20"/>
          <w:szCs w:val="20"/>
          <w:color w:val="auto"/>
        </w:rPr>
      </w:pPr>
    </w:p>
    <w:p>
      <w:pPr>
        <w:jc w:val="both"/>
        <w:ind w:left="120" w:right="1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 (loss).</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00" w:type="dxa"/>
            <w:vAlign w:val="bottom"/>
          </w:tcPr>
          <w:p>
            <w:pPr>
              <w:spacing w:after="0"/>
              <w:rPr>
                <w:sz w:val="13"/>
                <w:szCs w:val="13"/>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80,922</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286,142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129,717</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422,039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210,639</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708,181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22,003</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75,688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amusement and other (as a percentage of amusement and other</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14,753</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45,660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121,348</w:t>
            </w:r>
          </w:p>
        </w:tc>
        <w:tc>
          <w:tcPr>
            <w:tcW w:w="4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57,493</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163,800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158,354</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210,621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23,841</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32,837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70,512</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63,886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6,211</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11,725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353,167</w:t>
            </w:r>
          </w:p>
        </w:tc>
        <w:tc>
          <w:tcPr>
            <w:tcW w:w="3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604,217</w:t>
            </w:r>
          </w:p>
        </w:tc>
        <w:tc>
          <w:tcPr>
            <w:tcW w:w="4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(142,528)</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103,964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14,278</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8,661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(156,806)</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95,303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(54,660)</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20,504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(102,146)</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74,799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Change in comparable store sales </w:t>
            </w:r>
            <w:r>
              <w:rPr>
                <w:rFonts w:ascii="Times New Roman" w:cs="Times New Roman" w:eastAsia="Times New Roman" w:hAnsi="Times New Roman"/>
                <w:sz w:val="26"/>
                <w:szCs w:val="26"/>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Company-owned stores at end of period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51"/>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Comparable stores at end of period </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40" w:hanging="424"/>
        <w:spacing w:after="0" w:line="227" w:lineRule="auto"/>
        <w:tabs>
          <w:tab w:leader="none" w:pos="54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of the end of the second quarter of fiscal 2020, 84 of our 137 stores were open. Our comparable store count as of the end of the second quarter of fiscal 2020 excludes a store in Chicago, Illinois which is near the end of its lease term which the Company has decided not to re-open. Our store in Duluth (Atlanta), Georgia permanently closed on March 3, 2019 as we did not exercise the renewal option and has been excluded from fiscal 2019 store counts and comparable store sales.</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reconciles (in dollars and as a percent of total revenues) Net income (loss) to Adjusted EBITDA for the periods indicated:</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00" w:type="dxa"/>
            <w:vAlign w:val="bottom"/>
          </w:tcPr>
          <w:p>
            <w:pPr>
              <w:spacing w:after="0"/>
              <w:rPr>
                <w:sz w:val="13"/>
                <w:szCs w:val="13"/>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(102,146)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74,799</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14,278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8,661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(54,660)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20,504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63,886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(72,016)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167,850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13,727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6,211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11,725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(49,257)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184,166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Primarily represents costs related to currency transaction (gains) or losses.</w:t>
      </w:r>
    </w:p>
    <w:p>
      <w:pPr>
        <w:spacing w:after="0" w:line="301" w:lineRule="exact"/>
        <w:rPr>
          <w:rFonts w:ascii="Times New Roman" w:cs="Times New Roman" w:eastAsia="Times New Roman" w:hAnsi="Times New Roman"/>
          <w:sz w:val="27"/>
          <w:szCs w:val="27"/>
          <w:color w:val="auto"/>
          <w:vertAlign w:val="superscript"/>
        </w:rPr>
      </w:pPr>
    </w:p>
    <w:p>
      <w:pPr>
        <w:ind w:left="56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(loss)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left="3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4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(142,528)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$103,964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23,841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32,837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70,512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63,886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11,725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(41,964)</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212,412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Payments from landlords.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2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Twenty-Six Weeks</w:t>
            </w:r>
          </w:p>
        </w:tc>
      </w:tr>
      <w:tr>
        <w:trPr>
          <w:trHeight w:val="148"/>
        </w:trPr>
        <w:tc>
          <w:tcPr>
            <w:tcW w:w="34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0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August 4, 2019</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9,842</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10,485</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1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51,020</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111,774</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21,341</w:t>
            </w:r>
          </w:p>
        </w:tc>
      </w:tr>
      <w:tr>
        <w:trPr>
          <w:trHeight w:val="365"/>
        </w:trPr>
        <w:tc>
          <w:tcPr>
            <w:tcW w:w="3480" w:type="dxa"/>
            <w:vAlign w:val="bottom"/>
          </w:tcPr>
          <w:p>
            <w:pPr>
              <w:spacing w:after="0"/>
              <w:rPr>
                <w:sz w:val="24"/>
                <w:szCs w:val="24"/>
                <w:color w:val="auto"/>
              </w:rPr>
            </w:pPr>
          </w:p>
        </w:tc>
        <w:tc>
          <w:tcPr>
            <w:tcW w:w="17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80"/>
          </w:cols>
          <w:pgMar w:left="320" w:top="482" w:right="7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Twenty-six</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Twenty-six</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4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600" w:type="dxa"/>
            <w:vAlign w:val="bottom"/>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August 2, 2020</w:t>
            </w:r>
          </w:p>
        </w:tc>
        <w:tc>
          <w:tcPr>
            <w:tcW w:w="14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708,181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(497,542)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5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645,839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(466,177)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w:t>
            </w:r>
          </w:p>
        </w:tc>
        <w:tc>
          <w:tcPr>
            <w:tcW w:w="15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(32,125)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5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Total revenues decreased $497,542, or 70.3%, to $210,639 in the twenty-six weeks ended August 2, 2020 compared to total revenues of $708,181 in the twenty-six weeks ended August 4, 2019. The decline in revenue is attributable to fewer store operating weeks in fiscal 2020 as a result of temporary store closures, lower customer volumes due to limited food and beverage and amusement operations and the canceling or postponement of special events as a result of the COVID-19 pandemic. For the twenty-six weeks ended August 2, 2020, we derived 25.3% of our total revenue from food sales, 13.1% from beverage sales, 61.1% from amusement sales and 0.5% from other sources. For the twenty-six weeks ended August 4, 2019, we derived 27.9% of our total revenue from food sales, 12.5% from beverage sales, 58.8% from amusement sales and 0.8% from other sources.</w:t>
      </w:r>
    </w:p>
    <w:p>
      <w:pPr>
        <w:spacing w:after="0" w:line="187"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Comparable store revenue decreased $466,177, or 72.2%, in the twenty-six weeks ended August 2, 2020 compared to the twenty-six weeks ended August 4, 2019, due primarily to a 60.0% reduction in comparable store operating weeks and lower customer volumes as stores re-opened with limited operations. As of March 20, 2020, all the Company’s 115 comparable stores were closed due to operating restrictions put in place by local jurisdictions in response to the COVID-19 pandemic. Beginning April 30, 2020, we began re-opening our stores based on changes in operating restrictions in the various jurisdictions. As of August 2, 2020, 68 of our comparable stores had re-opened under limited operating conditions. Our individual comparable stores generally experienced gradual increases in weekly sales performance as operating weeks increased. Individual store performance after re-opening was impacted by changes in local operating restrictions and consumer reactions to changes in local COVID-19 infection rates.</w:t>
      </w:r>
    </w:p>
    <w:p>
      <w:pPr>
        <w:spacing w:after="0" w:line="17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Comparable walk-in revenues, which accounted for 94.4% of comparable store revenue for the twenty-six weeks ended August 2, 2020, decreased 71.3% compared to the similar period in fiscal 2019. Comparable store special events revenues, which accounted for 5.6% of comparable store revenue for the twenty-six weeks ended August 2, 2020, decreased 81.9% compared to the similar period in fiscal 2019 as events were canceled or postponed due to local restrictions on group gathering size and operating restrictions on our business.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Food sales at comparable stores decreased by $134,470, or 74.9%, to $45,025 in the twenty-six weeks ended August 2, 2020 from $179,495 in the twenty-six weeks ended August 4, 2019. Beverage sales at comparable stores decreased by $57,165, or 70.7%, to $23,672 in the twenty-six weeks ended August 2, 2020 from $80,837 in the 2019 comparison period. Comparable store amusement and other revenues in the twenty-six weeks ended August 2, 2020 decreased by $274,542, or 71.2%, to $110,965 from $385,507 in the comparable twenty-six weeks of fiscal 2019.</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Non-comparable store revenue decreased $32,125 in the twenty-six weeks ended August 2, 2020 compared to the twenty-six weeks ended August 4, 2019. During the first four-week period of fiscal 2020, non-comparable stores contributed an additional $9,668 of revenue and 54 additional operating weeks over the same period of fiscal 2019. During the remainder of the first quarter and during the second quarter of fiscal 2020, non-comparable store revenue decreased $41,793 for the same reasons noted above, including 89 fewer store operating weeks.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total cost of products was $36,756 for the twenty-six weeks ended August 2, 2020 and $121,348 for the twenty-six weeks ended August 4, 2019. The total cost of products as a percentage of total revenues was 17.4% and 17.1% for the twenty-six weeks August 2, 2020 and the twenty-six weeks ended August 4, 2019,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Cost of food and beverage products decreased to $22,003 in the twenty-six weeks ended August 2, 2020 compared to $75,688 for the twenty-six weeks ended August 4, 2019. Cost of food and beverage products, as a percentage of food and beverage revenues, increased 70 basis points to 27.2% for the twenty-six weeks ended August 2, 2020 from 26.5% for the twenty-six weeks ended August 4, 2019. Cost of food and beverage products in the twenty-six weeks ended August 2, 2020, was negatively impacted by food and beverage spoilage costs of approximately $1,022 associated with store closures, offset partially by cost reductions resulting from vendor payment negotiations.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Cost of amusement and other decreased to $14,753 in the twenty-six weeks ended August 2, 2020 compared to $45,660 in the twenty-six weeks ended August 4, 2019. The costs of amusement and other, as a percentage of amusement and other revenues, increased 60 basis points to 11.4% for the twenty-six weeks ended August 2, 2020 from 10.8% for the twenty-six weeks ended August 4, 2019, due primarily to a shift in ticket redemption patterns.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Total operating payroll and benefits decreased by $106,307, or 64.9%, to $57,493 in the twenty-six weeks ended August 2, 2020 compared to $163,800 in the twenty-six weeks ended August 4, 2019. Nearly all of our store workforce, except a small team of essential personnel, were furloughed in mid-March, returning only as stores re-opened and at reduced staffing levels. The total cost of operating payroll and benefits, as a percentage of total revenues, increased 420 basis points to 27.3% in the twenty-six week period ended August 2, 2020 compared to 23.1% in the twenty-six week period ended August 4, 2019, due primarily to sales deleveraging of management labor as a result of the temporary store closures and partially attributable to continued benefit coverage for furloughed employees.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Other store operating expenses decreased by $52,267, or 24.8%, to $158,354 in the twenty-six weeks ended August 2, 2020 compared to $210,621 in the twenty-six weeks ended August 4, 2019. Decreased spend on marketing, maintenance and other services due to temporary store closures and $1,000 insurance proceeds related to the COVID-19 business disruptions were partially offset by a $13,727 charge for impairment of long-lived assets and a net loss on derivatives of $1,796. Other store operating expense as a percentage of total revenues increased to 75.3% in the twenty-six weeks ended August 2, 2020 compared to 29.8% in the twenty-six weeks ended August 4, 2019. This increase was due primarily to sales deleveraging on occupancy costs and utilities as a result of the temporary store closures and the charges for impairment.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$8,996, or 27.4%, to $23,841 in the twenty-six weeks ended August 2, 2020 compared to $32,837 in the twenty-six weeks ended August 4, 2019. The decrease in general and administrative expenses was driven primarily by lower labor due to the furloughing of most of our corporate employees during the first quarter of fiscal 2020, temporarily reducing pay and benefits for the remaining employees for a twelve-week period, lower share-based compensation due to changes in performance stock unit expense during the first quarter, and reduced travel, slightly offset by higher professional services costs.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$6,626 or 10.4%, to $70,512 in the twenty-six weeks ended August 2, 2020 compared to $63,886 in the twenty-six weeks ended August 4, 2019. Increased depreciation due to our 2020 and 2019 capital expenditures for new stores, operating initiatives, games and maintenance capital, was partially offset by other assets reaching the end of their depreciable lives.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Pre-opening costs decreased by $5,514 to $6,211 in the twenty-six weeks ended August 2, 2020 compared to $11,725 in the twenty-six weeks ended August 4, 2019, due to a decrease in the number of new store openings in the current year, as construction was put on hold, with pre-opening costs being primarily limited to pre-opening rent expense after the disruption of our business as a result of the COVID-19 pandemic.</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Interest expense, net increased by $5,617 to $14,278 in the twenty-six weeks ended August 2, 2020 compared to $8,661 in the twenty-six weeks ended August 4, 2019, due primarily to an increase in average outstanding debt, offset slightly by a lower weighted average effective interest rate.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twenty-six weeks ended August 2, 2020, was a benefit of 34.9%, compared to an effective tax rate of 21.5% for the twenty-six weeks ended August 4, 2019, primarily due to the impact of a decrease in operating earnings before income tax as well as the impact of provisions of the CARES Act, including technical amendments to qualified improvement property and the impact of carrying net operating losses from fiscal years 2020 and 2019 back to years with a higher federal corporate income tax 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response to the business disruption caused by the COVID-19 pandemic, the Company has taken the following actions to enable it to meet its obligations over the next twelve months: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first quarter of fiscal year 2020, we:</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expenses broadly;</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canceled or delayed all non-essential planned capital spending for the remainder of fiscal 2020 and halted or delayed all planned store openings;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our share repurchase program and our dividend;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drew down substantially all the remaining credit available under our $500,000 revolving credit facility;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an amendment with our lenders, which included relief from compliance with financial covenants for the first, second and third quarterly periods of fiscal 2020;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shares of our common stock, which generated gross proceeds of $75,000;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negotiations with our landlords, vendors, and other business partners to temporarily reduce our lease and contract payments and obtain other concessions.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during the second quarter of fiscal 2020, we:</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additional shares of common stock, which generated gross proceeds of $110,600;</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a proposal, approved by our shareholders, increasing the number of shares available for incentive awards, which enables management to maintain key talent while preserving the Company’s liquidity by minimizing cash outlays;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discussions with our landlords, vendors and other business partners to reduce our lease and contract payments and obtain concessions. As of August 2, 2020, a total of 92 rent relief agreements relating to our operating locations and corporate headquarters were executed, which generally provide for full deferral for three months beginning April 2020, with partial deferral continuing for periods of up to six months, at approximately 50% of those locations.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While these measures have been successful in obtaining temporary relief, and we continue to negotiate additional relief measures, given the uncertainty surrounding the timing of re-opening of our stores and lifting of capacity restrictions and other requirements and how quickly customers will return to our stores, which may be a function of continued concerns over safety and/or depressed consumer sentiment due to adverse economic conditions, including job losses, substantial doubt exists about our ability to meet our obligations when they become due.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 and Derivatives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year 2020, we drew down substantially all the available credit under our $500,000 revolving credit facility. Current availability under the revolving credit facility is reduced by $9,686 of outstanding letters of credit, which are used to support our self-insurance programs. As of August 2, 2020, we had an unused commitment balance of $1,314 and total outstanding debt obligations of $747,750 under the existing credit facility, which matures in August 2022.</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Effective April 14, 2020, we amended our existing credit facility, which included relief from compliance with financial covenants for the quarterly periods ended May 3, 2020, August 2, 2020, and November 1, 2020. During the financial covenant suspension period, a $30,000 liquidity covenant was added as well as certain additional reporting requirements, and the termination of additional borrowings under our revolving credit facility during the suspension period. The interest rate increased to LIBOR plus 2.00% with a LIBOR floor of 1.00%. In connection with the amendment, we incurred debt costs of $2,000, which are payable at the maturity date of the credit facility, with earlier payment required in the event of certain conditions, as defined in the agreement. For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twenty-six weeks ended August 2, 2020, the Company’s weighted average interest rate on outstanding borrowings was 3.98%. We expect this rate to increase slightly in future quarters as a result of the amendment. Further, if there is an event of default on our revolving credit facility, the entire balance plus accrued interest may become due and payable or our interest rate could change to the default rate of interest, as defined, which would be higher than the current interest rate.</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fiscal 2019, we entered into interest rate swap agreements to manage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Unaudited Consolidated Financial Statements for further discussion of our swap agreements, which were de-designated as hedges effective April 14, 2020, the date of the amendment to our credit facility.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Dividends and Share Repurchases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had previously established a share repurchase program, under which the Company may repurchase shares on the open market, through privately negotiated transactions, and through trading plans designed to comply with Rule 10b5-1 of the Exchange Act. At August 2, 2020, we had approximately $172,820 remaining of a total $800,000 share repurchase authorization. The existing share repurchase program expires at the end of fiscal 2020. As a result of the impacts to our business arising from the COVID -19 pandemic, share purchases and dividend payments have been indefinitely suspended.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At August 2, 2020, we had cash and cash equivalents of $224,305. The April 14, 2020 amendment to our credit facility requires that the Company maintain a minimum cash balance of $30,000 with our lenders.</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Operating Activities</w:t>
      </w:r>
      <w:r>
        <w:rPr>
          <w:rFonts w:ascii="Times New Roman" w:cs="Times New Roman" w:eastAsia="Times New Roman" w:hAnsi="Times New Roman"/>
          <w:sz w:val="18"/>
          <w:szCs w:val="18"/>
          <w:color w:val="auto"/>
        </w:rPr>
        <w:t>— Cash flow generated from operations typically provides us with a significant source of liquidity. Our operating cash flows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primarily from cash received from our customers, offset by cash payments we make for products and services, employee compensation, operations and occupancy costs. Cash provided by or used in operating activities is also subject to changes in working capital. Working capital at any specific point in time is subject to many variables, including seasonality, the timing of cash receipts and payments, and vendor payment terms.</w:t>
      </w:r>
    </w:p>
    <w:p>
      <w:pPr>
        <w:spacing w:after="0" w:line="180"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Net cash provided by operating activities decreased $170,194 in the twenty-six weeks ended August 2, 2020 compared to the twenty-six weeks ended August 4, 2019 driven primarily by the closure of all of our 137 operating stores as of March 20, 2020. Operations ceased until April 30, 2020, when we re-opened our first store, followed by the progressive re-opening of 83 additional stores with limited operations through the end of our second quarter. The impact of approximately 1,829 fewer store weeks and limited operations was lessened somewhat by reduced income tax payments as well as our efforts to actively manage the Company’s daily cash flows, including deferrals and short payments of rent and other payments to landlords.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used in investing activities primarily reflects capital expenditures.</w:t>
      </w:r>
    </w:p>
    <w:p>
      <w:pPr>
        <w:spacing w:after="0" w:line="229" w:lineRule="exact"/>
        <w:rPr>
          <w:sz w:val="20"/>
          <w:szCs w:val="20"/>
          <w:color w:val="auto"/>
        </w:rPr>
      </w:pPr>
    </w:p>
    <w:p>
      <w:pPr>
        <w:ind w:left="120" w:right="740" w:firstLine="440"/>
        <w:spacing w:after="0" w:line="312" w:lineRule="auto"/>
        <w:rPr>
          <w:sz w:val="20"/>
          <w:szCs w:val="20"/>
          <w:color w:val="auto"/>
        </w:rPr>
      </w:pPr>
      <w:r>
        <w:rPr>
          <w:rFonts w:ascii="Times New Roman" w:cs="Times New Roman" w:eastAsia="Times New Roman" w:hAnsi="Times New Roman"/>
          <w:sz w:val="17"/>
          <w:szCs w:val="17"/>
          <w:color w:val="auto"/>
        </w:rPr>
        <w:t>During the twenty-six weeks ended August 2, 2020, the Company spent approximately $48,800 for new store construction and operating improvement initiatives ($44,800 net of payments from landlords), $8,600 for game refreshment and $6,100 for maintenance capital.</w:t>
      </w:r>
    </w:p>
    <w:p>
      <w:pPr>
        <w:spacing w:after="0" w:line="14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During the twenty-six weeks ended August 4, 2019, we spent approximately $99,500 ($78,200 net of payments from landlords) for new store construction and operating improvement initiatives, $9,800 for game refreshment and $8,600 for maintenance capital.</w:t>
      </w:r>
    </w:p>
    <w:p>
      <w:pPr>
        <w:spacing w:after="0" w:line="158"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Cash provided by financing activities in the twenty-six weeks ended August 2, 2020, primarily reflected $99,500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borrowings of debt and approximately $182,200 of net proceeds from the issuance of shares of our common stock. In the twenty-six weeks ended August 4, 2019, cash used in financing activities primarily reflected approximately $200,000 of share repurchases and approximately $10,800 of cash dividends paid, partially offset by $173,500 of net proceeds from borrowings.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Other than the amendment to our credit facility effective April 14, 2020, there have been no material changes outside the ordinary course of business to our contractual obligations since February 2, 2020, as reported on Form 10-K filed with the SEC on April 3, 2020.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April 3, 2020.</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 to Note 1 to the Unaudited Consolidated Financial Statements for information regarding new accounting pronouncements.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arising from changes in interest rates due to the variable rate indebtedness under our credit facility. At August 2, 2020, borrowings pursuant to our credit facility of $747,750 bear interest at a floating rate based on LIBOR plus 2.00%, with a LIBOR floor of 1.00%. We currently have an interest rate swap agreement to manage our exposure to interest rate movements on our variable rate credit facility up to the notional amount of $350,000. The agreement converts the floating portion of the interest rate to a fixed interest rate of approximately 2.47% from the effective date of the agreements through the term of our existing credit facility.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 large portion of our hourly employees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our second quarter ended August 2, 2020, that have materially affected, or are reasonably likely to materially affect, our internal control over financial reporting.</w:t>
      </w:r>
    </w:p>
    <w:p>
      <w:pPr>
        <w:sectPr>
          <w:pgSz w:w="11900" w:h="16838" w:orient="portrait"/>
          <w:cols w:equalWidth="0" w:num="1">
            <w:col w:w="11120"/>
          </w:cols>
          <w:pgMar w:left="320" w:top="482" w:right="45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5 to our Unaudited Consolidated Financial Statements set forth in Part I of this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supplementing the Risk Factors previously disclosed in Item 1A of the Annual Report on Form 10-K for the fiscal year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February 2, 2020, (the “Annual Report”). The following risk factor should be read in conjunction with the Risk Factors disclosed in the Annual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Report.</w:t>
      </w:r>
    </w:p>
    <w:p>
      <w:pPr>
        <w:spacing w:after="0" w:line="31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disrupted and is expected to continue to disrupt our business, which could have a material adverse impact on our business, results of operations, liquidity and financial condition for an extended period of time.</w:t>
      </w:r>
    </w:p>
    <w:p>
      <w:pPr>
        <w:spacing w:after="0" w:line="5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recent outbreak of COVID-19, and any other outbreaks of contagious diseases or other adverse public health developments in the United States or worldwide, could have a material adverse effect on our business, results of operations, liquidity and financial condition. In 2020, the COVID-19 pandemic has significantly impacted the economy in general, and our business specifically, and it will continue to negatively affect our business in a number of ways. These effects could include, but are not limited to:</w:t>
      </w:r>
    </w:p>
    <w:p>
      <w:pPr>
        <w:spacing w:after="0" w:line="85" w:lineRule="exact"/>
        <w:rPr>
          <w:sz w:val="20"/>
          <w:szCs w:val="20"/>
          <w:color w:val="auto"/>
        </w:rPr>
      </w:pPr>
    </w:p>
    <w:p>
      <w:pPr>
        <w:ind w:left="1080" w:right="2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unprecedented impact of the coronavirus and the disease it causes (COVID-19) on our business and operations and the related impact on our liquidity needs;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waivers or amendments, and thereafter continue to satisfy covenant requirements (even as they may be amended), under our amended credit agreement and derivative contract payables;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other funding sources;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government-mandated and voluntary shutdowns, and the impact of ongoing mitigation restrictions on our operations once our stores can re-open;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with which our stores safely can be re-opened and the level of customer demand following re-opening;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impact of COVID-19 and related disruptions on the communities we serve;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level of indebtedness.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or other outbreaks of disease or similar public health threats, materially and adversely impacts our business, results of operations, liquidity and financial condition is highly uncertain and will depend on future developments. Such developments may include the geographic spread and duration of the virus, the severity of the disease and the actions that may be taken by various governmental authorities and other third parties in response to the outbreak.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33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use of proceeds disclosed in our prospectus supplement to our registration statement on Form S-3, filed with the SEC on April 14, 2020.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repurchases of our common stock under our share repurchase plan during the thirteen weeks ended August 2, 2020.</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7"/>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2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5"/>
          </w:tcPr>
          <w:p>
            <w:pPr>
              <w:spacing w:after="0"/>
              <w:rPr>
                <w:rFonts w:ascii="Times New Roman" w:cs="Times New Roman" w:eastAsia="Times New Roman" w:hAnsi="Times New Roman"/>
                <w:sz w:val="18"/>
                <w:szCs w:val="18"/>
                <w:u w:val="single" w:color="auto"/>
                <w:color w:val="0000EE"/>
                <w:w w:val="99"/>
              </w:rPr>
            </w:pPr>
            <w:hyperlink w:anchor="page35">
              <w:r>
                <w:rPr>
                  <w:rFonts w:ascii="Times New Roman" w:cs="Times New Roman" w:eastAsia="Times New Roman" w:hAnsi="Times New Roman"/>
                  <w:sz w:val="18"/>
                  <w:szCs w:val="18"/>
                  <w:u w:val="single" w:color="auto"/>
                  <w:color w:val="0000EE"/>
                  <w:w w:val="99"/>
                </w:rPr>
                <w:t>Certification of Brian A. Jenkins, Chief Executive Officer of the Registrant, pursuant to 17 CFR 240.13a-14(a) or 17 CFR 240.15d-14(a).</w:t>
              </w:r>
            </w:hyperlink>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5"/>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Certification of Scott J. Bowman, Chief Financial Officer of the Registrant, pursuant to 17 CFR 240.13a-14(a) or 17 CFR 240.15d-14(a).</w:t>
              </w:r>
            </w:hyperlink>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Certification of Brian A. Jenkins, Chief Executive Officer of the Registrant, pursuant to 18 U.S.C. Section 1350, as adopted pursuant to</w:t>
              </w:r>
            </w:hyperlink>
          </w:p>
        </w:tc>
        <w:tc>
          <w:tcPr>
            <w:tcW w:w="1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Section 906 of the Sarbanes-Oxley Act of 2002.</w:t>
              </w:r>
            </w:hyperlink>
          </w:p>
        </w:tc>
        <w:tc>
          <w:tcPr>
            <w:tcW w:w="6420" w:type="dxa"/>
            <w:vAlign w:val="bottom"/>
            <w:gridSpan w:val="3"/>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00" w:type="dxa"/>
            <w:vAlign w:val="bottom"/>
            <w:gridSpan w:val="5"/>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Certification of Scott J. Bowman, Chief Financial Officer of the Registrant, pursuant to 18 U.S.C. Section 1350, as adopted pursuant to</w:t>
              </w:r>
            </w:hyperlink>
          </w:p>
        </w:tc>
      </w:tr>
      <w:tr>
        <w:trPr>
          <w:trHeight w:val="196"/>
        </w:trPr>
        <w:tc>
          <w:tcPr>
            <w:tcW w:w="104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Section 906 of the Sarbanes-Oxley Act of 2002.</w:t>
              </w:r>
            </w:hyperlink>
          </w:p>
        </w:tc>
        <w:tc>
          <w:tcPr>
            <w:tcW w:w="626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Interactive Data files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Filed herein</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82" w:right="5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Scott J. Bowman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40"/>
          </w:cols>
          <w:pgMar w:left="320" w:top="482" w:right="5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Brian A. Jenkins,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7"/>
          <w:szCs w:val="17"/>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Brian A. Jenkins</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4"/>
          </w:cols>
          <w:pgMar w:left="436" w:top="117"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Scott J. Bowman,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September 10, 2020</w:t>
      </w:r>
      <w:r>
        <w:rPr>
          <w:sz w:val="20"/>
          <w:szCs w:val="20"/>
          <w:color w:val="auto"/>
        </w:rPr>
        <w:tab/>
      </w:r>
      <w:r>
        <w:rPr>
          <w:rFonts w:ascii="Times New Roman" w:cs="Times New Roman" w:eastAsia="Times New Roman" w:hAnsi="Times New Roman"/>
          <w:sz w:val="17"/>
          <w:szCs w:val="17"/>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Scott J. Bowman</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4"/>
          </w:cols>
          <w:pgMar w:left="436" w:top="117"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August 2, 2020 as filed with the Securities and Exchange Commission on the date hereof (the “Report”), I, Brian A. Jenkins, Chief Executive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2020</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440" w:top="117"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August 2, 2020 as filed with the Securities and Exchange Commission on the date hereof (the “Report”), I, Scott J. Bowman, Chief Financial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2020</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Scott J. Bowman</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2020-09-10T16:08:50Z</dcterms:created>
  <dcterms:modified xsi:type="dcterms:W3CDTF">2020-09-10T16:08:50Z</dcterms:modified>
</cp:coreProperties>
</file>