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452120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99"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10-Q</w:t>
      </w:r>
    </w:p>
    <w:p>
      <w:pPr>
        <w:spacing w:after="0" w:line="176" w:lineRule="exact"/>
        <w:rPr>
          <w:sz w:val="24"/>
          <w:szCs w:val="24"/>
          <w:color w:val="auto"/>
        </w:rPr>
      </w:pPr>
    </w:p>
    <w:p>
      <w:pPr>
        <w:ind w:left="500" w:hanging="474"/>
        <w:spacing w:after="0"/>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3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April 30, 2023</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71" w:lineRule="exact"/>
        <w:rPr>
          <w:sz w:val="24"/>
          <w:szCs w:val="24"/>
          <w:color w:val="auto"/>
        </w:rPr>
      </w:pPr>
    </w:p>
    <w:p>
      <w:pPr>
        <w:ind w:left="500" w:hanging="474"/>
        <w:spacing w:after="0"/>
        <w:tabs>
          <w:tab w:leader="none" w:pos="5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12" w:lineRule="exact"/>
        <w:rPr>
          <w:sz w:val="24"/>
          <w:szCs w:val="24"/>
          <w:color w:val="auto"/>
        </w:rPr>
      </w:pPr>
    </w:p>
    <w:tbl>
      <w:tblPr>
        <w:tblLayout w:type="fixed"/>
        <w:tblInd w:w="3160" w:type="dxa"/>
        <w:tblCellMar>
          <w:top w:w="0" w:type="dxa"/>
          <w:left w:w="0" w:type="dxa"/>
          <w:bottom w:w="0" w:type="dxa"/>
          <w:right w:w="0" w:type="dxa"/>
        </w:tblCellMar>
      </w:tblPr>
      <w:tr>
        <w:trPr>
          <w:trHeight w:val="207"/>
        </w:trPr>
        <w:tc>
          <w:tcPr>
            <w:tcW w:w="4180" w:type="dxa"/>
            <w:vAlign w:val="bottom"/>
            <w:gridSpan w:val="2"/>
          </w:tcPr>
          <w:p>
            <w:pPr>
              <w:spacing w:after="0"/>
              <w:rPr>
                <w:sz w:val="20"/>
                <w:szCs w:val="20"/>
                <w:color w:val="auto"/>
              </w:rPr>
            </w:pPr>
            <w:r>
              <w:rPr>
                <w:rFonts w:ascii="Arial" w:cs="Arial" w:eastAsia="Arial" w:hAnsi="Arial"/>
                <w:sz w:val="18"/>
                <w:szCs w:val="18"/>
                <w:b w:val="1"/>
                <w:bCs w:val="1"/>
                <w:color w:val="auto"/>
              </w:rPr>
              <w:t>FOR THE TRANSITION PERIOD FROM</w:t>
            </w:r>
          </w:p>
        </w:tc>
        <w:tc>
          <w:tcPr>
            <w:tcW w:w="260" w:type="dxa"/>
            <w:vAlign w:val="bottom"/>
          </w:tcPr>
          <w:p>
            <w:pPr>
              <w:spacing w:after="0"/>
              <w:rPr>
                <w:sz w:val="20"/>
                <w:szCs w:val="20"/>
                <w:color w:val="auto"/>
              </w:rPr>
            </w:pPr>
            <w:r>
              <w:rPr>
                <w:rFonts w:ascii="Arial" w:cs="Arial" w:eastAsia="Arial" w:hAnsi="Arial"/>
                <w:sz w:val="18"/>
                <w:szCs w:val="18"/>
                <w:b w:val="1"/>
                <w:bCs w:val="1"/>
                <w:color w:val="auto"/>
                <w:w w:val="95"/>
              </w:rPr>
              <w:t>TO</w:t>
            </w:r>
          </w:p>
        </w:tc>
      </w:tr>
      <w:tr>
        <w:trPr>
          <w:trHeight w:val="20"/>
        </w:trPr>
        <w:tc>
          <w:tcPr>
            <w:tcW w:w="33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345"/>
        </w:trPr>
        <w:tc>
          <w:tcPr>
            <w:tcW w:w="4180" w:type="dxa"/>
            <w:vAlign w:val="bottom"/>
            <w:gridSpan w:val="2"/>
          </w:tcPr>
          <w:p>
            <w:pPr>
              <w:ind w:left="1260"/>
              <w:spacing w:after="0"/>
              <w:rPr>
                <w:sz w:val="20"/>
                <w:szCs w:val="20"/>
                <w:color w:val="auto"/>
              </w:rPr>
            </w:pPr>
            <w:r>
              <w:rPr>
                <w:rFonts w:ascii="Arial" w:cs="Arial" w:eastAsia="Arial" w:hAnsi="Arial"/>
                <w:sz w:val="18"/>
                <w:szCs w:val="18"/>
                <w:b w:val="1"/>
                <w:bCs w:val="1"/>
                <w:color w:val="auto"/>
              </w:rPr>
              <w:t>Commission File No. 001-35664</w:t>
            </w:r>
          </w:p>
        </w:tc>
        <w:tc>
          <w:tcPr>
            <w:tcW w:w="26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4820920</wp:posOffset>
            </wp:positionH>
            <wp:positionV relativeFrom="paragraph">
              <wp:posOffset>-231140</wp:posOffset>
            </wp:positionV>
            <wp:extent cx="3143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4325" cy="8255"/>
                    </a:xfrm>
                    <a:prstGeom prst="rect">
                      <a:avLst/>
                    </a:prstGeom>
                    <a:noFill/>
                  </pic:spPr>
                </pic:pic>
              </a:graphicData>
            </a:graphic>
          </wp:anchor>
        </w:drawing>
      </w:r>
    </w:p>
    <w:p>
      <w:pPr>
        <w:spacing w:after="0" w:line="6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Dave &amp; Buster’s Entertainment, Inc.</w:t>
      </w:r>
    </w:p>
    <w:p>
      <w:pPr>
        <w:spacing w:after="0" w:line="5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940" w:type="dxa"/>
            <w:vAlign w:val="bottom"/>
            <w:gridSpan w:val="3"/>
          </w:tcPr>
          <w:p>
            <w:pPr>
              <w:jc w:val="center"/>
              <w:ind w:left="619"/>
              <w:spacing w:after="0"/>
              <w:rPr>
                <w:sz w:val="20"/>
                <w:szCs w:val="20"/>
                <w:color w:val="auto"/>
              </w:rPr>
            </w:pPr>
            <w:r>
              <w:rPr>
                <w:rFonts w:ascii="Arial" w:cs="Arial" w:eastAsia="Arial" w:hAnsi="Arial"/>
                <w:sz w:val="18"/>
                <w:szCs w:val="18"/>
                <w:b w:val="1"/>
                <w:bCs w:val="1"/>
                <w:color w:val="auto"/>
                <w:w w:val="91"/>
              </w:rPr>
              <w:t>Delaware</w:t>
            </w:r>
          </w:p>
        </w:tc>
        <w:tc>
          <w:tcPr>
            <w:tcW w:w="2460" w:type="dxa"/>
            <w:vAlign w:val="bottom"/>
          </w:tcPr>
          <w:p>
            <w:pPr>
              <w:spacing w:after="0"/>
              <w:rPr>
                <w:sz w:val="20"/>
                <w:szCs w:val="20"/>
                <w:color w:val="auto"/>
              </w:rPr>
            </w:pPr>
          </w:p>
        </w:tc>
        <w:tc>
          <w:tcPr>
            <w:tcW w:w="3820" w:type="dxa"/>
            <w:vAlign w:val="bottom"/>
            <w:gridSpan w:val="3"/>
          </w:tcPr>
          <w:p>
            <w:pPr>
              <w:jc w:val="right"/>
              <w:ind w:right="2282"/>
              <w:spacing w:after="0"/>
              <w:rPr>
                <w:sz w:val="20"/>
                <w:szCs w:val="20"/>
                <w:color w:val="auto"/>
              </w:rPr>
            </w:pPr>
            <w:r>
              <w:rPr>
                <w:rFonts w:ascii="Arial" w:cs="Arial" w:eastAsia="Arial" w:hAnsi="Arial"/>
                <w:sz w:val="18"/>
                <w:szCs w:val="18"/>
                <w:b w:val="1"/>
                <w:bCs w:val="1"/>
                <w:color w:val="auto"/>
              </w:rPr>
              <w:t>35-2382255</w:t>
            </w:r>
          </w:p>
        </w:tc>
      </w:tr>
      <w:tr>
        <w:trPr>
          <w:trHeight w:val="217"/>
        </w:trPr>
        <w:tc>
          <w:tcPr>
            <w:tcW w:w="4940" w:type="dxa"/>
            <w:vAlign w:val="bottom"/>
            <w:gridSpan w:val="3"/>
          </w:tcPr>
          <w:p>
            <w:pPr>
              <w:jc w:val="center"/>
              <w:ind w:left="599"/>
              <w:spacing w:after="0"/>
              <w:rPr>
                <w:sz w:val="20"/>
                <w:szCs w:val="20"/>
                <w:color w:val="auto"/>
              </w:rPr>
            </w:pPr>
            <w:r>
              <w:rPr>
                <w:rFonts w:ascii="Arial" w:cs="Arial" w:eastAsia="Arial" w:hAnsi="Arial"/>
                <w:sz w:val="14"/>
                <w:szCs w:val="14"/>
                <w:b w:val="1"/>
                <w:bCs w:val="1"/>
                <w:color w:val="auto"/>
                <w:w w:val="94"/>
              </w:rPr>
              <w:t>(State of Incorporation)</w:t>
            </w:r>
          </w:p>
        </w:tc>
        <w:tc>
          <w:tcPr>
            <w:tcW w:w="2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60" w:type="dxa"/>
            <w:vAlign w:val="bottom"/>
          </w:tcPr>
          <w:p>
            <w:pPr>
              <w:jc w:val="center"/>
              <w:ind w:right="1822"/>
              <w:spacing w:after="0"/>
              <w:rPr>
                <w:sz w:val="20"/>
                <w:szCs w:val="20"/>
                <w:color w:val="auto"/>
              </w:rPr>
            </w:pPr>
            <w:r>
              <w:rPr>
                <w:rFonts w:ascii="Arial" w:cs="Arial" w:eastAsia="Arial" w:hAnsi="Arial"/>
                <w:sz w:val="14"/>
                <w:szCs w:val="14"/>
                <w:b w:val="1"/>
                <w:bCs w:val="1"/>
                <w:color w:val="auto"/>
                <w:w w:val="98"/>
              </w:rPr>
              <w:t>(I.R.S. Employer ID)</w:t>
            </w:r>
          </w:p>
        </w:tc>
      </w:tr>
      <w:tr>
        <w:trPr>
          <w:trHeight w:val="336"/>
        </w:trPr>
        <w:tc>
          <w:tcPr>
            <w:tcW w:w="4940" w:type="dxa"/>
            <w:vAlign w:val="bottom"/>
            <w:gridSpan w:val="3"/>
          </w:tcPr>
          <w:p>
            <w:pPr>
              <w:jc w:val="center"/>
              <w:ind w:left="619"/>
              <w:spacing w:after="0"/>
              <w:rPr>
                <w:sz w:val="20"/>
                <w:szCs w:val="20"/>
                <w:color w:val="auto"/>
              </w:rPr>
            </w:pPr>
            <w:r>
              <w:rPr>
                <w:rFonts w:ascii="Arial" w:cs="Arial" w:eastAsia="Arial" w:hAnsi="Arial"/>
                <w:sz w:val="18"/>
                <w:szCs w:val="18"/>
                <w:b w:val="1"/>
                <w:bCs w:val="1"/>
                <w:color w:val="auto"/>
                <w:w w:val="89"/>
              </w:rPr>
              <w:t>1221 S. Beltline Rd., Suite 500, Coppell, Texas, 75019</w:t>
            </w:r>
          </w:p>
        </w:tc>
        <w:tc>
          <w:tcPr>
            <w:tcW w:w="2460" w:type="dxa"/>
            <w:vAlign w:val="bottom"/>
          </w:tcPr>
          <w:p>
            <w:pPr>
              <w:spacing w:after="0"/>
              <w:rPr>
                <w:sz w:val="24"/>
                <w:szCs w:val="24"/>
                <w:color w:val="auto"/>
              </w:rPr>
            </w:pPr>
          </w:p>
        </w:tc>
        <w:tc>
          <w:tcPr>
            <w:tcW w:w="3820" w:type="dxa"/>
            <w:vAlign w:val="bottom"/>
            <w:gridSpan w:val="3"/>
          </w:tcPr>
          <w:p>
            <w:pPr>
              <w:jc w:val="right"/>
              <w:ind w:right="2162"/>
              <w:spacing w:after="0"/>
              <w:rPr>
                <w:sz w:val="20"/>
                <w:szCs w:val="20"/>
                <w:color w:val="auto"/>
              </w:rPr>
            </w:pPr>
            <w:r>
              <w:rPr>
                <w:rFonts w:ascii="Arial" w:cs="Arial" w:eastAsia="Arial" w:hAnsi="Arial"/>
                <w:sz w:val="18"/>
                <w:szCs w:val="18"/>
                <w:b w:val="1"/>
                <w:bCs w:val="1"/>
                <w:color w:val="auto"/>
              </w:rPr>
              <w:t>(214)357-9588</w:t>
            </w:r>
          </w:p>
        </w:tc>
      </w:tr>
      <w:tr>
        <w:trPr>
          <w:trHeight w:val="218"/>
        </w:trPr>
        <w:tc>
          <w:tcPr>
            <w:tcW w:w="4940" w:type="dxa"/>
            <w:vAlign w:val="bottom"/>
            <w:gridSpan w:val="3"/>
          </w:tcPr>
          <w:p>
            <w:pPr>
              <w:jc w:val="center"/>
              <w:ind w:left="619"/>
              <w:spacing w:after="0"/>
              <w:rPr>
                <w:sz w:val="20"/>
                <w:szCs w:val="20"/>
                <w:color w:val="auto"/>
              </w:rPr>
            </w:pPr>
            <w:r>
              <w:rPr>
                <w:rFonts w:ascii="Arial" w:cs="Arial" w:eastAsia="Arial" w:hAnsi="Arial"/>
                <w:sz w:val="14"/>
                <w:szCs w:val="14"/>
                <w:b w:val="1"/>
                <w:bCs w:val="1"/>
                <w:color w:val="auto"/>
                <w:w w:val="92"/>
              </w:rPr>
              <w:t>(Address of principal executive offices) (Zip Code)</w:t>
            </w:r>
          </w:p>
        </w:tc>
        <w:tc>
          <w:tcPr>
            <w:tcW w:w="2460" w:type="dxa"/>
            <w:vAlign w:val="bottom"/>
          </w:tcPr>
          <w:p>
            <w:pPr>
              <w:spacing w:after="0"/>
              <w:rPr>
                <w:sz w:val="18"/>
                <w:szCs w:val="18"/>
                <w:color w:val="auto"/>
              </w:rPr>
            </w:pPr>
          </w:p>
        </w:tc>
        <w:tc>
          <w:tcPr>
            <w:tcW w:w="3820" w:type="dxa"/>
            <w:vAlign w:val="bottom"/>
            <w:gridSpan w:val="3"/>
          </w:tcPr>
          <w:p>
            <w:pPr>
              <w:jc w:val="center"/>
              <w:ind w:right="1682"/>
              <w:spacing w:after="0"/>
              <w:rPr>
                <w:sz w:val="20"/>
                <w:szCs w:val="20"/>
                <w:color w:val="auto"/>
              </w:rPr>
            </w:pPr>
            <w:r>
              <w:rPr>
                <w:rFonts w:ascii="Arial" w:cs="Arial" w:eastAsia="Arial" w:hAnsi="Arial"/>
                <w:sz w:val="14"/>
                <w:szCs w:val="14"/>
                <w:b w:val="1"/>
                <w:bCs w:val="1"/>
                <w:color w:val="auto"/>
                <w:w w:val="91"/>
              </w:rPr>
              <w:t>(Registrant’s telephone number)</w:t>
            </w:r>
          </w:p>
        </w:tc>
      </w:tr>
      <w:tr>
        <w:trPr>
          <w:trHeight w:val="405"/>
        </w:trPr>
        <w:tc>
          <w:tcPr>
            <w:tcW w:w="3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324"/>
        </w:trPr>
        <w:tc>
          <w:tcPr>
            <w:tcW w:w="4940" w:type="dxa"/>
            <w:vAlign w:val="bottom"/>
            <w:gridSpan w:val="3"/>
          </w:tcPr>
          <w:p>
            <w:pPr>
              <w:jc w:val="center"/>
              <w:ind w:right="1188"/>
              <w:spacing w:after="0"/>
              <w:rPr>
                <w:sz w:val="20"/>
                <w:szCs w:val="20"/>
                <w:color w:val="auto"/>
              </w:rPr>
            </w:pPr>
            <w:r>
              <w:rPr>
                <w:rFonts w:ascii="Arial" w:cs="Arial" w:eastAsia="Arial" w:hAnsi="Arial"/>
                <w:sz w:val="14"/>
                <w:szCs w:val="14"/>
                <w:b w:val="1"/>
                <w:bCs w:val="1"/>
                <w:color w:val="auto"/>
                <w:w w:val="89"/>
              </w:rPr>
              <w:t>Title of each class</w:t>
            </w:r>
          </w:p>
        </w:tc>
        <w:tc>
          <w:tcPr>
            <w:tcW w:w="2460" w:type="dxa"/>
            <w:vAlign w:val="bottom"/>
          </w:tcPr>
          <w:p>
            <w:pPr>
              <w:jc w:val="center"/>
              <w:ind w:right="1039"/>
              <w:spacing w:after="0"/>
              <w:rPr>
                <w:sz w:val="20"/>
                <w:szCs w:val="20"/>
                <w:color w:val="auto"/>
              </w:rPr>
            </w:pPr>
            <w:r>
              <w:rPr>
                <w:rFonts w:ascii="Arial" w:cs="Arial" w:eastAsia="Arial" w:hAnsi="Arial"/>
                <w:sz w:val="14"/>
                <w:szCs w:val="14"/>
                <w:b w:val="1"/>
                <w:bCs w:val="1"/>
                <w:color w:val="auto"/>
                <w:w w:val="92"/>
              </w:rPr>
              <w:t>Trading Symbol(s)</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6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39"/>
        </w:trPr>
        <w:tc>
          <w:tcPr>
            <w:tcW w:w="36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24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660" w:type="dxa"/>
            <w:vAlign w:val="bottom"/>
            <w:tcBorders>
              <w:bottom w:val="single" w:sz="8" w:color="auto"/>
            </w:tcBorders>
          </w:tcPr>
          <w:p>
            <w:pPr>
              <w:spacing w:after="0"/>
              <w:rPr>
                <w:sz w:val="3"/>
                <w:szCs w:val="3"/>
                <w:color w:val="auto"/>
              </w:rPr>
            </w:pPr>
          </w:p>
        </w:tc>
      </w:tr>
      <w:tr>
        <w:trPr>
          <w:trHeight w:val="237"/>
        </w:trPr>
        <w:tc>
          <w:tcPr>
            <w:tcW w:w="4940" w:type="dxa"/>
            <w:vAlign w:val="bottom"/>
            <w:gridSpan w:val="3"/>
          </w:tcPr>
          <w:p>
            <w:pPr>
              <w:jc w:val="center"/>
              <w:ind w:right="1188"/>
              <w:spacing w:after="0"/>
              <w:rPr>
                <w:sz w:val="20"/>
                <w:szCs w:val="20"/>
                <w:color w:val="auto"/>
              </w:rPr>
            </w:pPr>
            <w:r>
              <w:rPr>
                <w:rFonts w:ascii="Arial" w:cs="Arial" w:eastAsia="Arial" w:hAnsi="Arial"/>
                <w:sz w:val="18"/>
                <w:szCs w:val="18"/>
                <w:b w:val="1"/>
                <w:bCs w:val="1"/>
                <w:color w:val="auto"/>
                <w:w w:val="90"/>
              </w:rPr>
              <w:t>Common Stock $0.01 par value</w:t>
            </w:r>
          </w:p>
        </w:tc>
        <w:tc>
          <w:tcPr>
            <w:tcW w:w="2460" w:type="dxa"/>
            <w:vAlign w:val="bottom"/>
          </w:tcPr>
          <w:p>
            <w:pPr>
              <w:jc w:val="center"/>
              <w:ind w:right="1019"/>
              <w:spacing w:after="0"/>
              <w:rPr>
                <w:sz w:val="20"/>
                <w:szCs w:val="20"/>
                <w:color w:val="auto"/>
              </w:rPr>
            </w:pPr>
            <w:r>
              <w:rPr>
                <w:rFonts w:ascii="Arial" w:cs="Arial" w:eastAsia="Arial" w:hAnsi="Arial"/>
                <w:sz w:val="18"/>
                <w:szCs w:val="18"/>
                <w:b w:val="1"/>
                <w:bCs w:val="1"/>
                <w:color w:val="auto"/>
                <w:w w:val="99"/>
              </w:rPr>
              <w:t>PLAY</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60" w:type="dxa"/>
            <w:vAlign w:val="bottom"/>
          </w:tcPr>
          <w:p>
            <w:pPr>
              <w:jc w:val="center"/>
              <w:spacing w:after="0"/>
              <w:rPr>
                <w:sz w:val="20"/>
                <w:szCs w:val="20"/>
                <w:color w:val="auto"/>
              </w:rPr>
            </w:pPr>
            <w:r>
              <w:rPr>
                <w:rFonts w:ascii="Arial" w:cs="Arial" w:eastAsia="Arial" w:hAnsi="Arial"/>
                <w:sz w:val="18"/>
                <w:szCs w:val="18"/>
                <w:b w:val="1"/>
                <w:bCs w:val="1"/>
                <w:color w:val="auto"/>
                <w:w w:val="93"/>
              </w:rPr>
              <w:t>NASDAQ Global Select Market</w:t>
            </w:r>
          </w:p>
        </w:tc>
      </w:tr>
    </w:tbl>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121" w:lineRule="exact"/>
        <w:rPr>
          <w:sz w:val="24"/>
          <w:szCs w:val="24"/>
          <w:color w:val="auto"/>
        </w:rPr>
      </w:pPr>
    </w:p>
    <w:p>
      <w:pPr>
        <w:ind w:right="40" w:firstLine="486"/>
        <w:spacing w:after="0" w:line="230" w:lineRule="exact"/>
        <w:rPr>
          <w:sz w:val="20"/>
          <w:szCs w:val="20"/>
          <w:color w:val="auto"/>
        </w:rPr>
      </w:pPr>
      <w:r>
        <w:rPr>
          <w:rFonts w:ascii="Arial" w:cs="Arial" w:eastAsia="Arial" w:hAnsi="Arial"/>
          <w:sz w:val="18"/>
          <w:szCs w:val="18"/>
          <w:color w:val="auto"/>
        </w:rPr>
        <w:t xml:space="preserve">Indicate by checkmark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68" w:lineRule="exact"/>
        <w:rPr>
          <w:sz w:val="24"/>
          <w:szCs w:val="24"/>
          <w:color w:val="auto"/>
        </w:rPr>
      </w:pPr>
    </w:p>
    <w:p>
      <w:pPr>
        <w:ind w:right="100" w:firstLine="486"/>
        <w:spacing w:after="0" w:line="230" w:lineRule="exact"/>
        <w:rPr>
          <w:sz w:val="20"/>
          <w:szCs w:val="20"/>
          <w:color w:val="auto"/>
        </w:rPr>
      </w:pPr>
      <w:r>
        <w:rPr>
          <w:rFonts w:ascii="Arial" w:cs="Arial" w:eastAsia="Arial" w:hAnsi="Arial"/>
          <w:sz w:val="18"/>
          <w:szCs w:val="18"/>
          <w:color w:val="auto"/>
        </w:rPr>
        <w:t xml:space="preserve">Indicate by checkmark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x No </w:t>
      </w:r>
      <w:r>
        <w:rPr>
          <w:rFonts w:ascii="MS PGothic" w:cs="MS PGothic" w:eastAsia="MS PGothic" w:hAnsi="MS PGothic"/>
          <w:sz w:val="18"/>
          <w:szCs w:val="18"/>
          <w:color w:val="auto"/>
        </w:rPr>
        <w:t>☐</w:t>
      </w:r>
    </w:p>
    <w:p>
      <w:pPr>
        <w:spacing w:after="0" w:line="68" w:lineRule="exact"/>
        <w:rPr>
          <w:sz w:val="24"/>
          <w:szCs w:val="24"/>
          <w:color w:val="auto"/>
        </w:rPr>
      </w:pPr>
    </w:p>
    <w:p>
      <w:pPr>
        <w:ind w:right="140" w:firstLine="486"/>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85" w:lineRule="exact"/>
        <w:rPr>
          <w:sz w:val="24"/>
          <w:szCs w:val="24"/>
          <w:color w:val="auto"/>
        </w:rPr>
      </w:pPr>
    </w:p>
    <w:tbl>
      <w:tblPr>
        <w:tblLayout w:type="fixed"/>
        <w:tblInd w:w="20" w:type="dxa"/>
        <w:tblCellMar>
          <w:top w:w="0" w:type="dxa"/>
          <w:left w:w="0" w:type="dxa"/>
          <w:bottom w:w="0" w:type="dxa"/>
          <w:right w:w="0" w:type="dxa"/>
        </w:tblCellMar>
      </w:tblPr>
      <w:tr>
        <w:trPr>
          <w:trHeight w:val="303"/>
        </w:trPr>
        <w:tc>
          <w:tcPr>
            <w:tcW w:w="23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080" w:type="dxa"/>
            <w:vAlign w:val="bottom"/>
          </w:tcPr>
          <w:p>
            <w:pPr>
              <w:ind w:left="340"/>
              <w:spacing w:after="0"/>
              <w:rPr>
                <w:sz w:val="20"/>
                <w:szCs w:val="20"/>
                <w:color w:val="auto"/>
              </w:rPr>
            </w:pPr>
            <w:r>
              <w:rPr>
                <w:rFonts w:ascii="Arial" w:cs="Arial" w:eastAsia="Arial" w:hAnsi="Arial"/>
                <w:sz w:val="18"/>
                <w:szCs w:val="18"/>
                <w:color w:val="auto"/>
              </w:rPr>
              <w:t>x</w:t>
            </w:r>
          </w:p>
        </w:tc>
        <w:tc>
          <w:tcPr>
            <w:tcW w:w="4920" w:type="dxa"/>
            <w:vAlign w:val="bottom"/>
          </w:tcPr>
          <w:p>
            <w:pPr>
              <w:ind w:left="2580"/>
              <w:spacing w:after="0"/>
              <w:rPr>
                <w:sz w:val="20"/>
                <w:szCs w:val="20"/>
                <w:color w:val="auto"/>
              </w:rPr>
            </w:pPr>
            <w:r>
              <w:rPr>
                <w:rFonts w:ascii="Arial" w:cs="Arial" w:eastAsia="Arial" w:hAnsi="Arial"/>
                <w:sz w:val="18"/>
                <w:szCs w:val="18"/>
                <w:color w:val="auto"/>
              </w:rPr>
              <w:t>Accelerated filer</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8"/>
        </w:trPr>
        <w:tc>
          <w:tcPr>
            <w:tcW w:w="2380" w:type="dxa"/>
            <w:vAlign w:val="bottom"/>
          </w:tcPr>
          <w:p>
            <w:pPr>
              <w:spacing w:after="0"/>
              <w:rPr>
                <w:sz w:val="20"/>
                <w:szCs w:val="20"/>
                <w:color w:val="auto"/>
              </w:rPr>
            </w:pPr>
            <w:r>
              <w:rPr>
                <w:rFonts w:ascii="Arial" w:cs="Arial" w:eastAsia="Arial" w:hAnsi="Arial"/>
                <w:sz w:val="18"/>
                <w:szCs w:val="18"/>
                <w:color w:val="auto"/>
              </w:rPr>
              <w:t>Non-accelerated filer</w:t>
            </w:r>
          </w:p>
        </w:tc>
        <w:tc>
          <w:tcPr>
            <w:tcW w:w="308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4920" w:type="dxa"/>
            <w:vAlign w:val="bottom"/>
          </w:tcPr>
          <w:p>
            <w:pPr>
              <w:ind w:left="2580"/>
              <w:spacing w:after="0"/>
              <w:rPr>
                <w:sz w:val="20"/>
                <w:szCs w:val="20"/>
                <w:color w:val="auto"/>
              </w:rPr>
            </w:pPr>
            <w:r>
              <w:rPr>
                <w:rFonts w:ascii="Arial" w:cs="Arial" w:eastAsia="Arial" w:hAnsi="Arial"/>
                <w:sz w:val="18"/>
                <w:szCs w:val="18"/>
                <w:color w:val="auto"/>
              </w:rPr>
              <w:t>Smaller reporting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8"/>
        </w:trPr>
        <w:tc>
          <w:tcPr>
            <w:tcW w:w="238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08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492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pacing w:after="0" w:line="174" w:lineRule="exact"/>
        <w:rPr>
          <w:sz w:val="24"/>
          <w:szCs w:val="24"/>
          <w:color w:val="auto"/>
        </w:rPr>
      </w:pPr>
    </w:p>
    <w:p>
      <w:pPr>
        <w:ind w:firstLine="486"/>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1" w:lineRule="exact"/>
        <w:rPr>
          <w:sz w:val="24"/>
          <w:szCs w:val="24"/>
          <w:color w:val="auto"/>
        </w:rPr>
      </w:pPr>
    </w:p>
    <w:p>
      <w:pPr>
        <w:ind w:left="500" w:right="1700"/>
        <w:spacing w:after="0" w:line="299" w:lineRule="exact"/>
        <w:rPr>
          <w:sz w:val="20"/>
          <w:szCs w:val="20"/>
          <w:color w:val="auto"/>
        </w:rPr>
      </w:pPr>
      <w:r>
        <w:rPr>
          <w:rFonts w:ascii="Arial" w:cs="Arial" w:eastAsia="Arial" w:hAnsi="Arial"/>
          <w:sz w:val="16"/>
          <w:szCs w:val="16"/>
          <w:color w:val="auto"/>
        </w:rPr>
        <w:t xml:space="preserve">Indicate by checkmark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x As of June 2, 2023, the registrant had 42,920,953 shares of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708025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103505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129540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DAVE &amp; BUSTER’S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 FOR QUARTERLY PERIOD ENDED APRIL 30,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920" w:type="dxa"/>
            <w:vAlign w:val="bottom"/>
          </w:tcPr>
          <w:p>
            <w:pPr>
              <w:jc w:val="right"/>
              <w:ind w:right="232"/>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39"/>
        </w:trPr>
        <w:tc>
          <w:tcPr>
            <w:tcW w:w="11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PART I</w:t>
            </w:r>
          </w:p>
        </w:tc>
        <w:tc>
          <w:tcPr>
            <w:tcW w:w="9140" w:type="dxa"/>
            <w:vAlign w:val="bottom"/>
            <w:gridSpan w:val="10"/>
            <w:vMerge w:val="restart"/>
          </w:tcPr>
          <w:p>
            <w:pPr>
              <w:spacing w:after="0"/>
              <w:rPr>
                <w:sz w:val="20"/>
                <w:szCs w:val="20"/>
                <w:color w:val="auto"/>
              </w:rPr>
            </w:pPr>
            <w:r>
              <w:rPr>
                <w:rFonts w:ascii="Arial" w:cs="Arial" w:eastAsia="Arial" w:hAnsi="Arial"/>
                <w:sz w:val="18"/>
                <w:szCs w:val="18"/>
                <w:b w:val="1"/>
                <w:bCs w:val="1"/>
                <w:color w:val="auto"/>
              </w:rPr>
              <w:t>FINANCIAL INFORMATION</w:t>
            </w: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1180" w:type="dxa"/>
            <w:vAlign w:val="bottom"/>
            <w:vMerge w:val="continue"/>
          </w:tcPr>
          <w:p>
            <w:pPr>
              <w:spacing w:after="0"/>
              <w:rPr>
                <w:sz w:val="19"/>
                <w:szCs w:val="19"/>
                <w:color w:val="auto"/>
              </w:rPr>
            </w:pPr>
          </w:p>
        </w:tc>
        <w:tc>
          <w:tcPr>
            <w:tcW w:w="9140" w:type="dxa"/>
            <w:vAlign w:val="bottom"/>
            <w:gridSpan w:val="10"/>
            <w:vMerge w:val="continue"/>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80" w:type="dxa"/>
            <w:vAlign w:val="bottom"/>
          </w:tcPr>
          <w:p>
            <w:pPr>
              <w:ind w:left="20"/>
              <w:spacing w:after="0"/>
              <w:rPr>
                <w:sz w:val="20"/>
                <w:szCs w:val="20"/>
                <w:color w:val="auto"/>
              </w:rPr>
            </w:pPr>
            <w:r>
              <w:rPr>
                <w:rFonts w:ascii="Arial" w:cs="Arial" w:eastAsia="Arial" w:hAnsi="Arial"/>
                <w:sz w:val="18"/>
                <w:szCs w:val="18"/>
                <w:color w:val="auto"/>
              </w:rPr>
              <w:t>Item 1.</w:t>
            </w:r>
          </w:p>
        </w:tc>
        <w:tc>
          <w:tcPr>
            <w:tcW w:w="9140" w:type="dxa"/>
            <w:vAlign w:val="bottom"/>
            <w:gridSpan w:val="10"/>
          </w:tcPr>
          <w:p>
            <w:pPr>
              <w:spacing w:after="0"/>
              <w:rPr>
                <w:sz w:val="20"/>
                <w:szCs w:val="20"/>
                <w:color w:val="auto"/>
              </w:rPr>
            </w:pPr>
            <w:r>
              <w:rPr>
                <w:rFonts w:ascii="Arial" w:cs="Arial" w:eastAsia="Arial" w:hAnsi="Arial"/>
                <w:sz w:val="18"/>
                <w:szCs w:val="18"/>
                <w:color w:val="0000FF"/>
              </w:rPr>
              <w:t>Financial Statements</w:t>
            </w: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80" w:type="dxa"/>
            <w:vAlign w:val="bottom"/>
          </w:tcPr>
          <w:p>
            <w:pPr>
              <w:ind w:left="20"/>
              <w:spacing w:after="0"/>
              <w:rPr>
                <w:sz w:val="20"/>
                <w:szCs w:val="20"/>
                <w:color w:val="auto"/>
              </w:rPr>
            </w:pPr>
            <w:r>
              <w:rPr>
                <w:rFonts w:ascii="Arial" w:cs="Arial" w:eastAsia="Arial" w:hAnsi="Arial"/>
                <w:sz w:val="18"/>
                <w:szCs w:val="18"/>
                <w:color w:val="auto"/>
              </w:rPr>
              <w:t>Item 2.</w:t>
            </w:r>
          </w:p>
        </w:tc>
        <w:tc>
          <w:tcPr>
            <w:tcW w:w="9140" w:type="dxa"/>
            <w:vAlign w:val="bottom"/>
            <w:gridSpan w:val="10"/>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92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50"/>
        </w:trPr>
        <w:tc>
          <w:tcPr>
            <w:tcW w:w="1180" w:type="dxa"/>
            <w:vAlign w:val="bottom"/>
          </w:tcPr>
          <w:p>
            <w:pPr>
              <w:ind w:left="20"/>
              <w:spacing w:after="0"/>
              <w:rPr>
                <w:sz w:val="20"/>
                <w:szCs w:val="20"/>
                <w:color w:val="auto"/>
              </w:rPr>
            </w:pPr>
            <w:r>
              <w:rPr>
                <w:rFonts w:ascii="Arial" w:cs="Arial" w:eastAsia="Arial" w:hAnsi="Arial"/>
                <w:sz w:val="18"/>
                <w:szCs w:val="18"/>
                <w:color w:val="auto"/>
              </w:rPr>
              <w:t>Item 3.</w:t>
            </w:r>
          </w:p>
        </w:tc>
        <w:tc>
          <w:tcPr>
            <w:tcW w:w="6440" w:type="dxa"/>
            <w:vAlign w:val="bottom"/>
            <w:tcBorders>
              <w:top w:val="single" w:sz="8" w:color="0000FF"/>
            </w:tcBorders>
            <w:gridSpan w:val="9"/>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27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50"/>
        </w:trPr>
        <w:tc>
          <w:tcPr>
            <w:tcW w:w="1180" w:type="dxa"/>
            <w:vAlign w:val="bottom"/>
          </w:tcPr>
          <w:p>
            <w:pPr>
              <w:ind w:left="20"/>
              <w:spacing w:after="0"/>
              <w:rPr>
                <w:sz w:val="20"/>
                <w:szCs w:val="20"/>
                <w:color w:val="auto"/>
              </w:rPr>
            </w:pPr>
            <w:r>
              <w:rPr>
                <w:rFonts w:ascii="Arial" w:cs="Arial" w:eastAsia="Arial" w:hAnsi="Arial"/>
                <w:sz w:val="18"/>
                <w:szCs w:val="18"/>
                <w:color w:val="auto"/>
              </w:rPr>
              <w:t>Item 4.</w:t>
            </w:r>
          </w:p>
        </w:tc>
        <w:tc>
          <w:tcPr>
            <w:tcW w:w="1780" w:type="dxa"/>
            <w:vAlign w:val="bottom"/>
            <w:tcBorders>
              <w:top w:val="single" w:sz="8" w:color="0000FF"/>
              <w:bottom w:val="single" w:sz="8" w:color="0000FF"/>
            </w:tcBorders>
            <w:gridSpan w:val="6"/>
          </w:tcPr>
          <w:p>
            <w:pPr>
              <w:spacing w:after="0"/>
              <w:rPr>
                <w:sz w:val="20"/>
                <w:szCs w:val="20"/>
                <w:color w:val="auto"/>
              </w:rPr>
            </w:pPr>
            <w:r>
              <w:rPr>
                <w:rFonts w:ascii="Arial" w:cs="Arial" w:eastAsia="Arial" w:hAnsi="Arial"/>
                <w:sz w:val="18"/>
                <w:szCs w:val="18"/>
                <w:color w:val="0000FF"/>
                <w:w w:val="88"/>
              </w:rPr>
              <w:t>Controls and Procedures</w:t>
            </w:r>
          </w:p>
        </w:tc>
        <w:tc>
          <w:tcPr>
            <w:tcW w:w="2560" w:type="dxa"/>
            <w:vAlign w:val="bottom"/>
            <w:tcBorders>
              <w:top w:val="single" w:sz="8" w:color="0000FF"/>
            </w:tcBorders>
            <w:gridSpan w:val="2"/>
          </w:tcPr>
          <w:p>
            <w:pPr>
              <w:spacing w:after="0"/>
              <w:rPr>
                <w:sz w:val="21"/>
                <w:szCs w:val="21"/>
                <w:color w:val="auto"/>
              </w:rPr>
            </w:pPr>
          </w:p>
        </w:tc>
        <w:tc>
          <w:tcPr>
            <w:tcW w:w="4800" w:type="dxa"/>
            <w:vAlign w:val="bottom"/>
            <w:gridSpan w:val="2"/>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561"/>
        </w:trPr>
        <w:tc>
          <w:tcPr>
            <w:tcW w:w="1180" w:type="dxa"/>
            <w:vAlign w:val="bottom"/>
          </w:tcPr>
          <w:p>
            <w:pPr>
              <w:ind w:left="20"/>
              <w:spacing w:after="0"/>
              <w:rPr>
                <w:sz w:val="20"/>
                <w:szCs w:val="20"/>
                <w:color w:val="auto"/>
              </w:rPr>
            </w:pPr>
            <w:r>
              <w:rPr>
                <w:rFonts w:ascii="Arial" w:cs="Arial" w:eastAsia="Arial" w:hAnsi="Arial"/>
                <w:sz w:val="18"/>
                <w:szCs w:val="18"/>
                <w:b w:val="1"/>
                <w:bCs w:val="1"/>
                <w:color w:val="auto"/>
              </w:rPr>
              <w:t>PART II</w:t>
            </w:r>
          </w:p>
        </w:tc>
        <w:tc>
          <w:tcPr>
            <w:tcW w:w="9140" w:type="dxa"/>
            <w:vAlign w:val="bottom"/>
            <w:gridSpan w:val="10"/>
          </w:tcPr>
          <w:p>
            <w:pPr>
              <w:spacing w:after="0"/>
              <w:rPr>
                <w:sz w:val="20"/>
                <w:szCs w:val="20"/>
                <w:color w:val="auto"/>
              </w:rPr>
            </w:pPr>
            <w:r>
              <w:rPr>
                <w:rFonts w:ascii="Arial" w:cs="Arial" w:eastAsia="Arial" w:hAnsi="Arial"/>
                <w:sz w:val="18"/>
                <w:szCs w:val="18"/>
                <w:b w:val="1"/>
                <w:bCs w:val="1"/>
                <w:color w:val="auto"/>
              </w:rPr>
              <w:t>OTHER INFORMATION</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180" w:type="dxa"/>
            <w:vAlign w:val="bottom"/>
          </w:tcPr>
          <w:p>
            <w:pPr>
              <w:ind w:left="20"/>
              <w:spacing w:after="0"/>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88"/>
              </w:rPr>
              <w:t>Legal Proceedings</w:t>
            </w:r>
          </w:p>
        </w:tc>
        <w:tc>
          <w:tcPr>
            <w:tcW w:w="7800" w:type="dxa"/>
            <w:vAlign w:val="bottom"/>
            <w:gridSpan w:val="6"/>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50"/>
        </w:trPr>
        <w:tc>
          <w:tcPr>
            <w:tcW w:w="1180" w:type="dxa"/>
            <w:vAlign w:val="bottom"/>
          </w:tcPr>
          <w:p>
            <w:pPr>
              <w:ind w:left="20"/>
              <w:spacing w:after="0"/>
              <w:rPr>
                <w:sz w:val="20"/>
                <w:szCs w:val="20"/>
                <w:color w:val="auto"/>
              </w:rPr>
            </w:pPr>
            <w:r>
              <w:rPr>
                <w:rFonts w:ascii="Arial" w:cs="Arial" w:eastAsia="Arial" w:hAnsi="Arial"/>
                <w:sz w:val="18"/>
                <w:szCs w:val="18"/>
                <w:color w:val="auto"/>
              </w:rPr>
              <w:t>Item 1A.</w:t>
            </w:r>
          </w:p>
        </w:tc>
        <w:tc>
          <w:tcPr>
            <w:tcW w:w="9140" w:type="dxa"/>
            <w:vAlign w:val="bottom"/>
            <w:gridSpan w:val="10"/>
          </w:tcPr>
          <w:p>
            <w:pPr>
              <w:spacing w:after="0"/>
              <w:rPr>
                <w:sz w:val="20"/>
                <w:szCs w:val="20"/>
                <w:color w:val="auto"/>
              </w:rPr>
            </w:pPr>
            <w:r>
              <w:rPr>
                <w:rFonts w:ascii="Arial" w:cs="Arial" w:eastAsia="Arial" w:hAnsi="Arial"/>
                <w:sz w:val="18"/>
                <w:szCs w:val="18"/>
                <w:color w:val="0000FF"/>
              </w:rPr>
              <w:t>Risk Factors</w:t>
            </w:r>
          </w:p>
        </w:tc>
        <w:tc>
          <w:tcPr>
            <w:tcW w:w="92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920" w:type="dxa"/>
            <w:vAlign w:val="bottom"/>
            <w:gridSpan w:val="4"/>
          </w:tcPr>
          <w:p>
            <w:pPr>
              <w:spacing w:after="0" w:line="20" w:lineRule="exact"/>
              <w:rPr>
                <w:sz w:val="1"/>
                <w:szCs w:val="1"/>
                <w:color w:val="auto"/>
              </w:rPr>
            </w:pPr>
          </w:p>
        </w:tc>
        <w:tc>
          <w:tcPr>
            <w:tcW w:w="632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80" w:type="dxa"/>
            <w:vAlign w:val="bottom"/>
          </w:tcPr>
          <w:p>
            <w:pPr>
              <w:ind w:left="20"/>
              <w:spacing w:after="0"/>
              <w:rPr>
                <w:sz w:val="20"/>
                <w:szCs w:val="20"/>
                <w:color w:val="auto"/>
              </w:rPr>
            </w:pPr>
            <w:r>
              <w:rPr>
                <w:rFonts w:ascii="Arial" w:cs="Arial" w:eastAsia="Arial" w:hAnsi="Arial"/>
                <w:sz w:val="18"/>
                <w:szCs w:val="18"/>
                <w:color w:val="auto"/>
              </w:rPr>
              <w:t>Item 2.</w:t>
            </w:r>
          </w:p>
        </w:tc>
        <w:tc>
          <w:tcPr>
            <w:tcW w:w="9140" w:type="dxa"/>
            <w:vAlign w:val="bottom"/>
            <w:gridSpan w:val="10"/>
          </w:tcPr>
          <w:p>
            <w:pPr>
              <w:spacing w:after="0"/>
              <w:rPr>
                <w:sz w:val="20"/>
                <w:szCs w:val="20"/>
                <w:color w:val="auto"/>
              </w:rPr>
            </w:pPr>
            <w:r>
              <w:rPr>
                <w:rFonts w:ascii="Arial" w:cs="Arial" w:eastAsia="Arial" w:hAnsi="Arial"/>
                <w:sz w:val="18"/>
                <w:szCs w:val="18"/>
                <w:color w:val="0000FF"/>
              </w:rPr>
              <w:t>Unregistered Sales of Equity Securities</w:t>
            </w:r>
          </w:p>
        </w:tc>
        <w:tc>
          <w:tcPr>
            <w:tcW w:w="92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50"/>
        </w:trPr>
        <w:tc>
          <w:tcPr>
            <w:tcW w:w="1180" w:type="dxa"/>
            <w:vAlign w:val="bottom"/>
          </w:tcPr>
          <w:p>
            <w:pPr>
              <w:ind w:left="20"/>
              <w:spacing w:after="0"/>
              <w:rPr>
                <w:sz w:val="20"/>
                <w:szCs w:val="20"/>
                <w:color w:val="auto"/>
              </w:rPr>
            </w:pPr>
            <w:r>
              <w:rPr>
                <w:rFonts w:ascii="Arial" w:cs="Arial" w:eastAsia="Arial" w:hAnsi="Arial"/>
                <w:sz w:val="18"/>
                <w:szCs w:val="18"/>
                <w:color w:val="auto"/>
              </w:rPr>
              <w:t>Item 6.</w:t>
            </w:r>
          </w:p>
        </w:tc>
        <w:tc>
          <w:tcPr>
            <w:tcW w:w="2820" w:type="dxa"/>
            <w:vAlign w:val="bottom"/>
            <w:tcBorders>
              <w:top w:val="single" w:sz="8" w:color="0000FF"/>
            </w:tcBorders>
            <w:gridSpan w:val="7"/>
          </w:tcPr>
          <w:p>
            <w:pPr>
              <w:spacing w:after="0"/>
              <w:rPr>
                <w:sz w:val="20"/>
                <w:szCs w:val="20"/>
                <w:color w:val="auto"/>
              </w:rPr>
            </w:pPr>
            <w:r>
              <w:rPr>
                <w:rFonts w:ascii="Arial" w:cs="Arial" w:eastAsia="Arial" w:hAnsi="Arial"/>
                <w:sz w:val="18"/>
                <w:szCs w:val="18"/>
                <w:color w:val="0000FF"/>
              </w:rPr>
              <w:t>Exhibits</w:t>
            </w:r>
          </w:p>
        </w:tc>
        <w:tc>
          <w:tcPr>
            <w:tcW w:w="6320" w:type="dxa"/>
            <w:vAlign w:val="bottom"/>
            <w:gridSpan w:val="3"/>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380" w:type="dxa"/>
            <w:vAlign w:val="bottom"/>
            <w:gridSpan w:val="8"/>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80" w:type="dxa"/>
            <w:vAlign w:val="bottom"/>
          </w:tcPr>
          <w:p>
            <w:pPr>
              <w:spacing w:after="0"/>
              <w:rPr>
                <w:sz w:val="21"/>
                <w:szCs w:val="21"/>
                <w:color w:val="auto"/>
              </w:rPr>
            </w:pPr>
          </w:p>
        </w:tc>
        <w:tc>
          <w:tcPr>
            <w:tcW w:w="9140" w:type="dxa"/>
            <w:vAlign w:val="bottom"/>
            <w:gridSpan w:val="10"/>
          </w:tcPr>
          <w:p>
            <w:pPr>
              <w:spacing w:after="0"/>
              <w:rPr>
                <w:sz w:val="20"/>
                <w:szCs w:val="20"/>
                <w:color w:val="auto"/>
              </w:rPr>
            </w:pPr>
            <w:r>
              <w:rPr>
                <w:rFonts w:ascii="Arial" w:cs="Arial" w:eastAsia="Arial" w:hAnsi="Arial"/>
                <w:sz w:val="18"/>
                <w:szCs w:val="18"/>
                <w:color w:val="0000FF"/>
              </w:rPr>
              <w:t>Signatures</w:t>
            </w:r>
          </w:p>
        </w:tc>
        <w:tc>
          <w:tcPr>
            <w:tcW w:w="92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952"/>
        </w:trPr>
        <w:tc>
          <w:tcPr>
            <w:tcW w:w="1180" w:type="dxa"/>
            <w:vAlign w:val="bottom"/>
          </w:tcPr>
          <w:p>
            <w:pPr>
              <w:spacing w:after="0"/>
              <w:rPr>
                <w:sz w:val="24"/>
                <w:szCs w:val="24"/>
                <w:color w:val="auto"/>
              </w:rPr>
            </w:pPr>
          </w:p>
        </w:tc>
        <w:tc>
          <w:tcPr>
            <w:tcW w:w="760" w:type="dxa"/>
            <w:vAlign w:val="bottom"/>
            <w:tcBorders>
              <w:top w:val="single" w:sz="8" w:color="0000FF"/>
            </w:tcBorders>
            <w:gridSpan w:val="2"/>
          </w:tcPr>
          <w:p>
            <w:pPr>
              <w:spacing w:after="0"/>
              <w:rPr>
                <w:sz w:val="24"/>
                <w:szCs w:val="24"/>
                <w:color w:val="auto"/>
              </w:rPr>
            </w:pPr>
          </w:p>
        </w:tc>
        <w:tc>
          <w:tcPr>
            <w:tcW w:w="5680" w:type="dxa"/>
            <w:vAlign w:val="bottom"/>
            <w:gridSpan w:val="7"/>
          </w:tcPr>
          <w:p>
            <w:pPr>
              <w:jc w:val="right"/>
              <w:ind w:right="1960"/>
              <w:spacing w:after="0"/>
              <w:rPr>
                <w:sz w:val="20"/>
                <w:szCs w:val="20"/>
                <w:color w:val="auto"/>
              </w:rPr>
            </w:pPr>
            <w:r>
              <w:rPr>
                <w:rFonts w:ascii="Arial" w:cs="Arial" w:eastAsia="Arial" w:hAnsi="Arial"/>
                <w:sz w:val="18"/>
                <w:szCs w:val="18"/>
                <w:color w:val="auto"/>
              </w:rPr>
              <w:t>2</w:t>
            </w:r>
          </w:p>
        </w:tc>
        <w:tc>
          <w:tcPr>
            <w:tcW w:w="2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27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11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DAVE &amp; BUSTER’S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amounts)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center"/>
              <w:ind w:right="132"/>
              <w:spacing w:after="0"/>
              <w:rPr>
                <w:sz w:val="20"/>
                <w:szCs w:val="20"/>
                <w:color w:val="auto"/>
              </w:rPr>
            </w:pPr>
            <w:r>
              <w:rPr>
                <w:rFonts w:ascii="Arial" w:cs="Arial" w:eastAsia="Arial" w:hAnsi="Arial"/>
                <w:sz w:val="14"/>
                <w:szCs w:val="14"/>
                <w:b w:val="1"/>
                <w:bCs w:val="1"/>
                <w:color w:val="auto"/>
                <w:w w:val="97"/>
              </w:rPr>
              <w:t>April 30,</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center"/>
              <w:ind w:right="152"/>
              <w:spacing w:after="0"/>
              <w:rPr>
                <w:sz w:val="20"/>
                <w:szCs w:val="20"/>
                <w:color w:val="auto"/>
              </w:rPr>
            </w:pPr>
            <w:r>
              <w:rPr>
                <w:rFonts w:ascii="Arial" w:cs="Arial" w:eastAsia="Arial" w:hAnsi="Arial"/>
                <w:sz w:val="14"/>
                <w:szCs w:val="14"/>
                <w:b w:val="1"/>
                <w:bCs w:val="1"/>
                <w:color w:val="auto"/>
                <w:w w:val="93"/>
              </w:rPr>
              <w:t>January 29,</w:t>
            </w:r>
          </w:p>
        </w:tc>
      </w:tr>
      <w:tr>
        <w:trPr>
          <w:trHeight w:val="186"/>
        </w:trPr>
        <w:tc>
          <w:tcPr>
            <w:tcW w:w="8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center"/>
              <w:ind w:right="132"/>
              <w:spacing w:after="0"/>
              <w:rPr>
                <w:sz w:val="20"/>
                <w:szCs w:val="20"/>
                <w:color w:val="auto"/>
              </w:rPr>
            </w:pPr>
            <w:r>
              <w:rPr>
                <w:rFonts w:ascii="Arial" w:cs="Arial" w:eastAsia="Arial" w:hAnsi="Arial"/>
                <w:sz w:val="14"/>
                <w:szCs w:val="14"/>
                <w:b w:val="1"/>
                <w:bCs w:val="1"/>
                <w:color w:val="auto"/>
                <w:w w:val="96"/>
              </w:rPr>
              <w:t>2023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center"/>
              <w:ind w:right="152"/>
              <w:spacing w:after="0"/>
              <w:rPr>
                <w:sz w:val="20"/>
                <w:szCs w:val="20"/>
                <w:color w:val="auto"/>
              </w:rPr>
            </w:pPr>
            <w:r>
              <w:rPr>
                <w:rFonts w:ascii="Arial" w:cs="Arial" w:eastAsia="Arial" w:hAnsi="Arial"/>
                <w:sz w:val="14"/>
                <w:szCs w:val="14"/>
                <w:b w:val="1"/>
                <w:bCs w:val="1"/>
                <w:color w:val="auto"/>
                <w:w w:val="89"/>
              </w:rPr>
              <w:t>2023</w:t>
            </w:r>
          </w:p>
        </w:tc>
      </w:tr>
      <w:tr>
        <w:trPr>
          <w:trHeight w:val="39"/>
        </w:trPr>
        <w:tc>
          <w:tcPr>
            <w:tcW w:w="816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184"/>
        </w:trPr>
        <w:tc>
          <w:tcPr>
            <w:tcW w:w="8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center"/>
              <w:ind w:right="132"/>
              <w:spacing w:after="0"/>
              <w:rPr>
                <w:sz w:val="20"/>
                <w:szCs w:val="20"/>
                <w:color w:val="auto"/>
              </w:rPr>
            </w:pPr>
            <w:r>
              <w:rPr>
                <w:rFonts w:ascii="Arial" w:cs="Arial" w:eastAsia="Arial" w:hAnsi="Arial"/>
                <w:sz w:val="14"/>
                <w:szCs w:val="14"/>
                <w:b w:val="1"/>
                <w:bCs w:val="1"/>
                <w:color w:val="auto"/>
                <w:w w:val="95"/>
              </w:rPr>
              <w:t>(Unaudited)</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center"/>
              <w:ind w:right="152"/>
              <w:spacing w:after="0"/>
              <w:rPr>
                <w:sz w:val="20"/>
                <w:szCs w:val="20"/>
                <w:color w:val="auto"/>
              </w:rPr>
            </w:pPr>
            <w:r>
              <w:rPr>
                <w:rFonts w:ascii="Arial" w:cs="Arial" w:eastAsia="Arial" w:hAnsi="Arial"/>
                <w:sz w:val="14"/>
                <w:szCs w:val="14"/>
                <w:b w:val="1"/>
                <w:bCs w:val="1"/>
                <w:color w:val="auto"/>
                <w:w w:val="97"/>
              </w:rPr>
              <w:t>(Audited)</w:t>
            </w:r>
          </w:p>
        </w:tc>
      </w:tr>
      <w:tr>
        <w:trPr>
          <w:trHeight w:val="269"/>
        </w:trPr>
        <w:tc>
          <w:tcPr>
            <w:tcW w:w="8160" w:type="dxa"/>
            <w:vAlign w:val="bottom"/>
          </w:tcPr>
          <w:p>
            <w:pPr>
              <w:ind w:left="3740"/>
              <w:spacing w:after="0"/>
              <w:rPr>
                <w:sz w:val="20"/>
                <w:szCs w:val="20"/>
                <w:color w:val="auto"/>
              </w:rPr>
            </w:pPr>
            <w:r>
              <w:rPr>
                <w:rFonts w:ascii="Arial" w:cs="Arial" w:eastAsia="Arial" w:hAnsi="Arial"/>
                <w:sz w:val="18"/>
                <w:szCs w:val="18"/>
                <w:b w:val="1"/>
                <w:bCs w:val="1"/>
                <w:color w:val="auto"/>
              </w:rPr>
              <w:t>ASSETS</w:t>
            </w:r>
          </w:p>
        </w:tc>
        <w:tc>
          <w:tcPr>
            <w:tcW w:w="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
        </w:trPr>
        <w:tc>
          <w:tcPr>
            <w:tcW w:w="8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816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91.5</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181.6</w:t>
            </w:r>
          </w:p>
        </w:tc>
      </w:tr>
      <w:tr>
        <w:trPr>
          <w:trHeight w:val="27"/>
        </w:trPr>
        <w:tc>
          <w:tcPr>
            <w:tcW w:w="8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w:t>
            </w:r>
          </w:p>
        </w:tc>
      </w:tr>
      <w:tr>
        <w:trPr>
          <w:trHeight w:val="243"/>
        </w:trPr>
        <w:tc>
          <w:tcPr>
            <w:tcW w:w="8160" w:type="dxa"/>
            <w:vAlign w:val="bottom"/>
          </w:tcPr>
          <w:p>
            <w:pPr>
              <w:ind w:left="180"/>
              <w:spacing w:after="0"/>
              <w:rPr>
                <w:sz w:val="20"/>
                <w:szCs w:val="20"/>
                <w:color w:val="auto"/>
              </w:rPr>
            </w:pPr>
            <w:r>
              <w:rPr>
                <w:rFonts w:ascii="Arial" w:cs="Arial" w:eastAsia="Arial" w:hAnsi="Arial"/>
                <w:sz w:val="18"/>
                <w:szCs w:val="18"/>
                <w:color w:val="auto"/>
              </w:rPr>
              <w:t>Prepaid expenses</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19.5</w:t>
            </w:r>
          </w:p>
        </w:tc>
      </w:tr>
      <w:tr>
        <w:trPr>
          <w:trHeight w:val="27"/>
        </w:trPr>
        <w:tc>
          <w:tcPr>
            <w:tcW w:w="8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taxes receivable</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w:t>
            </w:r>
          </w:p>
        </w:tc>
      </w:tr>
      <w:tr>
        <w:trPr>
          <w:trHeight w:val="263"/>
        </w:trPr>
        <w:tc>
          <w:tcPr>
            <w:tcW w:w="816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w:t>
            </w:r>
          </w:p>
        </w:tc>
      </w:tr>
      <w:tr>
        <w:trPr>
          <w:trHeight w:val="250"/>
        </w:trPr>
        <w:tc>
          <w:tcPr>
            <w:tcW w:w="8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293.7</w:t>
            </w:r>
          </w:p>
        </w:tc>
      </w:tr>
      <w:tr>
        <w:trPr>
          <w:trHeight w:val="229"/>
        </w:trPr>
        <w:tc>
          <w:tcPr>
            <w:tcW w:w="8160" w:type="dxa"/>
            <w:vAlign w:val="bottom"/>
          </w:tcPr>
          <w:p>
            <w:pPr>
              <w:ind w:left="20"/>
              <w:spacing w:after="0"/>
              <w:rPr>
                <w:sz w:val="20"/>
                <w:szCs w:val="20"/>
                <w:color w:val="auto"/>
              </w:rPr>
            </w:pPr>
            <w:r>
              <w:rPr>
                <w:rFonts w:ascii="Arial" w:cs="Arial" w:eastAsia="Arial" w:hAnsi="Arial"/>
                <w:sz w:val="18"/>
                <w:szCs w:val="18"/>
                <w:color w:val="auto"/>
                <w:w w:val="94"/>
              </w:rPr>
              <w:t>Property and equipment (net of $1,088.8 and $1,043.7 of accumulated depreciation as of April 30, 2023 and</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8160" w:type="dxa"/>
            <w:vAlign w:val="bottom"/>
          </w:tcPr>
          <w:p>
            <w:pPr>
              <w:ind w:left="20"/>
              <w:spacing w:after="0"/>
              <w:rPr>
                <w:sz w:val="20"/>
                <w:szCs w:val="20"/>
                <w:color w:val="auto"/>
              </w:rPr>
            </w:pPr>
            <w:r>
              <w:rPr>
                <w:rFonts w:ascii="Arial" w:cs="Arial" w:eastAsia="Arial" w:hAnsi="Arial"/>
                <w:sz w:val="18"/>
                <w:szCs w:val="18"/>
                <w:color w:val="auto"/>
              </w:rPr>
              <w:t>January 29, 2023, respectively)</w:t>
            </w: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1,185.5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1,180.2</w:t>
            </w:r>
          </w:p>
        </w:tc>
      </w:tr>
      <w:tr>
        <w:trPr>
          <w:trHeight w:val="27"/>
        </w:trPr>
        <w:tc>
          <w:tcPr>
            <w:tcW w:w="8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right of use assets, net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1,352.4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1,333.6</w:t>
            </w:r>
          </w:p>
        </w:tc>
      </w:tr>
      <w:tr>
        <w:trPr>
          <w:trHeight w:val="243"/>
        </w:trPr>
        <w:tc>
          <w:tcPr>
            <w:tcW w:w="8160" w:type="dxa"/>
            <w:vAlign w:val="bottom"/>
          </w:tcPr>
          <w:p>
            <w:pPr>
              <w:ind w:left="20"/>
              <w:spacing w:after="0"/>
              <w:rPr>
                <w:sz w:val="20"/>
                <w:szCs w:val="20"/>
                <w:color w:val="auto"/>
              </w:rPr>
            </w:pPr>
            <w:r>
              <w:rPr>
                <w:rFonts w:ascii="Arial" w:cs="Arial" w:eastAsia="Arial" w:hAnsi="Arial"/>
                <w:sz w:val="18"/>
                <w:szCs w:val="18"/>
                <w:color w:val="auto"/>
              </w:rPr>
              <w:t>Deferred tax assets</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7"/>
        </w:trPr>
        <w:tc>
          <w:tcPr>
            <w:tcW w:w="8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Tradenames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178.2</w:t>
            </w:r>
          </w:p>
        </w:tc>
      </w:tr>
      <w:tr>
        <w:trPr>
          <w:trHeight w:val="243"/>
        </w:trPr>
        <w:tc>
          <w:tcPr>
            <w:tcW w:w="8160" w:type="dxa"/>
            <w:vAlign w:val="bottom"/>
          </w:tcPr>
          <w:p>
            <w:pPr>
              <w:ind w:left="20"/>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742.1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744.5</w:t>
            </w:r>
          </w:p>
        </w:tc>
      </w:tr>
      <w:tr>
        <w:trPr>
          <w:trHeight w:val="27"/>
        </w:trPr>
        <w:tc>
          <w:tcPr>
            <w:tcW w:w="8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64"/>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 and deferred charges</w:t>
            </w:r>
          </w:p>
        </w:tc>
        <w:tc>
          <w:tcPr>
            <w:tcW w:w="24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w:t>
            </w:r>
          </w:p>
        </w:tc>
      </w:tr>
      <w:tr>
        <w:trPr>
          <w:trHeight w:val="270"/>
        </w:trPr>
        <w:tc>
          <w:tcPr>
            <w:tcW w:w="8160" w:type="dxa"/>
            <w:vAlign w:val="bottom"/>
          </w:tcPr>
          <w:p>
            <w:pPr>
              <w:ind w:left="180"/>
              <w:spacing w:after="0"/>
              <w:rPr>
                <w:sz w:val="20"/>
                <w:szCs w:val="20"/>
                <w:color w:val="auto"/>
              </w:rPr>
            </w:pPr>
            <w:r>
              <w:rPr>
                <w:rFonts w:ascii="Arial" w:cs="Arial" w:eastAsia="Arial" w:hAnsi="Arial"/>
                <w:sz w:val="18"/>
                <w:szCs w:val="18"/>
                <w:color w:val="auto"/>
              </w:rPr>
              <w:t>Total assets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3,694.4</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3,761.0</w:t>
            </w:r>
          </w:p>
        </w:tc>
      </w:tr>
      <w:tr>
        <w:trPr>
          <w:trHeight w:val="20"/>
        </w:trPr>
        <w:tc>
          <w:tcPr>
            <w:tcW w:w="816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8160" w:type="dxa"/>
            <w:vAlign w:val="bottom"/>
            <w:tcBorders>
              <w:bottom w:val="single" w:sz="8" w:color="CCEEFF"/>
            </w:tcBorders>
            <w:shd w:val="clear" w:color="auto" w:fill="CCEEFF"/>
          </w:tcPr>
          <w:p>
            <w:pPr>
              <w:ind w:left="2140"/>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r>
      <w:tr>
        <w:trPr>
          <w:trHeight w:val="243"/>
        </w:trPr>
        <w:tc>
          <w:tcPr>
            <w:tcW w:w="81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8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installments of long-term debt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43"/>
        </w:trPr>
        <w:tc>
          <w:tcPr>
            <w:tcW w:w="816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64.0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84.7</w:t>
            </w:r>
          </w:p>
        </w:tc>
      </w:tr>
      <w:tr>
        <w:trPr>
          <w:trHeight w:val="27"/>
        </w:trPr>
        <w:tc>
          <w:tcPr>
            <w:tcW w:w="8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342.9</w:t>
            </w:r>
          </w:p>
        </w:tc>
      </w:tr>
      <w:tr>
        <w:trPr>
          <w:trHeight w:val="264"/>
        </w:trPr>
        <w:tc>
          <w:tcPr>
            <w:tcW w:w="8160" w:type="dxa"/>
            <w:vAlign w:val="bottom"/>
          </w:tcPr>
          <w:p>
            <w:pPr>
              <w:ind w:left="180"/>
              <w:spacing w:after="0"/>
              <w:rPr>
                <w:sz w:val="20"/>
                <w:szCs w:val="20"/>
                <w:color w:val="auto"/>
              </w:rPr>
            </w:pPr>
            <w:r>
              <w:rPr>
                <w:rFonts w:ascii="Arial" w:cs="Arial" w:eastAsia="Arial" w:hAnsi="Arial"/>
                <w:sz w:val="18"/>
                <w:szCs w:val="18"/>
                <w:color w:val="auto"/>
              </w:rPr>
              <w:t>Income taxes payable</w:t>
            </w: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r>
      <w:tr>
        <w:trPr>
          <w:trHeight w:val="250"/>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438.0</w:t>
            </w:r>
          </w:p>
        </w:tc>
      </w:tr>
      <w:tr>
        <w:trPr>
          <w:trHeight w:val="243"/>
        </w:trPr>
        <w:tc>
          <w:tcPr>
            <w:tcW w:w="816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78.3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66.3</w:t>
            </w:r>
          </w:p>
        </w:tc>
      </w:tr>
      <w:tr>
        <w:trPr>
          <w:trHeight w:val="27"/>
        </w:trPr>
        <w:tc>
          <w:tcPr>
            <w:tcW w:w="8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1,583.1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1,567.8</w:t>
            </w:r>
          </w:p>
        </w:tc>
      </w:tr>
      <w:tr>
        <w:trPr>
          <w:trHeight w:val="243"/>
        </w:trPr>
        <w:tc>
          <w:tcPr>
            <w:tcW w:w="816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42.5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55.7</w:t>
            </w:r>
          </w:p>
        </w:tc>
      </w:tr>
      <w:tr>
        <w:trPr>
          <w:trHeight w:val="27"/>
        </w:trPr>
        <w:tc>
          <w:tcPr>
            <w:tcW w:w="8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 net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1,221.1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1,222.7</w:t>
            </w:r>
          </w:p>
        </w:tc>
      </w:tr>
      <w:tr>
        <w:trPr>
          <w:trHeight w:val="243"/>
        </w:trPr>
        <w:tc>
          <w:tcPr>
            <w:tcW w:w="8160" w:type="dxa"/>
            <w:vAlign w:val="bottom"/>
          </w:tcPr>
          <w:p>
            <w:pPr>
              <w:ind w:left="20"/>
              <w:spacing w:after="0"/>
              <w:rPr>
                <w:sz w:val="20"/>
                <w:szCs w:val="20"/>
                <w:color w:val="auto"/>
              </w:rPr>
            </w:pPr>
            <w:r>
              <w:rPr>
                <w:rFonts w:ascii="Arial" w:cs="Arial" w:eastAsia="Arial" w:hAnsi="Arial"/>
                <w:sz w:val="18"/>
                <w:szCs w:val="18"/>
                <w:color w:val="auto"/>
              </w:rPr>
              <w:t>Commitments and contingencies</w:t>
            </w: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8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29"/>
        </w:trPr>
        <w:tc>
          <w:tcPr>
            <w:tcW w:w="8160" w:type="dxa"/>
            <w:vAlign w:val="bottom"/>
          </w:tcPr>
          <w:p>
            <w:pPr>
              <w:ind w:left="180"/>
              <w:spacing w:after="0"/>
              <w:rPr>
                <w:sz w:val="20"/>
                <w:szCs w:val="20"/>
                <w:color w:val="auto"/>
              </w:rPr>
            </w:pPr>
            <w:r>
              <w:rPr>
                <w:rFonts w:ascii="Arial" w:cs="Arial" w:eastAsia="Arial" w:hAnsi="Arial"/>
                <w:sz w:val="18"/>
                <w:szCs w:val="18"/>
                <w:color w:val="auto"/>
                <w:w w:val="91"/>
              </w:rPr>
              <w:t>Common stock, par value $0.01; authorized: 400.00 shares; issued: 62.51 shares at April 30, 2023 and 62.42</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8160" w:type="dxa"/>
            <w:vAlign w:val="bottom"/>
          </w:tcPr>
          <w:p>
            <w:pPr>
              <w:ind w:left="360"/>
              <w:spacing w:after="0"/>
              <w:rPr>
                <w:sz w:val="20"/>
                <w:szCs w:val="20"/>
                <w:color w:val="auto"/>
              </w:rPr>
            </w:pPr>
            <w:r>
              <w:rPr>
                <w:rFonts w:ascii="Arial" w:cs="Arial" w:eastAsia="Arial" w:hAnsi="Arial"/>
                <w:sz w:val="18"/>
                <w:szCs w:val="18"/>
                <w:color w:val="auto"/>
              </w:rPr>
              <w:t>at January 29, 2023; outstanding: 44.88 shares at April 30, 2023 and 48.41 at January 29, 2023</w:t>
            </w: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7"/>
        </w:trPr>
        <w:tc>
          <w:tcPr>
            <w:tcW w:w="8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Preferred stock, 50.00 authorized; none issued</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8160" w:type="dxa"/>
            <w:vAlign w:val="bottom"/>
          </w:tcPr>
          <w:p>
            <w:pPr>
              <w:ind w:left="180"/>
              <w:spacing w:after="0"/>
              <w:rPr>
                <w:sz w:val="20"/>
                <w:szCs w:val="20"/>
                <w:color w:val="auto"/>
              </w:rPr>
            </w:pPr>
            <w:r>
              <w:rPr>
                <w:rFonts w:ascii="Arial" w:cs="Arial" w:eastAsia="Arial" w:hAnsi="Arial"/>
                <w:sz w:val="18"/>
                <w:szCs w:val="18"/>
                <w:color w:val="auto"/>
              </w:rPr>
              <w:t>Paid-in capital</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584.3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577.5</w:t>
            </w:r>
          </w:p>
        </w:tc>
      </w:tr>
      <w:tr>
        <w:trPr>
          <w:trHeight w:val="27"/>
        </w:trPr>
        <w:tc>
          <w:tcPr>
            <w:tcW w:w="8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Treasury stock, 17.63 and 14.01 shares as of April 30, 2023 and January 29, 2023, respectively</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(766.5)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(639.0)</w:t>
            </w:r>
          </w:p>
        </w:tc>
      </w:tr>
      <w:tr>
        <w:trPr>
          <w:trHeight w:val="243"/>
        </w:trPr>
        <w:tc>
          <w:tcPr>
            <w:tcW w:w="8160" w:type="dxa"/>
            <w:vAlign w:val="bottom"/>
          </w:tcPr>
          <w:p>
            <w:pPr>
              <w:ind w:left="18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(0.9)</w:t>
            </w:r>
          </w:p>
        </w:tc>
      </w:tr>
      <w:tr>
        <w:trPr>
          <w:trHeight w:val="27"/>
        </w:trPr>
        <w:tc>
          <w:tcPr>
            <w:tcW w:w="8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64"/>
        </w:trPr>
        <w:tc>
          <w:tcPr>
            <w:tcW w:w="8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Retained earnings</w:t>
            </w:r>
          </w:p>
        </w:tc>
        <w:tc>
          <w:tcPr>
            <w:tcW w:w="24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472.3</w:t>
            </w:r>
          </w:p>
        </w:tc>
      </w:tr>
      <w:tr>
        <w:trPr>
          <w:trHeight w:val="263"/>
        </w:trPr>
        <w:tc>
          <w:tcPr>
            <w:tcW w:w="8160" w:type="dxa"/>
            <w:vAlign w:val="bottom"/>
          </w:tcPr>
          <w:p>
            <w:pPr>
              <w:ind w:left="18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359.9</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410.5</w:t>
            </w:r>
          </w:p>
        </w:tc>
      </w:tr>
      <w:tr>
        <w:trPr>
          <w:trHeight w:val="290"/>
        </w:trPr>
        <w:tc>
          <w:tcPr>
            <w:tcW w:w="8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3,694.4</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3,761.0</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240"/>
          </w:cols>
          <w:pgMar w:left="320" w:top="125" w:right="339" w:bottom="116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162"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left="340" w:right="2260"/>
        <w:spacing w:after="0" w:line="266" w:lineRule="auto"/>
        <w:rPr>
          <w:sz w:val="20"/>
          <w:szCs w:val="20"/>
          <w:color w:val="auto"/>
        </w:rPr>
      </w:pPr>
      <w:r>
        <w:rPr>
          <w:rFonts w:ascii="Arial" w:cs="Arial" w:eastAsia="Arial" w:hAnsi="Arial"/>
          <w:sz w:val="18"/>
          <w:szCs w:val="18"/>
          <w:b w:val="1"/>
          <w:bCs w:val="1"/>
          <w:color w:val="auto"/>
        </w:rPr>
        <w:t xml:space="preserve">DAVE &amp; BUSTER’S ENTERTAINMENT, INC. CONSOLIDATED STATEMENTS OF COMPREHENSIVE INCOME (UNAUDITED) </w:t>
      </w:r>
      <w:r>
        <w:rPr>
          <w:rFonts w:ascii="Arial" w:cs="Arial" w:eastAsia="Arial" w:hAnsi="Arial"/>
          <w:sz w:val="18"/>
          <w:szCs w:val="18"/>
          <w:color w:val="auto"/>
        </w:rPr>
        <w:t>(in millions, except per share amounts)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480" w:type="dxa"/>
            <w:vAlign w:val="bottom"/>
          </w:tcPr>
          <w:p>
            <w:pPr>
              <w:spacing w:after="0"/>
              <w:rPr>
                <w:sz w:val="15"/>
                <w:szCs w:val="15"/>
                <w:color w:val="auto"/>
              </w:rPr>
            </w:pPr>
          </w:p>
        </w:tc>
        <w:tc>
          <w:tcPr>
            <w:tcW w:w="1820" w:type="dxa"/>
            <w:vAlign w:val="bottom"/>
            <w:gridSpan w:val="2"/>
          </w:tcPr>
          <w:p>
            <w:pPr>
              <w:ind w:left="40"/>
              <w:spacing w:after="0"/>
              <w:rPr>
                <w:sz w:val="20"/>
                <w:szCs w:val="20"/>
                <w:color w:val="auto"/>
              </w:rPr>
            </w:pPr>
            <w:r>
              <w:rPr>
                <w:rFonts w:ascii="Arial" w:cs="Arial" w:eastAsia="Arial" w:hAnsi="Arial"/>
                <w:sz w:val="14"/>
                <w:szCs w:val="14"/>
                <w:b w:val="1"/>
                <w:bCs w:val="1"/>
                <w:color w:val="auto"/>
                <w:w w:val="94"/>
              </w:rPr>
              <w:t>Thirteen Weeks Ended April</w:t>
            </w:r>
          </w:p>
        </w:tc>
        <w:tc>
          <w:tcPr>
            <w:tcW w:w="120" w:type="dxa"/>
            <w:vAlign w:val="bottom"/>
          </w:tcPr>
          <w:p>
            <w:pPr>
              <w:spacing w:after="0"/>
              <w:rPr>
                <w:sz w:val="15"/>
                <w:szCs w:val="15"/>
                <w:color w:val="auto"/>
              </w:rPr>
            </w:pPr>
          </w:p>
        </w:tc>
        <w:tc>
          <w:tcPr>
            <w:tcW w:w="182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Thirteen Weeks Ended May</w:t>
            </w:r>
          </w:p>
        </w:tc>
      </w:tr>
      <w:tr>
        <w:trPr>
          <w:trHeight w:val="186"/>
        </w:trPr>
        <w:tc>
          <w:tcPr>
            <w:tcW w:w="74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20" w:type="dxa"/>
            <w:vAlign w:val="bottom"/>
          </w:tcPr>
          <w:p>
            <w:pPr>
              <w:jc w:val="right"/>
              <w:ind w:right="551"/>
              <w:spacing w:after="0"/>
              <w:rPr>
                <w:sz w:val="20"/>
                <w:szCs w:val="20"/>
                <w:color w:val="auto"/>
              </w:rPr>
            </w:pPr>
            <w:r>
              <w:rPr>
                <w:rFonts w:ascii="Arial" w:cs="Arial" w:eastAsia="Arial" w:hAnsi="Arial"/>
                <w:sz w:val="14"/>
                <w:szCs w:val="14"/>
                <w:b w:val="1"/>
                <w:bCs w:val="1"/>
                <w:color w:val="auto"/>
              </w:rPr>
              <w:t>30, 2023</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20" w:type="dxa"/>
            <w:vAlign w:val="bottom"/>
          </w:tcPr>
          <w:p>
            <w:pPr>
              <w:jc w:val="right"/>
              <w:ind w:right="611"/>
              <w:spacing w:after="0"/>
              <w:rPr>
                <w:sz w:val="20"/>
                <w:szCs w:val="20"/>
                <w:color w:val="auto"/>
              </w:rPr>
            </w:pPr>
            <w:r>
              <w:rPr>
                <w:rFonts w:ascii="Arial" w:cs="Arial" w:eastAsia="Arial" w:hAnsi="Arial"/>
                <w:sz w:val="14"/>
                <w:szCs w:val="14"/>
                <w:b w:val="1"/>
                <w:bCs w:val="1"/>
                <w:color w:val="auto"/>
              </w:rPr>
              <w:t>1, 2022</w:t>
            </w:r>
          </w:p>
        </w:tc>
      </w:tr>
      <w:tr>
        <w:trPr>
          <w:trHeight w:val="39"/>
        </w:trPr>
        <w:tc>
          <w:tcPr>
            <w:tcW w:w="748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r>
      <w:tr>
        <w:trPr>
          <w:trHeight w:val="244"/>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Entertainment revenues</w:t>
            </w: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393.1</w:t>
            </w:r>
          </w:p>
        </w:tc>
        <w:tc>
          <w:tcPr>
            <w:tcW w:w="520" w:type="dxa"/>
            <w:vAlign w:val="bottom"/>
            <w:tcBorders>
              <w:bottom w:val="single" w:sz="8" w:color="CCEEFF"/>
            </w:tcBorders>
            <w:gridSpan w:val="2"/>
            <w:shd w:val="clear" w:color="auto" w:fill="CCEEFF"/>
          </w:tcPr>
          <w:p>
            <w:pPr>
              <w:jc w:val="right"/>
              <w:ind w:right="219"/>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299.2</w:t>
            </w:r>
          </w:p>
        </w:tc>
      </w:tr>
      <w:tr>
        <w:trPr>
          <w:trHeight w:val="250"/>
        </w:trPr>
        <w:tc>
          <w:tcPr>
            <w:tcW w:w="7480" w:type="dxa"/>
            <w:vAlign w:val="bottom"/>
          </w:tcPr>
          <w:p>
            <w:pPr>
              <w:ind w:left="20"/>
              <w:spacing w:after="0"/>
              <w:rPr>
                <w:sz w:val="20"/>
                <w:szCs w:val="20"/>
                <w:color w:val="auto"/>
              </w:rPr>
            </w:pPr>
            <w:r>
              <w:rPr>
                <w:rFonts w:ascii="Arial" w:cs="Arial" w:eastAsia="Arial" w:hAnsi="Arial"/>
                <w:sz w:val="18"/>
                <w:szCs w:val="18"/>
                <w:color w:val="auto"/>
              </w:rPr>
              <w:t>Food and beverage revenues</w:t>
            </w:r>
          </w:p>
        </w:tc>
        <w:tc>
          <w:tcPr>
            <w:tcW w:w="4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204.2</w:t>
            </w:r>
          </w:p>
        </w:tc>
        <w:tc>
          <w:tcPr>
            <w:tcW w:w="1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151.9</w:t>
            </w:r>
          </w:p>
        </w:tc>
      </w:tr>
      <w:tr>
        <w:trPr>
          <w:trHeight w:val="250"/>
        </w:trPr>
        <w:tc>
          <w:tcPr>
            <w:tcW w:w="7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revenues</w:t>
            </w:r>
          </w:p>
        </w:tc>
        <w:tc>
          <w:tcPr>
            <w:tcW w:w="4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597.3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451.1</w:t>
            </w:r>
          </w:p>
        </w:tc>
      </w:tr>
      <w:tr>
        <w:trPr>
          <w:trHeight w:val="243"/>
        </w:trPr>
        <w:tc>
          <w:tcPr>
            <w:tcW w:w="7480" w:type="dxa"/>
            <w:vAlign w:val="bottom"/>
          </w:tcPr>
          <w:p>
            <w:pPr>
              <w:ind w:left="20"/>
              <w:spacing w:after="0"/>
              <w:rPr>
                <w:sz w:val="20"/>
                <w:szCs w:val="20"/>
                <w:color w:val="auto"/>
              </w:rPr>
            </w:pPr>
            <w:r>
              <w:rPr>
                <w:rFonts w:ascii="Arial" w:cs="Arial" w:eastAsia="Arial" w:hAnsi="Arial"/>
                <w:sz w:val="18"/>
                <w:szCs w:val="18"/>
                <w:color w:val="auto"/>
              </w:rPr>
              <w:t>Cost of entertainment</w:t>
            </w:r>
          </w:p>
        </w:tc>
        <w:tc>
          <w:tcPr>
            <w:tcW w:w="4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34.3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26.8</w:t>
            </w:r>
          </w:p>
        </w:tc>
      </w:tr>
      <w:tr>
        <w:trPr>
          <w:trHeight w:val="27"/>
        </w:trPr>
        <w:tc>
          <w:tcPr>
            <w:tcW w:w="7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63"/>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food and beverage</w:t>
            </w:r>
          </w:p>
        </w:tc>
        <w:tc>
          <w:tcPr>
            <w:tcW w:w="40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w:t>
            </w:r>
          </w:p>
        </w:tc>
      </w:tr>
      <w:tr>
        <w:trPr>
          <w:trHeight w:val="243"/>
        </w:trPr>
        <w:tc>
          <w:tcPr>
            <w:tcW w:w="7480" w:type="dxa"/>
            <w:vAlign w:val="bottom"/>
          </w:tcPr>
          <w:p>
            <w:pPr>
              <w:ind w:left="180"/>
              <w:spacing w:after="0"/>
              <w:rPr>
                <w:sz w:val="20"/>
                <w:szCs w:val="20"/>
                <w:color w:val="auto"/>
              </w:rPr>
            </w:pPr>
            <w:r>
              <w:rPr>
                <w:rFonts w:ascii="Arial" w:cs="Arial" w:eastAsia="Arial" w:hAnsi="Arial"/>
                <w:sz w:val="18"/>
                <w:szCs w:val="18"/>
                <w:color w:val="auto"/>
              </w:rPr>
              <w:t>Total cost of products</w:t>
            </w:r>
          </w:p>
        </w:tc>
        <w:tc>
          <w:tcPr>
            <w:tcW w:w="4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90.3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70.0</w:t>
            </w:r>
          </w:p>
        </w:tc>
      </w:tr>
      <w:tr>
        <w:trPr>
          <w:trHeight w:val="27"/>
        </w:trPr>
        <w:tc>
          <w:tcPr>
            <w:tcW w:w="7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payroll and benefits</w:t>
            </w:r>
          </w:p>
        </w:tc>
        <w:tc>
          <w:tcPr>
            <w:tcW w:w="4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93.4</w:t>
            </w:r>
          </w:p>
        </w:tc>
      </w:tr>
      <w:tr>
        <w:trPr>
          <w:trHeight w:val="243"/>
        </w:trPr>
        <w:tc>
          <w:tcPr>
            <w:tcW w:w="7480" w:type="dxa"/>
            <w:vAlign w:val="bottom"/>
          </w:tcPr>
          <w:p>
            <w:pPr>
              <w:ind w:left="20"/>
              <w:spacing w:after="0"/>
              <w:rPr>
                <w:sz w:val="20"/>
                <w:szCs w:val="20"/>
                <w:color w:val="auto"/>
              </w:rPr>
            </w:pPr>
            <w:r>
              <w:rPr>
                <w:rFonts w:ascii="Arial" w:cs="Arial" w:eastAsia="Arial" w:hAnsi="Arial"/>
                <w:sz w:val="18"/>
                <w:szCs w:val="18"/>
                <w:color w:val="auto"/>
              </w:rPr>
              <w:t>Other store operating expenses</w:t>
            </w:r>
          </w:p>
        </w:tc>
        <w:tc>
          <w:tcPr>
            <w:tcW w:w="4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170.0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124.4</w:t>
            </w:r>
          </w:p>
        </w:tc>
      </w:tr>
      <w:tr>
        <w:trPr>
          <w:trHeight w:val="27"/>
        </w:trPr>
        <w:tc>
          <w:tcPr>
            <w:tcW w:w="7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4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w:t>
            </w:r>
          </w:p>
        </w:tc>
      </w:tr>
      <w:tr>
        <w:trPr>
          <w:trHeight w:val="243"/>
        </w:trPr>
        <w:tc>
          <w:tcPr>
            <w:tcW w:w="7480" w:type="dxa"/>
            <w:vAlign w:val="bottom"/>
          </w:tcPr>
          <w:p>
            <w:pPr>
              <w:ind w:left="20"/>
              <w:spacing w:after="0"/>
              <w:rPr>
                <w:sz w:val="20"/>
                <w:szCs w:val="20"/>
                <w:color w:val="auto"/>
              </w:rPr>
            </w:pPr>
            <w:r>
              <w:rPr>
                <w:rFonts w:ascii="Arial" w:cs="Arial" w:eastAsia="Arial" w:hAnsi="Arial"/>
                <w:sz w:val="18"/>
                <w:szCs w:val="18"/>
                <w:color w:val="auto"/>
              </w:rPr>
              <w:t>Depreciation and amortization expenses</w:t>
            </w:r>
          </w:p>
        </w:tc>
        <w:tc>
          <w:tcPr>
            <w:tcW w:w="4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48.9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33.3</w:t>
            </w:r>
          </w:p>
        </w:tc>
      </w:tr>
      <w:tr>
        <w:trPr>
          <w:trHeight w:val="27"/>
        </w:trPr>
        <w:tc>
          <w:tcPr>
            <w:tcW w:w="7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63"/>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Pre-opening costs</w:t>
            </w:r>
          </w:p>
        </w:tc>
        <w:tc>
          <w:tcPr>
            <w:tcW w:w="40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63"/>
        </w:trPr>
        <w:tc>
          <w:tcPr>
            <w:tcW w:w="7480" w:type="dxa"/>
            <w:vAlign w:val="bottom"/>
          </w:tcPr>
          <w:p>
            <w:pPr>
              <w:ind w:left="180"/>
              <w:spacing w:after="0"/>
              <w:rPr>
                <w:sz w:val="20"/>
                <w:szCs w:val="20"/>
                <w:color w:val="auto"/>
              </w:rPr>
            </w:pPr>
            <w:r>
              <w:rPr>
                <w:rFonts w:ascii="Arial" w:cs="Arial" w:eastAsia="Arial" w:hAnsi="Arial"/>
                <w:sz w:val="18"/>
                <w:szCs w:val="18"/>
                <w:color w:val="auto"/>
              </w:rPr>
              <w:t>Total operating costs</w:t>
            </w:r>
          </w:p>
        </w:tc>
        <w:tc>
          <w:tcPr>
            <w:tcW w:w="4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475.9</w:t>
            </w:r>
          </w:p>
        </w:tc>
        <w:tc>
          <w:tcPr>
            <w:tcW w:w="1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352.4</w:t>
            </w:r>
          </w:p>
        </w:tc>
      </w:tr>
      <w:tr>
        <w:trPr>
          <w:trHeight w:val="250"/>
        </w:trPr>
        <w:tc>
          <w:tcPr>
            <w:tcW w:w="7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income</w:t>
            </w:r>
          </w:p>
        </w:tc>
        <w:tc>
          <w:tcPr>
            <w:tcW w:w="4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98.7</w:t>
            </w:r>
          </w:p>
        </w:tc>
      </w:tr>
      <w:tr>
        <w:trPr>
          <w:trHeight w:val="243"/>
        </w:trPr>
        <w:tc>
          <w:tcPr>
            <w:tcW w:w="748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4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30.7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7"/>
        </w:trPr>
        <w:tc>
          <w:tcPr>
            <w:tcW w:w="74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3"/>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provision for income taxes</w:t>
            </w:r>
          </w:p>
        </w:tc>
        <w:tc>
          <w:tcPr>
            <w:tcW w:w="4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87.3</w:t>
            </w:r>
          </w:p>
        </w:tc>
      </w:tr>
      <w:tr>
        <w:trPr>
          <w:trHeight w:val="243"/>
        </w:trPr>
        <w:tc>
          <w:tcPr>
            <w:tcW w:w="748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4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20.3</w:t>
            </w:r>
          </w:p>
        </w:tc>
      </w:tr>
      <w:tr>
        <w:trPr>
          <w:trHeight w:val="27"/>
        </w:trPr>
        <w:tc>
          <w:tcPr>
            <w:tcW w:w="74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3"/>
        </w:trPr>
        <w:tc>
          <w:tcPr>
            <w:tcW w:w="7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4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67.0</w:t>
            </w:r>
          </w:p>
        </w:tc>
      </w:tr>
      <w:tr>
        <w:trPr>
          <w:trHeight w:val="243"/>
        </w:trPr>
        <w:tc>
          <w:tcPr>
            <w:tcW w:w="7480" w:type="dxa"/>
            <w:vAlign w:val="bottom"/>
          </w:tcPr>
          <w:p>
            <w:pPr>
              <w:ind w:left="20"/>
              <w:spacing w:after="0"/>
              <w:rPr>
                <w:sz w:val="20"/>
                <w:szCs w:val="20"/>
                <w:color w:val="auto"/>
              </w:rPr>
            </w:pPr>
            <w:r>
              <w:rPr>
                <w:rFonts w:ascii="Arial" w:cs="Arial" w:eastAsia="Arial" w:hAnsi="Arial"/>
                <w:sz w:val="18"/>
                <w:szCs w:val="18"/>
                <w:color w:val="auto"/>
              </w:rPr>
              <w:t>Unrealized gain on derivatives, net of tax</w:t>
            </w:r>
          </w:p>
        </w:tc>
        <w:tc>
          <w:tcPr>
            <w:tcW w:w="4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74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3"/>
        </w:trPr>
        <w:tc>
          <w:tcPr>
            <w:tcW w:w="7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other comprehensive gain</w:t>
            </w:r>
          </w:p>
        </w:tc>
        <w:tc>
          <w:tcPr>
            <w:tcW w:w="4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64"/>
        </w:trPr>
        <w:tc>
          <w:tcPr>
            <w:tcW w:w="7480" w:type="dxa"/>
            <w:vAlign w:val="bottom"/>
          </w:tcPr>
          <w:p>
            <w:pPr>
              <w:ind w:left="180"/>
              <w:spacing w:after="0"/>
              <w:rPr>
                <w:sz w:val="20"/>
                <w:szCs w:val="20"/>
                <w:color w:val="auto"/>
              </w:rPr>
            </w:pPr>
            <w:r>
              <w:rPr>
                <w:rFonts w:ascii="Arial" w:cs="Arial" w:eastAsia="Arial" w:hAnsi="Arial"/>
                <w:sz w:val="18"/>
                <w:szCs w:val="18"/>
                <w:color w:val="auto"/>
              </w:rPr>
              <w:t>Total comprehensive income</w:t>
            </w:r>
          </w:p>
        </w:tc>
        <w:tc>
          <w:tcPr>
            <w:tcW w:w="4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70.1</w:t>
            </w:r>
          </w:p>
        </w:tc>
        <w:tc>
          <w:tcPr>
            <w:tcW w:w="12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68.3</w:t>
            </w:r>
          </w:p>
        </w:tc>
      </w:tr>
      <w:tr>
        <w:trPr>
          <w:trHeight w:val="20"/>
        </w:trPr>
        <w:tc>
          <w:tcPr>
            <w:tcW w:w="74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17"/>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per share:</w:t>
            </w:r>
          </w:p>
        </w:tc>
        <w:tc>
          <w:tcPr>
            <w:tcW w:w="40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spacing w:after="0"/>
              <w:rPr>
                <w:sz w:val="18"/>
                <w:szCs w:val="18"/>
                <w:color w:val="auto"/>
              </w:rPr>
            </w:pPr>
          </w:p>
        </w:tc>
      </w:tr>
      <w:tr>
        <w:trPr>
          <w:trHeight w:val="243"/>
        </w:trPr>
        <w:tc>
          <w:tcPr>
            <w:tcW w:w="7480" w:type="dxa"/>
            <w:vAlign w:val="bottom"/>
          </w:tcPr>
          <w:p>
            <w:pPr>
              <w:ind w:left="180"/>
              <w:spacing w:after="0"/>
              <w:rPr>
                <w:sz w:val="20"/>
                <w:szCs w:val="20"/>
                <w:color w:val="auto"/>
              </w:rPr>
            </w:pPr>
            <w:r>
              <w:rPr>
                <w:rFonts w:ascii="Arial" w:cs="Arial" w:eastAsia="Arial" w:hAnsi="Arial"/>
                <w:sz w:val="18"/>
                <w:szCs w:val="18"/>
                <w:color w:val="auto"/>
              </w:rPr>
              <w:t>Basic</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1.46</w:t>
            </w:r>
          </w:p>
        </w:tc>
        <w:tc>
          <w:tcPr>
            <w:tcW w:w="520" w:type="dxa"/>
            <w:vAlign w:val="bottom"/>
            <w:gridSpan w:val="2"/>
          </w:tcPr>
          <w:p>
            <w:pPr>
              <w:jc w:val="right"/>
              <w:ind w:right="219"/>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7"/>
        </w:trPr>
        <w:tc>
          <w:tcPr>
            <w:tcW w:w="7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520" w:type="dxa"/>
            <w:vAlign w:val="bottom"/>
            <w:tcBorders>
              <w:bottom w:val="single" w:sz="8" w:color="CCEEFF"/>
            </w:tcBorders>
            <w:gridSpan w:val="2"/>
            <w:shd w:val="clear" w:color="auto" w:fill="CCEEFF"/>
          </w:tcPr>
          <w:p>
            <w:pPr>
              <w:jc w:val="right"/>
              <w:ind w:right="219"/>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r>
      <w:tr>
        <w:trPr>
          <w:trHeight w:val="243"/>
        </w:trPr>
        <w:tc>
          <w:tcPr>
            <w:tcW w:w="7480" w:type="dxa"/>
            <w:vAlign w:val="bottom"/>
          </w:tcPr>
          <w:p>
            <w:pPr>
              <w:ind w:left="20"/>
              <w:spacing w:after="0"/>
              <w:rPr>
                <w:sz w:val="20"/>
                <w:szCs w:val="20"/>
                <w:color w:val="auto"/>
              </w:rPr>
            </w:pPr>
            <w:r>
              <w:rPr>
                <w:rFonts w:ascii="Arial" w:cs="Arial" w:eastAsia="Arial" w:hAnsi="Arial"/>
                <w:sz w:val="18"/>
                <w:szCs w:val="18"/>
                <w:color w:val="auto"/>
              </w:rPr>
              <w:t>Weighted average shares used in per share calculations:</w:t>
            </w:r>
          </w:p>
        </w:tc>
        <w:tc>
          <w:tcPr>
            <w:tcW w:w="4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7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4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47.93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48.58</w:t>
            </w:r>
          </w:p>
        </w:tc>
      </w:tr>
      <w:tr>
        <w:trPr>
          <w:trHeight w:val="243"/>
        </w:trPr>
        <w:tc>
          <w:tcPr>
            <w:tcW w:w="7480" w:type="dxa"/>
            <w:vAlign w:val="bottom"/>
          </w:tcPr>
          <w:p>
            <w:pPr>
              <w:ind w:left="180"/>
              <w:spacing w:after="0"/>
              <w:rPr>
                <w:sz w:val="20"/>
                <w:szCs w:val="20"/>
                <w:color w:val="auto"/>
              </w:rPr>
            </w:pPr>
            <w:r>
              <w:rPr>
                <w:rFonts w:ascii="Arial" w:cs="Arial" w:eastAsia="Arial" w:hAnsi="Arial"/>
                <w:sz w:val="18"/>
                <w:szCs w:val="18"/>
                <w:color w:val="auto"/>
              </w:rPr>
              <w:t>Diluted</w:t>
            </w:r>
          </w:p>
        </w:tc>
        <w:tc>
          <w:tcPr>
            <w:tcW w:w="4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48.47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49.45</w:t>
            </w: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left="340" w:right="2320"/>
        <w:spacing w:after="0" w:line="275" w:lineRule="auto"/>
        <w:rPr>
          <w:sz w:val="20"/>
          <w:szCs w:val="20"/>
          <w:color w:val="auto"/>
        </w:rPr>
      </w:pPr>
      <w:r>
        <w:rPr>
          <w:rFonts w:ascii="Arial" w:cs="Arial" w:eastAsia="Arial" w:hAnsi="Arial"/>
          <w:sz w:val="18"/>
          <w:szCs w:val="18"/>
          <w:b w:val="1"/>
          <w:bCs w:val="1"/>
          <w:color w:val="auto"/>
        </w:rPr>
        <w:t xml:space="preserve">DAVE &amp; BUSTER’S ENTERTAINMENT, INC. CONSOLIDATED STATEMENTS OF STOCKHOLDERS’ EQUITY (UNAUDITED) </w:t>
      </w:r>
      <w:r>
        <w:rPr>
          <w:rFonts w:ascii="Arial" w:cs="Arial" w:eastAsia="Arial" w:hAnsi="Arial"/>
          <w:sz w:val="18"/>
          <w:szCs w:val="18"/>
          <w:color w:val="auto"/>
        </w:rPr>
        <w:t>(in millions)</w:t>
      </w:r>
    </w:p>
    <w:p>
      <w:pPr>
        <w:spacing w:after="0" w:line="200" w:lineRule="exact"/>
        <w:rPr>
          <w:sz w:val="20"/>
          <w:szCs w:val="20"/>
          <w:color w:val="auto"/>
        </w:rPr>
      </w:pPr>
    </w:p>
    <w:p>
      <w:pPr>
        <w:spacing w:after="0" w:line="239" w:lineRule="exact"/>
        <w:rPr>
          <w:sz w:val="20"/>
          <w:szCs w:val="20"/>
          <w:color w:val="auto"/>
        </w:rPr>
      </w:pPr>
    </w:p>
    <w:p>
      <w:pPr>
        <w:ind w:left="5620"/>
        <w:spacing w:after="0"/>
        <w:rPr>
          <w:sz w:val="20"/>
          <w:szCs w:val="20"/>
          <w:color w:val="auto"/>
        </w:rPr>
      </w:pPr>
      <w:r>
        <w:rPr>
          <w:rFonts w:ascii="Arial" w:cs="Arial" w:eastAsia="Arial" w:hAnsi="Arial"/>
          <w:sz w:val="14"/>
          <w:szCs w:val="14"/>
          <w:b w:val="1"/>
          <w:bCs w:val="1"/>
          <w:color w:val="auto"/>
        </w:rPr>
        <w:t>Thirteen Weeks Ended April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1453515</wp:posOffset>
            </wp:positionH>
            <wp:positionV relativeFrom="paragraph">
              <wp:posOffset>40640</wp:posOffset>
            </wp:positionV>
            <wp:extent cx="568388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83885" cy="825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jc w:val="center"/>
              <w:ind w:right="88"/>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280" w:type="dxa"/>
            <w:vAlign w:val="bottom"/>
          </w:tcPr>
          <w:p>
            <w:pPr>
              <w:spacing w:after="0"/>
              <w:rPr>
                <w:sz w:val="14"/>
                <w:szCs w:val="14"/>
                <w:color w:val="auto"/>
              </w:rPr>
            </w:pPr>
          </w:p>
        </w:tc>
        <w:tc>
          <w:tcPr>
            <w:tcW w:w="1820" w:type="dxa"/>
            <w:vAlign w:val="bottom"/>
            <w:gridSpan w:val="4"/>
            <w:vMerge w:val="restart"/>
          </w:tcPr>
          <w:p>
            <w:pPr>
              <w:jc w:val="right"/>
              <w:ind w:right="228"/>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4"/>
            <w:vMerge w:val="restart"/>
          </w:tcPr>
          <w:p>
            <w:pPr>
              <w:jc w:val="right"/>
              <w:ind w:right="248"/>
              <w:spacing w:after="0"/>
              <w:rPr>
                <w:sz w:val="20"/>
                <w:szCs w:val="20"/>
                <w:color w:val="auto"/>
              </w:rPr>
            </w:pPr>
            <w:r>
              <w:rPr>
                <w:rFonts w:ascii="Arial" w:cs="Arial" w:eastAsia="Arial" w:hAnsi="Arial"/>
                <w:sz w:val="14"/>
                <w:szCs w:val="14"/>
                <w:b w:val="1"/>
                <w:bCs w:val="1"/>
                <w:color w:val="auto"/>
              </w:rPr>
              <w:t>Treasury Stock At Cost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center"/>
              <w:ind w:right="68"/>
              <w:spacing w:after="0"/>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280" w:type="dxa"/>
            <w:vAlign w:val="bottom"/>
          </w:tcPr>
          <w:p>
            <w:pPr>
              <w:spacing w:after="0"/>
              <w:rPr>
                <w:sz w:val="10"/>
                <w:szCs w:val="10"/>
                <w:color w:val="auto"/>
              </w:rPr>
            </w:pPr>
          </w:p>
        </w:tc>
        <w:tc>
          <w:tcPr>
            <w:tcW w:w="1820" w:type="dxa"/>
            <w:vAlign w:val="bottom"/>
            <w:gridSpan w:val="4"/>
            <w:vMerge w:val="continue"/>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gridSpan w:val="2"/>
            <w:vMerge w:val="restart"/>
          </w:tcPr>
          <w:p>
            <w:pPr>
              <w:ind w:left="100"/>
              <w:spacing w:after="0" w:line="158" w:lineRule="exact"/>
              <w:rPr>
                <w:sz w:val="20"/>
                <w:szCs w:val="20"/>
                <w:color w:val="auto"/>
              </w:rPr>
            </w:pPr>
            <w:r>
              <w:rPr>
                <w:rFonts w:ascii="Arial" w:cs="Arial" w:eastAsia="Arial" w:hAnsi="Arial"/>
                <w:sz w:val="14"/>
                <w:szCs w:val="14"/>
                <w:b w:val="1"/>
                <w:bCs w:val="1"/>
                <w:color w:val="auto"/>
              </w:rPr>
              <w:t>Paid-In</w:t>
            </w:r>
          </w:p>
        </w:tc>
        <w:tc>
          <w:tcPr>
            <w:tcW w:w="2080" w:type="dxa"/>
            <w:vAlign w:val="bottom"/>
            <w:gridSpan w:val="4"/>
            <w:vMerge w:val="continue"/>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vMerge w:val="restart"/>
          </w:tcPr>
          <w:p>
            <w:pPr>
              <w:jc w:val="center"/>
              <w:ind w:right="68"/>
              <w:spacing w:after="0" w:line="158" w:lineRule="exact"/>
              <w:rPr>
                <w:sz w:val="20"/>
                <w:szCs w:val="20"/>
                <w:color w:val="auto"/>
              </w:rPr>
            </w:pPr>
            <w:r>
              <w:rPr>
                <w:rFonts w:ascii="Arial" w:cs="Arial" w:eastAsia="Arial" w:hAnsi="Arial"/>
                <w:sz w:val="14"/>
                <w:szCs w:val="14"/>
                <w:b w:val="1"/>
                <w:bCs w:val="1"/>
                <w:color w:val="auto"/>
                <w:w w:val="91"/>
              </w:rPr>
              <w:t>Comprehensive</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vMerge w:val="restart"/>
          </w:tcPr>
          <w:p>
            <w:pPr>
              <w:jc w:val="right"/>
              <w:ind w:right="168"/>
              <w:spacing w:after="0" w:line="158" w:lineRule="exact"/>
              <w:rPr>
                <w:sz w:val="20"/>
                <w:szCs w:val="20"/>
                <w:color w:val="auto"/>
              </w:rPr>
            </w:pPr>
            <w:r>
              <w:rPr>
                <w:rFonts w:ascii="Arial" w:cs="Arial" w:eastAsia="Arial" w:hAnsi="Arial"/>
                <w:sz w:val="14"/>
                <w:szCs w:val="14"/>
                <w:b w:val="1"/>
                <w:bCs w:val="1"/>
                <w:color w:val="auto"/>
              </w:rPr>
              <w:t>Retained</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9"/>
        </w:trPr>
        <w:tc>
          <w:tcPr>
            <w:tcW w:w="2280" w:type="dxa"/>
            <w:vAlign w:val="bottom"/>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280" w:type="dxa"/>
            <w:vAlign w:val="bottom"/>
          </w:tcPr>
          <w:p>
            <w:pPr>
              <w:spacing w:after="0"/>
              <w:rPr>
                <w:sz w:val="16"/>
                <w:szCs w:val="16"/>
                <w:color w:val="auto"/>
              </w:rPr>
            </w:pPr>
          </w:p>
        </w:tc>
        <w:tc>
          <w:tcPr>
            <w:tcW w:w="780" w:type="dxa"/>
            <w:vAlign w:val="bottom"/>
          </w:tcPr>
          <w:p>
            <w:pPr>
              <w:ind w:left="360"/>
              <w:spacing w:after="0"/>
              <w:rPr>
                <w:sz w:val="20"/>
                <w:szCs w:val="20"/>
                <w:color w:val="auto"/>
              </w:rPr>
            </w:pPr>
            <w:r>
              <w:rPr>
                <w:rFonts w:ascii="Arial" w:cs="Arial" w:eastAsia="Arial" w:hAnsi="Arial"/>
                <w:sz w:val="14"/>
                <w:szCs w:val="14"/>
                <w:b w:val="1"/>
                <w:bCs w:val="1"/>
                <w:color w:val="auto"/>
                <w:w w:val="85"/>
              </w:rPr>
              <w:t>Shares</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Amt.</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ind w:left="100"/>
              <w:spacing w:after="0"/>
              <w:rPr>
                <w:sz w:val="20"/>
                <w:szCs w:val="20"/>
                <w:color w:val="auto"/>
              </w:rPr>
            </w:pPr>
            <w:r>
              <w:rPr>
                <w:rFonts w:ascii="Arial" w:cs="Arial" w:eastAsia="Arial" w:hAnsi="Arial"/>
                <w:sz w:val="14"/>
                <w:szCs w:val="14"/>
                <w:b w:val="1"/>
                <w:bCs w:val="1"/>
                <w:color w:val="auto"/>
              </w:rPr>
              <w:t>Capital</w:t>
            </w:r>
          </w:p>
        </w:tc>
        <w:tc>
          <w:tcPr>
            <w:tcW w:w="980" w:type="dxa"/>
            <w:vAlign w:val="bottom"/>
          </w:tcPr>
          <w:p>
            <w:pPr>
              <w:jc w:val="right"/>
              <w:ind w:right="208"/>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268"/>
              <w:spacing w:after="0"/>
              <w:rPr>
                <w:sz w:val="20"/>
                <w:szCs w:val="20"/>
                <w:color w:val="auto"/>
              </w:rPr>
            </w:pPr>
            <w:r>
              <w:rPr>
                <w:rFonts w:ascii="Arial" w:cs="Arial" w:eastAsia="Arial" w:hAnsi="Arial"/>
                <w:sz w:val="14"/>
                <w:szCs w:val="14"/>
                <w:b w:val="1"/>
                <w:bCs w:val="1"/>
                <w:color w:val="auto"/>
              </w:rPr>
              <w:t>Amt.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center"/>
              <w:ind w:right="68"/>
              <w:spacing w:after="0"/>
              <w:rPr>
                <w:sz w:val="20"/>
                <w:szCs w:val="20"/>
                <w:color w:val="auto"/>
              </w:rPr>
            </w:pPr>
            <w:r>
              <w:rPr>
                <w:rFonts w:ascii="Arial" w:cs="Arial" w:eastAsia="Arial" w:hAnsi="Arial"/>
                <w:sz w:val="14"/>
                <w:szCs w:val="14"/>
                <w:b w:val="1"/>
                <w:bCs w:val="1"/>
                <w:color w:val="auto"/>
                <w:w w:val="85"/>
              </w:rPr>
              <w:t>Loss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ind w:right="168"/>
              <w:spacing w:after="0"/>
              <w:rPr>
                <w:sz w:val="20"/>
                <w:szCs w:val="20"/>
                <w:color w:val="auto"/>
              </w:rPr>
            </w:pPr>
            <w:r>
              <w:rPr>
                <w:rFonts w:ascii="Arial" w:cs="Arial" w:eastAsia="Arial" w:hAnsi="Arial"/>
                <w:sz w:val="14"/>
                <w:szCs w:val="14"/>
                <w:b w:val="1"/>
                <w:bCs w:val="1"/>
                <w:color w:val="auto"/>
              </w:rPr>
              <w:t>Earnings</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2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39"/>
        </w:trPr>
        <w:tc>
          <w:tcPr>
            <w:tcW w:w="2280" w:type="dxa"/>
            <w:vAlign w:val="bottom"/>
            <w:tcBorders>
              <w:bottom w:val="single" w:sz="8" w:color="CCEEFF"/>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3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Balance January 29, 2023</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5"/>
              </w:rPr>
              <w:t>62.42</w:t>
            </w:r>
          </w:p>
        </w:tc>
        <w:tc>
          <w:tcPr>
            <w:tcW w:w="700" w:type="dxa"/>
            <w:vAlign w:val="bottom"/>
            <w:tcBorders>
              <w:bottom w:val="single" w:sz="8" w:color="CCEEFF"/>
            </w:tcBorders>
            <w:gridSpan w:val="2"/>
            <w:shd w:val="clear" w:color="auto" w:fill="CCEEFF"/>
          </w:tcPr>
          <w:p>
            <w:pPr>
              <w:jc w:val="right"/>
              <w:ind w:right="44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2"/>
              </w:rPr>
              <w:t>0.6</w:t>
            </w:r>
          </w:p>
        </w:tc>
        <w:tc>
          <w:tcPr>
            <w:tcW w:w="28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577.5</w:t>
            </w: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14.01</w:t>
            </w:r>
          </w:p>
        </w:tc>
        <w:tc>
          <w:tcPr>
            <w:tcW w:w="3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(639.0)</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472.3</w:t>
            </w:r>
          </w:p>
        </w:tc>
        <w:tc>
          <w:tcPr>
            <w:tcW w:w="2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410.5</w:t>
            </w:r>
          </w:p>
        </w:tc>
        <w:tc>
          <w:tcPr>
            <w:tcW w:w="0" w:type="dxa"/>
            <w:vAlign w:val="bottom"/>
          </w:tcPr>
          <w:p>
            <w:pPr>
              <w:spacing w:after="0"/>
              <w:rPr>
                <w:sz w:val="1"/>
                <w:szCs w:val="1"/>
                <w:color w:val="auto"/>
              </w:rPr>
            </w:pPr>
          </w:p>
        </w:tc>
      </w:tr>
      <w:tr>
        <w:trPr>
          <w:trHeight w:val="190"/>
        </w:trPr>
        <w:tc>
          <w:tcPr>
            <w:tcW w:w="3060" w:type="dxa"/>
            <w:vAlign w:val="bottom"/>
            <w:gridSpan w:val="2"/>
          </w:tcPr>
          <w:p>
            <w:pPr>
              <w:ind w:left="20"/>
              <w:spacing w:after="0"/>
              <w:rPr>
                <w:sz w:val="20"/>
                <w:szCs w:val="20"/>
                <w:color w:val="auto"/>
              </w:rPr>
            </w:pPr>
            <w:r>
              <w:rPr>
                <w:rFonts w:ascii="Arial" w:cs="Arial" w:eastAsia="Arial" w:hAnsi="Arial"/>
                <w:sz w:val="14"/>
                <w:szCs w:val="14"/>
                <w:color w:val="auto"/>
              </w:rPr>
              <w:t>Net income</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70.1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70.1</w:t>
            </w:r>
          </w:p>
        </w:tc>
        <w:tc>
          <w:tcPr>
            <w:tcW w:w="0" w:type="dxa"/>
            <w:vAlign w:val="bottom"/>
          </w:tcPr>
          <w:p>
            <w:pPr>
              <w:spacing w:after="0"/>
              <w:rPr>
                <w:sz w:val="1"/>
                <w:szCs w:val="1"/>
                <w:color w:val="auto"/>
              </w:rPr>
            </w:pPr>
          </w:p>
        </w:tc>
      </w:tr>
      <w:tr>
        <w:trPr>
          <w:trHeight w:val="39"/>
        </w:trPr>
        <w:tc>
          <w:tcPr>
            <w:tcW w:w="2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6"/>
        </w:trPr>
        <w:tc>
          <w:tcPr>
            <w:tcW w:w="3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Share-based compensation</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6.7</w:t>
            </w: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191"/>
        </w:trPr>
        <w:tc>
          <w:tcPr>
            <w:tcW w:w="3060" w:type="dxa"/>
            <w:vAlign w:val="bottom"/>
            <w:gridSpan w:val="2"/>
          </w:tcPr>
          <w:p>
            <w:pPr>
              <w:ind w:left="20"/>
              <w:spacing w:after="0"/>
              <w:rPr>
                <w:sz w:val="20"/>
                <w:szCs w:val="20"/>
                <w:color w:val="auto"/>
              </w:rPr>
            </w:pPr>
            <w:r>
              <w:rPr>
                <w:rFonts w:ascii="Arial" w:cs="Arial" w:eastAsia="Arial" w:hAnsi="Arial"/>
                <w:sz w:val="14"/>
                <w:szCs w:val="14"/>
                <w:color w:val="auto"/>
              </w:rPr>
              <w:t>Issuance of common stock</w:t>
            </w:r>
          </w:p>
        </w:tc>
        <w:tc>
          <w:tcPr>
            <w:tcW w:w="340" w:type="dxa"/>
            <w:vAlign w:val="bottom"/>
          </w:tcPr>
          <w:p>
            <w:pPr>
              <w:jc w:val="right"/>
              <w:spacing w:after="0"/>
              <w:rPr>
                <w:sz w:val="20"/>
                <w:szCs w:val="20"/>
                <w:color w:val="auto"/>
              </w:rPr>
            </w:pPr>
            <w:r>
              <w:rPr>
                <w:rFonts w:ascii="Arial" w:cs="Arial" w:eastAsia="Arial" w:hAnsi="Arial"/>
                <w:sz w:val="14"/>
                <w:szCs w:val="14"/>
                <w:color w:val="auto"/>
              </w:rPr>
              <w:t>0.09</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39"/>
        </w:trPr>
        <w:tc>
          <w:tcPr>
            <w:tcW w:w="2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Repurchase of common stock</w:t>
            </w:r>
          </w:p>
        </w:tc>
        <w:tc>
          <w:tcPr>
            <w:tcW w:w="7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3.62</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(127.5)</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(127.5)</w:t>
            </w:r>
          </w:p>
        </w:tc>
        <w:tc>
          <w:tcPr>
            <w:tcW w:w="0" w:type="dxa"/>
            <w:vAlign w:val="bottom"/>
          </w:tcPr>
          <w:p>
            <w:pPr>
              <w:spacing w:after="0"/>
              <w:rPr>
                <w:sz w:val="1"/>
                <w:szCs w:val="1"/>
                <w:color w:val="auto"/>
              </w:rPr>
            </w:pPr>
          </w:p>
        </w:tc>
      </w:tr>
      <w:tr>
        <w:trPr>
          <w:trHeight w:val="217"/>
        </w:trPr>
        <w:tc>
          <w:tcPr>
            <w:tcW w:w="2280" w:type="dxa"/>
            <w:vAlign w:val="bottom"/>
          </w:tcPr>
          <w:p>
            <w:pPr>
              <w:ind w:left="20"/>
              <w:spacing w:after="0"/>
              <w:rPr>
                <w:sz w:val="20"/>
                <w:szCs w:val="20"/>
                <w:color w:val="auto"/>
              </w:rPr>
            </w:pPr>
            <w:r>
              <w:rPr>
                <w:rFonts w:ascii="Arial" w:cs="Arial" w:eastAsia="Arial" w:hAnsi="Arial"/>
                <w:sz w:val="14"/>
                <w:szCs w:val="14"/>
                <w:b w:val="1"/>
                <w:bCs w:val="1"/>
                <w:color w:val="auto"/>
              </w:rPr>
              <w:t>Balance April 30, 2023</w:t>
            </w:r>
          </w:p>
        </w:tc>
        <w:tc>
          <w:tcPr>
            <w:tcW w:w="78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5"/>
              </w:rPr>
              <w:t>62.51</w:t>
            </w:r>
          </w:p>
        </w:tc>
        <w:tc>
          <w:tcPr>
            <w:tcW w:w="10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right"/>
              <w:ind w:right="448"/>
              <w:spacing w:after="0"/>
              <w:rPr>
                <w:sz w:val="20"/>
                <w:szCs w:val="20"/>
                <w:color w:val="auto"/>
              </w:rPr>
            </w:pPr>
            <w:r>
              <w:rPr>
                <w:rFonts w:ascii="Arial" w:cs="Arial" w:eastAsia="Arial" w:hAnsi="Arial"/>
                <w:sz w:val="14"/>
                <w:szCs w:val="14"/>
                <w:color w:val="auto"/>
                <w:w w:val="76"/>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2"/>
              </w:rPr>
              <w:t>0.6</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584.3</w:t>
            </w:r>
          </w:p>
        </w:tc>
        <w:tc>
          <w:tcPr>
            <w:tcW w:w="10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17.63</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(766.5)</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(0.9)</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542.4</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359.9</w:t>
            </w:r>
          </w:p>
        </w:tc>
        <w:tc>
          <w:tcPr>
            <w:tcW w:w="0" w:type="dxa"/>
            <w:vAlign w:val="bottom"/>
          </w:tcPr>
          <w:p>
            <w:pPr>
              <w:spacing w:after="0"/>
              <w:rPr>
                <w:sz w:val="1"/>
                <w:szCs w:val="1"/>
                <w:color w:val="auto"/>
              </w:rPr>
            </w:pPr>
          </w:p>
        </w:tc>
      </w:tr>
      <w:tr>
        <w:trPr>
          <w:trHeight w:val="27"/>
        </w:trPr>
        <w:tc>
          <w:tcPr>
            <w:tcW w:w="22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08"/>
        </w:trPr>
        <w:tc>
          <w:tcPr>
            <w:tcW w:w="2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gridSpan w:val="6"/>
          </w:tcPr>
          <w:p>
            <w:pPr>
              <w:jc w:val="right"/>
              <w:spacing w:after="0"/>
              <w:rPr>
                <w:sz w:val="20"/>
                <w:szCs w:val="20"/>
                <w:color w:val="auto"/>
              </w:rPr>
            </w:pPr>
            <w:r>
              <w:rPr>
                <w:rFonts w:ascii="Arial" w:cs="Arial" w:eastAsia="Arial" w:hAnsi="Arial"/>
                <w:sz w:val="14"/>
                <w:szCs w:val="14"/>
                <w:b w:val="1"/>
                <w:bCs w:val="1"/>
                <w:color w:val="auto"/>
                <w:w w:val="97"/>
              </w:rPr>
              <w:t>Thirteen Weeks Ended May 1, 2022</w:t>
            </w: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2280" w:type="dxa"/>
            <w:vAlign w:val="bottom"/>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jc w:val="center"/>
              <w:ind w:right="88"/>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80" w:type="dxa"/>
            <w:vAlign w:val="bottom"/>
          </w:tcPr>
          <w:p>
            <w:pPr>
              <w:spacing w:after="0"/>
              <w:rPr>
                <w:sz w:val="15"/>
                <w:szCs w:val="15"/>
                <w:color w:val="auto"/>
              </w:rPr>
            </w:pPr>
          </w:p>
        </w:tc>
        <w:tc>
          <w:tcPr>
            <w:tcW w:w="1820" w:type="dxa"/>
            <w:vAlign w:val="bottom"/>
            <w:gridSpan w:val="4"/>
            <w:vMerge w:val="restart"/>
          </w:tcPr>
          <w:p>
            <w:pPr>
              <w:jc w:val="right"/>
              <w:ind w:right="228"/>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80" w:type="dxa"/>
            <w:vAlign w:val="bottom"/>
            <w:gridSpan w:val="4"/>
            <w:vMerge w:val="restart"/>
          </w:tcPr>
          <w:p>
            <w:pPr>
              <w:jc w:val="right"/>
              <w:ind w:right="248"/>
              <w:spacing w:after="0"/>
              <w:rPr>
                <w:sz w:val="20"/>
                <w:szCs w:val="20"/>
                <w:color w:val="auto"/>
              </w:rPr>
            </w:pPr>
            <w:r>
              <w:rPr>
                <w:rFonts w:ascii="Arial" w:cs="Arial" w:eastAsia="Arial" w:hAnsi="Arial"/>
                <w:sz w:val="14"/>
                <w:szCs w:val="14"/>
                <w:b w:val="1"/>
                <w:bCs w:val="1"/>
                <w:color w:val="auto"/>
              </w:rPr>
              <w:t>Treasury Stock At Cost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jc w:val="center"/>
              <w:ind w:right="68"/>
              <w:spacing w:after="0"/>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280" w:type="dxa"/>
            <w:vAlign w:val="bottom"/>
          </w:tcPr>
          <w:p>
            <w:pPr>
              <w:spacing w:after="0"/>
              <w:rPr>
                <w:sz w:val="9"/>
                <w:szCs w:val="9"/>
                <w:color w:val="auto"/>
              </w:rPr>
            </w:pPr>
          </w:p>
        </w:tc>
        <w:tc>
          <w:tcPr>
            <w:tcW w:w="1820" w:type="dxa"/>
            <w:vAlign w:val="bottom"/>
            <w:gridSpan w:val="4"/>
            <w:vMerge w:val="continue"/>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gridSpan w:val="2"/>
            <w:vMerge w:val="restart"/>
          </w:tcPr>
          <w:p>
            <w:pPr>
              <w:ind w:left="100"/>
              <w:spacing w:after="0" w:line="125" w:lineRule="exact"/>
              <w:rPr>
                <w:sz w:val="20"/>
                <w:szCs w:val="20"/>
                <w:color w:val="auto"/>
              </w:rPr>
            </w:pPr>
            <w:r>
              <w:rPr>
                <w:rFonts w:ascii="Arial" w:cs="Arial" w:eastAsia="Arial" w:hAnsi="Arial"/>
                <w:sz w:val="14"/>
                <w:szCs w:val="14"/>
                <w:b w:val="1"/>
                <w:bCs w:val="1"/>
                <w:color w:val="auto"/>
              </w:rPr>
              <w:t>Paid-In</w:t>
            </w:r>
          </w:p>
        </w:tc>
        <w:tc>
          <w:tcPr>
            <w:tcW w:w="2080" w:type="dxa"/>
            <w:vAlign w:val="bottom"/>
            <w:gridSpan w:val="4"/>
            <w:vMerge w:val="continue"/>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20" w:type="dxa"/>
            <w:vAlign w:val="bottom"/>
            <w:vMerge w:val="restart"/>
          </w:tcPr>
          <w:p>
            <w:pPr>
              <w:jc w:val="center"/>
              <w:ind w:right="68"/>
              <w:spacing w:after="0" w:line="125" w:lineRule="exact"/>
              <w:rPr>
                <w:sz w:val="20"/>
                <w:szCs w:val="20"/>
                <w:color w:val="auto"/>
              </w:rPr>
            </w:pPr>
            <w:r>
              <w:rPr>
                <w:rFonts w:ascii="Arial" w:cs="Arial" w:eastAsia="Arial" w:hAnsi="Arial"/>
                <w:sz w:val="14"/>
                <w:szCs w:val="14"/>
                <w:b w:val="1"/>
                <w:bCs w:val="1"/>
                <w:color w:val="auto"/>
                <w:w w:val="91"/>
              </w:rPr>
              <w:t>Comprehensive</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vMerge w:val="restart"/>
          </w:tcPr>
          <w:p>
            <w:pPr>
              <w:jc w:val="right"/>
              <w:ind w:right="168"/>
              <w:spacing w:after="0" w:line="125" w:lineRule="exact"/>
              <w:rPr>
                <w:sz w:val="20"/>
                <w:szCs w:val="20"/>
                <w:color w:val="auto"/>
              </w:rPr>
            </w:pPr>
            <w:r>
              <w:rPr>
                <w:rFonts w:ascii="Arial" w:cs="Arial" w:eastAsia="Arial" w:hAnsi="Arial"/>
                <w:sz w:val="14"/>
                <w:szCs w:val="14"/>
                <w:b w:val="1"/>
                <w:bCs w:val="1"/>
                <w:color w:val="auto"/>
              </w:rPr>
              <w:t>Retained</w:t>
            </w: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
        </w:trPr>
        <w:tc>
          <w:tcPr>
            <w:tcW w:w="2280" w:type="dxa"/>
            <w:vAlign w:val="bottom"/>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2280" w:type="dxa"/>
            <w:vAlign w:val="bottom"/>
          </w:tcPr>
          <w:p>
            <w:pPr>
              <w:spacing w:after="0"/>
              <w:rPr>
                <w:sz w:val="17"/>
                <w:szCs w:val="17"/>
                <w:color w:val="auto"/>
              </w:rPr>
            </w:pPr>
          </w:p>
        </w:tc>
        <w:tc>
          <w:tcPr>
            <w:tcW w:w="780" w:type="dxa"/>
            <w:vAlign w:val="bottom"/>
          </w:tcPr>
          <w:p>
            <w:pPr>
              <w:ind w:left="360"/>
              <w:spacing w:after="0"/>
              <w:rPr>
                <w:sz w:val="20"/>
                <w:szCs w:val="20"/>
                <w:color w:val="auto"/>
              </w:rPr>
            </w:pPr>
            <w:r>
              <w:rPr>
                <w:rFonts w:ascii="Arial" w:cs="Arial" w:eastAsia="Arial" w:hAnsi="Arial"/>
                <w:sz w:val="14"/>
                <w:szCs w:val="14"/>
                <w:b w:val="1"/>
                <w:bCs w:val="1"/>
                <w:color w:val="auto"/>
                <w:w w:val="85"/>
              </w:rPr>
              <w:t>Shares</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Amt.</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ind w:left="100"/>
              <w:spacing w:after="0"/>
              <w:rPr>
                <w:sz w:val="20"/>
                <w:szCs w:val="20"/>
                <w:color w:val="auto"/>
              </w:rPr>
            </w:pPr>
            <w:r>
              <w:rPr>
                <w:rFonts w:ascii="Arial" w:cs="Arial" w:eastAsia="Arial" w:hAnsi="Arial"/>
                <w:sz w:val="14"/>
                <w:szCs w:val="14"/>
                <w:b w:val="1"/>
                <w:bCs w:val="1"/>
                <w:color w:val="auto"/>
              </w:rPr>
              <w:t>Capital</w:t>
            </w:r>
          </w:p>
        </w:tc>
        <w:tc>
          <w:tcPr>
            <w:tcW w:w="980" w:type="dxa"/>
            <w:vAlign w:val="bottom"/>
          </w:tcPr>
          <w:p>
            <w:pPr>
              <w:jc w:val="right"/>
              <w:ind w:right="208"/>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ind w:right="268"/>
              <w:spacing w:after="0"/>
              <w:rPr>
                <w:sz w:val="20"/>
                <w:szCs w:val="20"/>
                <w:color w:val="auto"/>
              </w:rPr>
            </w:pPr>
            <w:r>
              <w:rPr>
                <w:rFonts w:ascii="Arial" w:cs="Arial" w:eastAsia="Arial" w:hAnsi="Arial"/>
                <w:sz w:val="14"/>
                <w:szCs w:val="14"/>
                <w:b w:val="1"/>
                <w:bCs w:val="1"/>
                <w:color w:val="auto"/>
              </w:rPr>
              <w:t>Amt.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center"/>
              <w:ind w:right="68"/>
              <w:spacing w:after="0"/>
              <w:rPr>
                <w:sz w:val="20"/>
                <w:szCs w:val="20"/>
                <w:color w:val="auto"/>
              </w:rPr>
            </w:pPr>
            <w:r>
              <w:rPr>
                <w:rFonts w:ascii="Arial" w:cs="Arial" w:eastAsia="Arial" w:hAnsi="Arial"/>
                <w:sz w:val="14"/>
                <w:szCs w:val="14"/>
                <w:b w:val="1"/>
                <w:bCs w:val="1"/>
                <w:color w:val="auto"/>
                <w:w w:val="85"/>
              </w:rPr>
              <w:t>Loss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168"/>
              <w:spacing w:after="0"/>
              <w:rPr>
                <w:sz w:val="20"/>
                <w:szCs w:val="20"/>
                <w:color w:val="auto"/>
              </w:rPr>
            </w:pPr>
            <w:r>
              <w:rPr>
                <w:rFonts w:ascii="Arial" w:cs="Arial" w:eastAsia="Arial" w:hAnsi="Arial"/>
                <w:sz w:val="14"/>
                <w:szCs w:val="14"/>
                <w:b w:val="1"/>
                <w:bCs w:val="1"/>
                <w:color w:val="auto"/>
              </w:rPr>
              <w:t>Earnings</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2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6"/>
        </w:trPr>
        <w:tc>
          <w:tcPr>
            <w:tcW w:w="22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3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Balance January 30, 2022</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5"/>
              </w:rPr>
              <w:t>61.56</w:t>
            </w:r>
          </w:p>
        </w:tc>
        <w:tc>
          <w:tcPr>
            <w:tcW w:w="700" w:type="dxa"/>
            <w:vAlign w:val="bottom"/>
            <w:tcBorders>
              <w:bottom w:val="single" w:sz="8" w:color="CCEEFF"/>
            </w:tcBorders>
            <w:gridSpan w:val="2"/>
            <w:shd w:val="clear" w:color="auto" w:fill="CCEEFF"/>
          </w:tcPr>
          <w:p>
            <w:pPr>
              <w:jc w:val="right"/>
              <w:ind w:right="44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2"/>
              </w:rPr>
              <w:t>0.6</w:t>
            </w:r>
          </w:p>
        </w:tc>
        <w:tc>
          <w:tcPr>
            <w:tcW w:w="28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548.8</w:t>
            </w: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13.07</w:t>
            </w:r>
          </w:p>
        </w:tc>
        <w:tc>
          <w:tcPr>
            <w:tcW w:w="3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(605.4)</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335.1</w:t>
            </w:r>
          </w:p>
        </w:tc>
        <w:tc>
          <w:tcPr>
            <w:tcW w:w="2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275.5</w:t>
            </w:r>
          </w:p>
        </w:tc>
        <w:tc>
          <w:tcPr>
            <w:tcW w:w="0" w:type="dxa"/>
            <w:vAlign w:val="bottom"/>
          </w:tcPr>
          <w:p>
            <w:pPr>
              <w:spacing w:after="0"/>
              <w:rPr>
                <w:sz w:val="1"/>
                <w:szCs w:val="1"/>
                <w:color w:val="auto"/>
              </w:rPr>
            </w:pPr>
          </w:p>
        </w:tc>
      </w:tr>
      <w:tr>
        <w:trPr>
          <w:trHeight w:val="190"/>
        </w:trPr>
        <w:tc>
          <w:tcPr>
            <w:tcW w:w="3060" w:type="dxa"/>
            <w:vAlign w:val="bottom"/>
            <w:gridSpan w:val="2"/>
          </w:tcPr>
          <w:p>
            <w:pPr>
              <w:ind w:left="20"/>
              <w:spacing w:after="0"/>
              <w:rPr>
                <w:sz w:val="20"/>
                <w:szCs w:val="20"/>
                <w:color w:val="auto"/>
              </w:rPr>
            </w:pPr>
            <w:r>
              <w:rPr>
                <w:rFonts w:ascii="Arial" w:cs="Arial" w:eastAsia="Arial" w:hAnsi="Arial"/>
                <w:sz w:val="14"/>
                <w:szCs w:val="14"/>
                <w:color w:val="auto"/>
              </w:rPr>
              <w:t>Net income</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67.0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67.0</w:t>
            </w:r>
          </w:p>
        </w:tc>
        <w:tc>
          <w:tcPr>
            <w:tcW w:w="0" w:type="dxa"/>
            <w:vAlign w:val="bottom"/>
          </w:tcPr>
          <w:p>
            <w:pPr>
              <w:spacing w:after="0"/>
              <w:rPr>
                <w:sz w:val="1"/>
                <w:szCs w:val="1"/>
                <w:color w:val="auto"/>
              </w:rPr>
            </w:pPr>
          </w:p>
        </w:tc>
      </w:tr>
      <w:tr>
        <w:trPr>
          <w:trHeight w:val="39"/>
        </w:trPr>
        <w:tc>
          <w:tcPr>
            <w:tcW w:w="3060" w:type="dxa"/>
            <w:vAlign w:val="bottom"/>
            <w:gridSpan w:val="2"/>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gridSpan w:val="2"/>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3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Derivatives, net of tax</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91"/>
        </w:trPr>
        <w:tc>
          <w:tcPr>
            <w:tcW w:w="3060" w:type="dxa"/>
            <w:vAlign w:val="bottom"/>
            <w:gridSpan w:val="2"/>
          </w:tcPr>
          <w:p>
            <w:pPr>
              <w:ind w:left="20"/>
              <w:spacing w:after="0"/>
              <w:rPr>
                <w:sz w:val="20"/>
                <w:szCs w:val="20"/>
                <w:color w:val="auto"/>
              </w:rPr>
            </w:pPr>
            <w:r>
              <w:rPr>
                <w:rFonts w:ascii="Arial" w:cs="Arial" w:eastAsia="Arial" w:hAnsi="Arial"/>
                <w:sz w:val="14"/>
                <w:szCs w:val="14"/>
                <w:color w:val="auto"/>
              </w:rPr>
              <w:t>Share-based compensation</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39"/>
        </w:trPr>
        <w:tc>
          <w:tcPr>
            <w:tcW w:w="3060" w:type="dxa"/>
            <w:vAlign w:val="bottom"/>
            <w:gridSpan w:val="2"/>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6"/>
        </w:trPr>
        <w:tc>
          <w:tcPr>
            <w:tcW w:w="3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Issuance of common stock</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0.25</w:t>
            </w: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5.6</w:t>
            </w: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204"/>
        </w:trPr>
        <w:tc>
          <w:tcPr>
            <w:tcW w:w="3060" w:type="dxa"/>
            <w:vAlign w:val="bottom"/>
            <w:gridSpan w:val="2"/>
          </w:tcPr>
          <w:p>
            <w:pPr>
              <w:ind w:left="20"/>
              <w:spacing w:after="0"/>
              <w:rPr>
                <w:sz w:val="20"/>
                <w:szCs w:val="20"/>
                <w:color w:val="auto"/>
              </w:rPr>
            </w:pPr>
            <w:r>
              <w:rPr>
                <w:rFonts w:ascii="Arial" w:cs="Arial" w:eastAsia="Arial" w:hAnsi="Arial"/>
                <w:sz w:val="14"/>
                <w:szCs w:val="14"/>
                <w:color w:val="auto"/>
              </w:rPr>
              <w:t>Repurchase of common stock</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0.03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5"/>
        </w:trPr>
        <w:tc>
          <w:tcPr>
            <w:tcW w:w="22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06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Balance May 01, 2022</w:t>
            </w: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5"/>
              </w:rPr>
              <w:t>61.81</w:t>
            </w:r>
          </w:p>
        </w:tc>
        <w:tc>
          <w:tcPr>
            <w:tcW w:w="700" w:type="dxa"/>
            <w:vAlign w:val="bottom"/>
            <w:gridSpan w:val="2"/>
            <w:shd w:val="clear" w:color="auto" w:fill="CCEEFF"/>
          </w:tcPr>
          <w:p>
            <w:pPr>
              <w:jc w:val="right"/>
              <w:ind w:right="44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2"/>
              </w:rPr>
              <w:t>0.6</w:t>
            </w:r>
          </w:p>
        </w:tc>
        <w:tc>
          <w:tcPr>
            <w:tcW w:w="28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558.0</w:t>
            </w: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13.10</w:t>
            </w:r>
          </w:p>
        </w:tc>
        <w:tc>
          <w:tcPr>
            <w:tcW w:w="32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(606.6)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402.1</w:t>
            </w:r>
          </w:p>
        </w:tc>
        <w:tc>
          <w:tcPr>
            <w:tcW w:w="28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351.8</w:t>
            </w:r>
          </w:p>
        </w:tc>
        <w:tc>
          <w:tcPr>
            <w:tcW w:w="0" w:type="dxa"/>
            <w:vAlign w:val="bottom"/>
          </w:tcPr>
          <w:p>
            <w:pPr>
              <w:spacing w:after="0"/>
              <w:rPr>
                <w:sz w:val="1"/>
                <w:szCs w:val="1"/>
                <w:color w:val="auto"/>
              </w:rPr>
            </w:pPr>
          </w:p>
        </w:tc>
      </w:tr>
      <w:tr>
        <w:trPr>
          <w:trHeight w:val="20"/>
        </w:trPr>
        <w:tc>
          <w:tcPr>
            <w:tcW w:w="22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DAVE &amp; BUSTER’S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160" w:type="dxa"/>
            <w:vAlign w:val="bottom"/>
          </w:tcPr>
          <w:p>
            <w:pPr>
              <w:spacing w:after="0"/>
              <w:rPr>
                <w:sz w:val="15"/>
                <w:szCs w:val="15"/>
                <w:color w:val="auto"/>
              </w:rPr>
            </w:pPr>
          </w:p>
        </w:tc>
        <w:tc>
          <w:tcPr>
            <w:tcW w:w="148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Thirteen Weeks Ended</w:t>
            </w:r>
          </w:p>
        </w:tc>
        <w:tc>
          <w:tcPr>
            <w:tcW w:w="120" w:type="dxa"/>
            <w:vAlign w:val="bottom"/>
          </w:tcPr>
          <w:p>
            <w:pPr>
              <w:spacing w:after="0"/>
              <w:rPr>
                <w:sz w:val="15"/>
                <w:szCs w:val="15"/>
                <w:color w:val="auto"/>
              </w:rPr>
            </w:pPr>
          </w:p>
        </w:tc>
        <w:tc>
          <w:tcPr>
            <w:tcW w:w="148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Thirteen Weeks Ended</w:t>
            </w:r>
          </w:p>
        </w:tc>
      </w:tr>
      <w:tr>
        <w:trPr>
          <w:trHeight w:val="186"/>
        </w:trPr>
        <w:tc>
          <w:tcPr>
            <w:tcW w:w="8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211"/>
              <w:spacing w:after="0"/>
              <w:rPr>
                <w:sz w:val="20"/>
                <w:szCs w:val="20"/>
                <w:color w:val="auto"/>
              </w:rPr>
            </w:pPr>
            <w:r>
              <w:rPr>
                <w:rFonts w:ascii="Arial" w:cs="Arial" w:eastAsia="Arial" w:hAnsi="Arial"/>
                <w:sz w:val="14"/>
                <w:szCs w:val="14"/>
                <w:b w:val="1"/>
                <w:bCs w:val="1"/>
                <w:color w:val="auto"/>
              </w:rPr>
              <w:t>April 30, 2023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ind w:right="291"/>
              <w:spacing w:after="0"/>
              <w:rPr>
                <w:sz w:val="20"/>
                <w:szCs w:val="20"/>
                <w:color w:val="auto"/>
              </w:rPr>
            </w:pPr>
            <w:r>
              <w:rPr>
                <w:rFonts w:ascii="Arial" w:cs="Arial" w:eastAsia="Arial" w:hAnsi="Arial"/>
                <w:sz w:val="14"/>
                <w:szCs w:val="14"/>
                <w:b w:val="1"/>
                <w:bCs w:val="1"/>
                <w:color w:val="auto"/>
              </w:rPr>
              <w:t>May 1, 2022</w:t>
            </w:r>
          </w:p>
        </w:tc>
      </w:tr>
      <w:tr>
        <w:trPr>
          <w:trHeight w:val="39"/>
        </w:trPr>
        <w:tc>
          <w:tcPr>
            <w:tcW w:w="816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30"/>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r>
      <w:tr>
        <w:trPr>
          <w:trHeight w:val="243"/>
        </w:trPr>
        <w:tc>
          <w:tcPr>
            <w:tcW w:w="816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13"/>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70.1</w:t>
            </w:r>
          </w:p>
        </w:tc>
        <w:tc>
          <w:tcPr>
            <w:tcW w:w="36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67.0</w:t>
            </w:r>
          </w:p>
        </w:tc>
      </w:tr>
      <w:tr>
        <w:trPr>
          <w:trHeight w:val="27"/>
        </w:trPr>
        <w:tc>
          <w:tcPr>
            <w:tcW w:w="8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8160" w:type="dxa"/>
            <w:vAlign w:val="bottom"/>
          </w:tcPr>
          <w:p>
            <w:pPr>
              <w:ind w:left="360"/>
              <w:spacing w:after="0"/>
              <w:rPr>
                <w:sz w:val="20"/>
                <w:szCs w:val="20"/>
                <w:color w:val="auto"/>
              </w:rPr>
            </w:pPr>
            <w:r>
              <w:rPr>
                <w:rFonts w:ascii="Arial" w:cs="Arial" w:eastAsia="Arial" w:hAnsi="Arial"/>
                <w:sz w:val="18"/>
                <w:szCs w:val="18"/>
                <w:color w:val="auto"/>
              </w:rPr>
              <w:t>Depreciation and amortization expense</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48.9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33.3</w:t>
            </w:r>
          </w:p>
        </w:tc>
      </w:tr>
      <w:tr>
        <w:trPr>
          <w:trHeight w:val="27"/>
        </w:trPr>
        <w:tc>
          <w:tcPr>
            <w:tcW w:w="8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Non-cash interest expense</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43"/>
        </w:trPr>
        <w:tc>
          <w:tcPr>
            <w:tcW w:w="8160" w:type="dxa"/>
            <w:vAlign w:val="bottom"/>
          </w:tcPr>
          <w:p>
            <w:pPr>
              <w:ind w:left="360"/>
              <w:spacing w:after="0"/>
              <w:rPr>
                <w:sz w:val="20"/>
                <w:szCs w:val="20"/>
                <w:color w:val="auto"/>
              </w:rPr>
            </w:pPr>
            <w:r>
              <w:rPr>
                <w:rFonts w:ascii="Arial" w:cs="Arial" w:eastAsia="Arial" w:hAnsi="Arial"/>
                <w:sz w:val="18"/>
                <w:szCs w:val="18"/>
                <w:color w:val="auto"/>
              </w:rPr>
              <w:t>Deferred taxes</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7"/>
        </w:trPr>
        <w:tc>
          <w:tcPr>
            <w:tcW w:w="8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Loss on disposal of fixed assets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43"/>
        </w:trPr>
        <w:tc>
          <w:tcPr>
            <w:tcW w:w="8160" w:type="dxa"/>
            <w:vAlign w:val="bottom"/>
          </w:tcPr>
          <w:p>
            <w:pPr>
              <w:ind w:left="360"/>
              <w:spacing w:after="0"/>
              <w:rPr>
                <w:sz w:val="20"/>
                <w:szCs w:val="20"/>
                <w:color w:val="auto"/>
              </w:rPr>
            </w:pPr>
            <w:r>
              <w:rPr>
                <w:rFonts w:ascii="Arial" w:cs="Arial" w:eastAsia="Arial" w:hAnsi="Arial"/>
                <w:sz w:val="18"/>
                <w:szCs w:val="18"/>
                <w:color w:val="auto"/>
              </w:rPr>
              <w:t>Share-based compensation</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7"/>
        </w:trPr>
        <w:tc>
          <w:tcPr>
            <w:tcW w:w="8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 net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8160" w:type="dxa"/>
            <w:vAlign w:val="bottom"/>
          </w:tcPr>
          <w:p>
            <w:pPr>
              <w:ind w:left="180"/>
              <w:spacing w:after="0"/>
              <w:rPr>
                <w:sz w:val="20"/>
                <w:szCs w:val="20"/>
                <w:color w:val="auto"/>
              </w:rPr>
            </w:pPr>
            <w:r>
              <w:rPr>
                <w:rFonts w:ascii="Arial" w:cs="Arial" w:eastAsia="Arial" w:hAnsi="Arial"/>
                <w:sz w:val="18"/>
                <w:szCs w:val="18"/>
                <w:color w:val="auto"/>
              </w:rPr>
              <w:t>Changes in assets and liabilities, net of assets and liabilities acquired:</w:t>
            </w: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8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43"/>
        </w:trPr>
        <w:tc>
          <w:tcPr>
            <w:tcW w:w="8160" w:type="dxa"/>
            <w:vAlign w:val="bottom"/>
          </w:tcPr>
          <w:p>
            <w:pPr>
              <w:ind w:left="360"/>
              <w:spacing w:after="0"/>
              <w:rPr>
                <w:sz w:val="20"/>
                <w:szCs w:val="20"/>
                <w:color w:val="auto"/>
              </w:rPr>
            </w:pPr>
            <w:r>
              <w:rPr>
                <w:rFonts w:ascii="Arial" w:cs="Arial" w:eastAsia="Arial" w:hAnsi="Arial"/>
                <w:sz w:val="18"/>
                <w:szCs w:val="18"/>
                <w:color w:val="auto"/>
              </w:rPr>
              <w:t>Prepaid expenses</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7"/>
        </w:trPr>
        <w:tc>
          <w:tcPr>
            <w:tcW w:w="8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Income tax receivable</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w:t>
            </w:r>
          </w:p>
        </w:tc>
      </w:tr>
      <w:tr>
        <w:trPr>
          <w:trHeight w:val="243"/>
        </w:trPr>
        <w:tc>
          <w:tcPr>
            <w:tcW w:w="8160" w:type="dxa"/>
            <w:vAlign w:val="bottom"/>
          </w:tcPr>
          <w:p>
            <w:pPr>
              <w:ind w:left="360"/>
              <w:spacing w:after="0"/>
              <w:rPr>
                <w:sz w:val="20"/>
                <w:szCs w:val="20"/>
                <w:color w:val="auto"/>
              </w:rPr>
            </w:pPr>
            <w:r>
              <w:rPr>
                <w:rFonts w:ascii="Arial" w:cs="Arial" w:eastAsia="Arial" w:hAnsi="Arial"/>
                <w:sz w:val="18"/>
                <w:szCs w:val="18"/>
                <w:color w:val="auto"/>
              </w:rPr>
              <w:t>Other current assets</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7"/>
        </w:trPr>
        <w:tc>
          <w:tcPr>
            <w:tcW w:w="8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 assets and deferred charges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43"/>
        </w:trPr>
        <w:tc>
          <w:tcPr>
            <w:tcW w:w="816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7"/>
        </w:trPr>
        <w:tc>
          <w:tcPr>
            <w:tcW w:w="8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Accrued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43"/>
        </w:trPr>
        <w:tc>
          <w:tcPr>
            <w:tcW w:w="8160" w:type="dxa"/>
            <w:vAlign w:val="bottom"/>
          </w:tcPr>
          <w:p>
            <w:pPr>
              <w:ind w:left="360"/>
              <w:spacing w:after="0"/>
              <w:rPr>
                <w:sz w:val="20"/>
                <w:szCs w:val="20"/>
                <w:color w:val="auto"/>
              </w:rPr>
            </w:pPr>
            <w:r>
              <w:rPr>
                <w:rFonts w:ascii="Arial" w:cs="Arial" w:eastAsia="Arial" w:hAnsi="Arial"/>
                <w:sz w:val="18"/>
                <w:szCs w:val="18"/>
                <w:color w:val="auto"/>
              </w:rPr>
              <w:t>Income taxes payable</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7"/>
        </w:trPr>
        <w:tc>
          <w:tcPr>
            <w:tcW w:w="8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63"/>
        </w:trPr>
        <w:tc>
          <w:tcPr>
            <w:tcW w:w="8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 liabilities</w:t>
            </w: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64"/>
        </w:trPr>
        <w:tc>
          <w:tcPr>
            <w:tcW w:w="8160" w:type="dxa"/>
            <w:vAlign w:val="bottom"/>
          </w:tcPr>
          <w:p>
            <w:pPr>
              <w:ind w:left="18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92.4</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148.6</w:t>
            </w:r>
          </w:p>
        </w:tc>
      </w:tr>
      <w:tr>
        <w:trPr>
          <w:trHeight w:val="250"/>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8160" w:type="dxa"/>
            <w:vAlign w:val="bottom"/>
          </w:tcPr>
          <w:p>
            <w:pPr>
              <w:ind w:left="180"/>
              <w:spacing w:after="0"/>
              <w:rPr>
                <w:sz w:val="20"/>
                <w:szCs w:val="20"/>
                <w:color w:val="auto"/>
              </w:rPr>
            </w:pPr>
            <w:r>
              <w:rPr>
                <w:rFonts w:ascii="Arial" w:cs="Arial" w:eastAsia="Arial" w:hAnsi="Arial"/>
                <w:sz w:val="18"/>
                <w:szCs w:val="18"/>
                <w:color w:val="auto"/>
              </w:rPr>
              <w:t>Capital expenditures</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(51.2)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(40.0)</w:t>
            </w:r>
          </w:p>
        </w:tc>
      </w:tr>
      <w:tr>
        <w:trPr>
          <w:trHeight w:val="27"/>
        </w:trPr>
        <w:tc>
          <w:tcPr>
            <w:tcW w:w="8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sales of property and equipment</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37"/>
        </w:trPr>
        <w:tc>
          <w:tcPr>
            <w:tcW w:w="8160" w:type="dxa"/>
            <w:vAlign w:val="bottom"/>
          </w:tcPr>
          <w:p>
            <w:pPr>
              <w:ind w:left="180"/>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(50.8)</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(39.8)</w:t>
            </w:r>
          </w:p>
        </w:tc>
      </w:tr>
      <w:tr>
        <w:trPr>
          <w:trHeight w:val="27"/>
        </w:trPr>
        <w:tc>
          <w:tcPr>
            <w:tcW w:w="8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0"/>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r>
      <w:tr>
        <w:trPr>
          <w:trHeight w:val="243"/>
        </w:trPr>
        <w:tc>
          <w:tcPr>
            <w:tcW w:w="8160" w:type="dxa"/>
            <w:vAlign w:val="bottom"/>
          </w:tcPr>
          <w:p>
            <w:pPr>
              <w:ind w:left="180"/>
              <w:spacing w:after="0"/>
              <w:rPr>
                <w:sz w:val="20"/>
                <w:szCs w:val="20"/>
                <w:color w:val="auto"/>
              </w:rPr>
            </w:pPr>
            <w:r>
              <w:rPr>
                <w:rFonts w:ascii="Arial" w:cs="Arial" w:eastAsia="Arial" w:hAnsi="Arial"/>
                <w:sz w:val="18"/>
                <w:szCs w:val="18"/>
                <w:color w:val="auto"/>
              </w:rPr>
              <w:t>Proceeds from debt</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27"/>
        </w:trPr>
        <w:tc>
          <w:tcPr>
            <w:tcW w:w="8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Payments of debt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w:t>
            </w:r>
          </w:p>
        </w:tc>
      </w:tr>
      <w:tr>
        <w:trPr>
          <w:trHeight w:val="243"/>
        </w:trPr>
        <w:tc>
          <w:tcPr>
            <w:tcW w:w="8160" w:type="dxa"/>
            <w:vAlign w:val="bottom"/>
          </w:tcPr>
          <w:p>
            <w:pPr>
              <w:ind w:left="180"/>
              <w:spacing w:after="0"/>
              <w:rPr>
                <w:sz w:val="20"/>
                <w:szCs w:val="20"/>
                <w:color w:val="auto"/>
              </w:rPr>
            </w:pPr>
            <w:r>
              <w:rPr>
                <w:rFonts w:ascii="Arial" w:cs="Arial" w:eastAsia="Arial" w:hAnsi="Arial"/>
                <w:sz w:val="18"/>
                <w:szCs w:val="18"/>
                <w:color w:val="auto"/>
              </w:rPr>
              <w:t>Proceeds from the exercise of stock options</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7"/>
        </w:trPr>
        <w:tc>
          <w:tcPr>
            <w:tcW w:w="8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Repurchases of common stock under share repurchase program</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8160" w:type="dxa"/>
            <w:vAlign w:val="bottom"/>
          </w:tcPr>
          <w:p>
            <w:pPr>
              <w:ind w:left="180"/>
              <w:spacing w:after="0"/>
              <w:rPr>
                <w:sz w:val="20"/>
                <w:szCs w:val="20"/>
                <w:color w:val="auto"/>
              </w:rPr>
            </w:pPr>
            <w:r>
              <w:rPr>
                <w:rFonts w:ascii="Arial" w:cs="Arial" w:eastAsia="Arial" w:hAnsi="Arial"/>
                <w:sz w:val="18"/>
                <w:szCs w:val="18"/>
                <w:color w:val="auto"/>
              </w:rPr>
              <w:t>Repurchases of common stock to satisfy employee withholding tax obligations</w:t>
            </w: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r>
      <w:tr>
        <w:trPr>
          <w:trHeight w:val="264"/>
        </w:trPr>
        <w:tc>
          <w:tcPr>
            <w:tcW w:w="8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provided by (used in) financing activities:</w:t>
            </w: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43"/>
        </w:trPr>
        <w:tc>
          <w:tcPr>
            <w:tcW w:w="8160" w:type="dxa"/>
            <w:vAlign w:val="bottom"/>
          </w:tcPr>
          <w:p>
            <w:pPr>
              <w:ind w:left="20"/>
              <w:spacing w:after="0"/>
              <w:rPr>
                <w:sz w:val="20"/>
                <w:szCs w:val="20"/>
                <w:color w:val="auto"/>
              </w:rPr>
            </w:pPr>
            <w:r>
              <w:rPr>
                <w:rFonts w:ascii="Arial" w:cs="Arial" w:eastAsia="Arial" w:hAnsi="Arial"/>
                <w:sz w:val="18"/>
                <w:szCs w:val="18"/>
                <w:color w:val="auto"/>
              </w:rPr>
              <w:t>Increase (decrease) in cash and cash equivalents</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(90.1)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113.2</w:t>
            </w:r>
          </w:p>
        </w:tc>
      </w:tr>
      <w:tr>
        <w:trPr>
          <w:trHeight w:val="27"/>
        </w:trPr>
        <w:tc>
          <w:tcPr>
            <w:tcW w:w="8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63"/>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cash and cash equivalents</w:t>
            </w: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w:t>
            </w:r>
          </w:p>
        </w:tc>
      </w:tr>
      <w:tr>
        <w:trPr>
          <w:trHeight w:val="270"/>
        </w:trPr>
        <w:tc>
          <w:tcPr>
            <w:tcW w:w="8160" w:type="dxa"/>
            <w:vAlign w:val="bottom"/>
          </w:tcPr>
          <w:p>
            <w:pPr>
              <w:ind w:left="20"/>
              <w:spacing w:after="0"/>
              <w:rPr>
                <w:sz w:val="20"/>
                <w:szCs w:val="20"/>
                <w:color w:val="auto"/>
              </w:rPr>
            </w:pPr>
            <w:r>
              <w:rPr>
                <w:rFonts w:ascii="Arial" w:cs="Arial" w:eastAsia="Arial" w:hAnsi="Arial"/>
                <w:sz w:val="18"/>
                <w:szCs w:val="18"/>
                <w:color w:val="auto"/>
              </w:rPr>
              <w:t>Ending cash and cash equivalents</w:t>
            </w:r>
          </w:p>
        </w:tc>
        <w:tc>
          <w:tcPr>
            <w:tcW w:w="220" w:type="dxa"/>
            <w:vAlign w:val="bottom"/>
          </w:tcPr>
          <w:p>
            <w:pPr>
              <w:jc w:val="right"/>
              <w:ind w:right="13"/>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91.5</w:t>
            </w:r>
          </w:p>
        </w:tc>
        <w:tc>
          <w:tcPr>
            <w:tcW w:w="36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139.1</w:t>
            </w:r>
          </w:p>
        </w:tc>
      </w:tr>
      <w:tr>
        <w:trPr>
          <w:trHeight w:val="20"/>
        </w:trPr>
        <w:tc>
          <w:tcPr>
            <w:tcW w:w="816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Supplemental disclosures of cash flow information:</w:t>
            </w:r>
          </w:p>
        </w:tc>
        <w:tc>
          <w:tcPr>
            <w:tcW w:w="2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r>
      <w:tr>
        <w:trPr>
          <w:trHeight w:val="243"/>
        </w:trPr>
        <w:tc>
          <w:tcPr>
            <w:tcW w:w="8160" w:type="dxa"/>
            <w:vAlign w:val="bottom"/>
          </w:tcPr>
          <w:p>
            <w:pPr>
              <w:ind w:left="180"/>
              <w:spacing w:after="0"/>
              <w:rPr>
                <w:sz w:val="20"/>
                <w:szCs w:val="20"/>
                <w:color w:val="auto"/>
              </w:rPr>
            </w:pPr>
            <w:r>
              <w:rPr>
                <w:rFonts w:ascii="Arial" w:cs="Arial" w:eastAsia="Arial" w:hAnsi="Arial"/>
                <w:sz w:val="18"/>
                <w:szCs w:val="18"/>
                <w:color w:val="auto"/>
              </w:rPr>
              <w:t>Change in fixed asset accounts payable</w:t>
            </w:r>
          </w:p>
        </w:tc>
        <w:tc>
          <w:tcPr>
            <w:tcW w:w="220" w:type="dxa"/>
            <w:vAlign w:val="bottom"/>
          </w:tcPr>
          <w:p>
            <w:pPr>
              <w:jc w:val="right"/>
              <w:ind w:right="13"/>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3.8</w:t>
            </w:r>
          </w:p>
        </w:tc>
        <w:tc>
          <w:tcPr>
            <w:tcW w:w="36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7"/>
        </w:trPr>
        <w:tc>
          <w:tcPr>
            <w:tcW w:w="8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paid (refund received) for income taxes, net</w:t>
            </w:r>
          </w:p>
        </w:tc>
        <w:tc>
          <w:tcPr>
            <w:tcW w:w="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6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w:t>
            </w:r>
          </w:p>
        </w:tc>
      </w:tr>
      <w:tr>
        <w:trPr>
          <w:trHeight w:val="243"/>
        </w:trPr>
        <w:tc>
          <w:tcPr>
            <w:tcW w:w="8160" w:type="dxa"/>
            <w:vAlign w:val="bottom"/>
          </w:tcPr>
          <w:p>
            <w:pPr>
              <w:ind w:left="180"/>
              <w:spacing w:after="0"/>
              <w:rPr>
                <w:sz w:val="20"/>
                <w:szCs w:val="20"/>
                <w:color w:val="auto"/>
              </w:rPr>
            </w:pPr>
            <w:r>
              <w:rPr>
                <w:rFonts w:ascii="Arial" w:cs="Arial" w:eastAsia="Arial" w:hAnsi="Arial"/>
                <w:sz w:val="18"/>
                <w:szCs w:val="18"/>
                <w:color w:val="auto"/>
              </w:rPr>
              <w:t>Cash paid for interest, net</w:t>
            </w:r>
          </w:p>
        </w:tc>
        <w:tc>
          <w:tcPr>
            <w:tcW w:w="220" w:type="dxa"/>
            <w:vAlign w:val="bottom"/>
          </w:tcPr>
          <w:p>
            <w:pPr>
              <w:jc w:val="right"/>
              <w:ind w:right="13"/>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27.2</w:t>
            </w:r>
          </w:p>
        </w:tc>
        <w:tc>
          <w:tcPr>
            <w:tcW w:w="36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16.9</w:t>
            </w: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46"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DAVE &amp; BUSTER’S ENTERTAINMENT, INC. NOTES TO UNAUDITED CONSOLIDATED FINANCIAL STATEMENTS (in millions, except per share amounts)</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121"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The accompanying unaudited consolidated financial statements include the accounts of Dave &amp; Buster’s Entertainment, Inc. (referred to herein as the “Company”, “we,” “us” and “our”), any predecessor companies and its wholly-owned subsidiaries, Dave &amp; Buster’s Holdings, Inc. (“D&amp;B Holdings”), which owns 100% of the outstanding common stock of Dave &amp; Buster’s, Inc. (“D&amp;B Inc”), the operating company. The Company, headquartered in Coppell, Texas, is a leading operator of high-volume entertainment and dining venues (“stores”) in North America for adults and families.</w:t>
      </w:r>
    </w:p>
    <w:p>
      <w:pPr>
        <w:spacing w:after="0" w:line="157"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On June 29, 2022 (the “Closing Date”), the Company completed its acquisition (the “Main Event Acquisition” or “the Acquisition”) of 100% of the equity interests of Ardent Leisure US Holding Inc. (“Ardent US”), pursuant to that certain Agreement and Plan of Merger (the “Merger Agreement”), dated April 6, 2022, by and among the Company, Ardent US, Delta Bravo Merger Sub, Inc, the Company’s wholly-owned subsidiary formed for the purpose of completing the transactions set forth in the Merger Agreement, for the limited purposes set forth therein, Ardent Leisure Group Limited (“Ardent”), and, for the limited purposes set forth therein, RB ME LP (“RedBird”) and RB ME Blocker, LLC, REB ME Series 2019 Investor Aggregator LP and RedBird Series 2019 GP Co-Invest, LP. Refer to Note 2, Business Combinations, for further discussion of the Main Event Acquisition.</w:t>
      </w:r>
    </w:p>
    <w:p>
      <w:pPr>
        <w:spacing w:after="0" w:line="164"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During the thirteen weeks ended April 30, 2023, the Company opened four stores, and as of April 30, 2023, the Company owned and operated 208 stores in 42 states, Puerto Rico and one Canadian province.</w:t>
      </w:r>
    </w:p>
    <w:p>
      <w:pPr>
        <w:spacing w:after="0" w:line="170"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Company operates its business as two operating segments based on its major brands, Dave &amp; Buster's and Main Event. The Company has one reportable segment as both brands provide similar products and services to a similar customer base, are managed together by a single management team and share similar economic characteristics.</w:t>
      </w:r>
    </w:p>
    <w:p>
      <w:pPr>
        <w:spacing w:after="0" w:line="184"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The Company operates on a 52 or 53-week fiscal year that ends on the Sunday after the Saturday closest to January 31. Each quarterly period reported has 13 weeks. Fiscal 2023, which ends on February 4, 2024, has 53 weeks. Fiscal 2022, which ended on January 29, 2023, had 52 weeks.</w:t>
      </w:r>
    </w:p>
    <w:p>
      <w:pPr>
        <w:spacing w:after="0" w:line="146"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The Company’s financial statements have been prepared in accordance with generally accepted accounting principles (“GAAP”) in the United States for interim financial information as prescribed by the Securities and Exchange Commission (“SEC”). Accordingly, they do not include all the information and notes required by GAAP for complete financial statements. In the opinion of management, these financial statements contain all adjustments, consisting of normal recurring accruals, necessary to present fairly the financial position, results of operations and cash flows for the periods indicated. Our quarterly financial data should be read in conjunction with the audited financial statements and notes thereto for the year ended January 29, 2023, included in our Annual Report on Form 10-K. Amounts in the consolidated financial statements of this Quarterly Report on Form 10-Q are presented in millions. The amounts in the consolidated financial statements, and the notes thereto, of our Annual Report on Form 10-K were presented in thousands.</w:t>
      </w:r>
    </w:p>
    <w:p>
      <w:pPr>
        <w:spacing w:after="0" w:line="166"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The preparation of consolidated financial statements in conformity with GAAP requires us to make estimates and assumptions that affect the reported amounts of assets, liabilities, revenues and expenses and related disclosures of contingent assets and liabilities at the date of the consolidated financial statements and for the period then ended. Actual results could differ from those estimates. Operating results for the thirteen weeks ended April 30, 2023 are not necessarily indicative of results that may be expected for any other interim period or for the full fiscal year ending February 4, 2024.</w:t>
      </w:r>
    </w:p>
    <w:p>
      <w:pPr>
        <w:spacing w:after="0" w:line="15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b w:val="1"/>
          <w:bCs w:val="1"/>
          <w:i w:val="1"/>
          <w:iCs w:val="1"/>
          <w:color w:val="auto"/>
        </w:rPr>
        <w:t xml:space="preserve">Cash and cash equivalents </w:t>
      </w:r>
      <w:r>
        <w:rPr>
          <w:rFonts w:ascii="Arial" w:cs="Arial" w:eastAsia="Arial" w:hAnsi="Arial"/>
          <w:sz w:val="18"/>
          <w:szCs w:val="18"/>
          <w:color w:val="auto"/>
        </w:rPr>
        <w:t>— We consider transaction settlements in process from credit card companies and all highly-liquid investments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original maturities of three months or less to be cash equivalents. Our cash management system provides for the daily funding of all major bank disbursement accounts as checks are presented for payment. Under this system, outstanding checks in excess of the cash balances at certain banks creates book overdrafts. There were no book overdrafts as of April 30, 2023 or as of January 29, 2023.</w:t>
      </w:r>
    </w:p>
    <w:p>
      <w:pPr>
        <w:spacing w:after="0" w:line="18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b w:val="1"/>
          <w:bCs w:val="1"/>
          <w:i w:val="1"/>
          <w:iCs w:val="1"/>
          <w:color w:val="auto"/>
        </w:rPr>
        <w:t xml:space="preserve">Fair value of financial instruments </w:t>
      </w:r>
      <w:r>
        <w:rPr>
          <w:rFonts w:ascii="Arial" w:cs="Arial" w:eastAsia="Arial" w:hAnsi="Arial"/>
          <w:sz w:val="18"/>
          <w:szCs w:val="18"/>
          <w:color w:val="auto"/>
        </w:rPr>
        <w:t>— Fair value is defined as the price that would be received to sell an asset or paid to transfer a liability in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orderly transaction between market participants at the measurement date under current market conditions. In determining fair value, the accounting standards establish a three-level hierarchy for inputs used in measuring fair value as follows: Level One inputs are quoted prices available for identical assets or liabilities in active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46"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DAVE &amp; BUSTER’S ENTERTAINMENT, INC. NOTES TO UNAUDITED CONSOLIDATED FINANCIAL STATEMENTS (in millions, except per share amounts)</w:t>
      </w:r>
    </w:p>
    <w:p>
      <w:pPr>
        <w:spacing w:after="0" w:line="200" w:lineRule="exact"/>
        <w:rPr>
          <w:sz w:val="20"/>
          <w:szCs w:val="20"/>
          <w:color w:val="auto"/>
        </w:rPr>
      </w:pPr>
    </w:p>
    <w:p>
      <w:pPr>
        <w:spacing w:after="0" w:line="3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markets; Level Two inputs are observable for the asset or liability, either directly or indirectly, including quoted prices for similar assets or liabilities in active markets; and Level Three inputs are unobservable and reflect management’s own assumptions.</w:t>
      </w:r>
    </w:p>
    <w:p>
      <w:pPr>
        <w:spacing w:after="0" w:line="170"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The carrying amounts of cash and cash equivalents, accounts and notes receivable, accounts payable, and other current liabilities approximate fair value because of their short-term nature. The fair value of the Company’s debt is determined based on traded price data as of the measurement date, which we classify as a Level Two input within the fair value hierarchy. The fair value of the Company's debt was as follows as of the periods indicated:</w:t>
      </w:r>
    </w:p>
    <w:p>
      <w:pPr>
        <w:spacing w:after="0" w:line="190" w:lineRule="exact"/>
        <w:rPr>
          <w:sz w:val="20"/>
          <w:szCs w:val="20"/>
          <w:color w:val="auto"/>
        </w:rPr>
      </w:pPr>
    </w:p>
    <w:tbl>
      <w:tblPr>
        <w:tblLayout w:type="fixed"/>
        <w:tblInd w:w="600" w:type="dxa"/>
        <w:tblCellMar>
          <w:top w:w="0" w:type="dxa"/>
          <w:left w:w="0" w:type="dxa"/>
          <w:bottom w:w="0" w:type="dxa"/>
          <w:right w:w="0" w:type="dxa"/>
        </w:tblCellMar>
      </w:tblPr>
      <w:tr>
        <w:trPr>
          <w:trHeight w:val="210"/>
        </w:trPr>
        <w:tc>
          <w:tcPr>
            <w:tcW w:w="6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jc w:val="right"/>
              <w:ind w:right="332"/>
              <w:spacing w:after="0"/>
              <w:rPr>
                <w:sz w:val="20"/>
                <w:szCs w:val="20"/>
                <w:color w:val="auto"/>
              </w:rPr>
            </w:pPr>
            <w:r>
              <w:rPr>
                <w:rFonts w:ascii="Arial" w:cs="Arial" w:eastAsia="Arial" w:hAnsi="Arial"/>
                <w:sz w:val="16"/>
                <w:szCs w:val="16"/>
                <w:b w:val="1"/>
                <w:bCs w:val="1"/>
                <w:color w:val="auto"/>
              </w:rPr>
              <w:t>April 30, 2023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jc w:val="right"/>
              <w:ind w:right="252"/>
              <w:spacing w:after="0"/>
              <w:rPr>
                <w:sz w:val="20"/>
                <w:szCs w:val="20"/>
                <w:color w:val="auto"/>
              </w:rPr>
            </w:pPr>
            <w:r>
              <w:rPr>
                <w:rFonts w:ascii="Arial" w:cs="Arial" w:eastAsia="Arial" w:hAnsi="Arial"/>
                <w:sz w:val="16"/>
                <w:szCs w:val="16"/>
                <w:b w:val="1"/>
                <w:bCs w:val="1"/>
                <w:color w:val="auto"/>
                <w:w w:val="98"/>
              </w:rPr>
              <w:t>January 29, 2023</w:t>
            </w:r>
          </w:p>
        </w:tc>
      </w:tr>
      <w:tr>
        <w:trPr>
          <w:trHeight w:val="33"/>
        </w:trPr>
        <w:tc>
          <w:tcPr>
            <w:tcW w:w="63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3"/>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Revolving credit facility</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300" w:type="dxa"/>
            <w:vAlign w:val="bottom"/>
          </w:tcPr>
          <w:p>
            <w:pPr>
              <w:ind w:left="20"/>
              <w:spacing w:after="0"/>
              <w:rPr>
                <w:sz w:val="20"/>
                <w:szCs w:val="20"/>
                <w:color w:val="auto"/>
              </w:rPr>
            </w:pPr>
            <w:r>
              <w:rPr>
                <w:rFonts w:ascii="Arial" w:cs="Arial" w:eastAsia="Arial" w:hAnsi="Arial"/>
                <w:sz w:val="18"/>
                <w:szCs w:val="18"/>
                <w:color w:val="auto"/>
              </w:rPr>
              <w:t>Term loan</w:t>
            </w:r>
          </w:p>
        </w:tc>
        <w:tc>
          <w:tcPr>
            <w:tcW w:w="2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846.8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864.5</w:t>
            </w:r>
          </w:p>
        </w:tc>
      </w:tr>
      <w:tr>
        <w:trPr>
          <w:trHeight w:val="27"/>
        </w:trPr>
        <w:tc>
          <w:tcPr>
            <w:tcW w:w="6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secured notes</w:t>
            </w:r>
          </w:p>
        </w:tc>
        <w:tc>
          <w:tcPr>
            <w:tcW w:w="2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449.1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441.8</w:t>
            </w:r>
          </w:p>
        </w:tc>
      </w:tr>
      <w:tr>
        <w:trPr>
          <w:trHeight w:val="237"/>
        </w:trPr>
        <w:tc>
          <w:tcPr>
            <w:tcW w:w="630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1,295.9</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1,306.3</w:t>
            </w:r>
          </w:p>
        </w:tc>
      </w:tr>
      <w:tr>
        <w:trPr>
          <w:trHeight w:val="27"/>
        </w:trPr>
        <w:tc>
          <w:tcPr>
            <w:tcW w:w="63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1"/>
        </w:trPr>
        <w:tc>
          <w:tcPr>
            <w:tcW w:w="6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Company also measures certain non-financial assets (primarily property and equipment, right-of-use assets, goodwill, tradenames, and other assets) at fair value on a non-recurring basis in connection with its periodic evaluations of such assets for potential impairment. During the thirteen weeks ended April 30, 2023, there were no impairments recognized.</w:t>
      </w:r>
    </w:p>
    <w:p>
      <w:pPr>
        <w:spacing w:after="0" w:line="184"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b w:val="1"/>
          <w:bCs w:val="1"/>
          <w:i w:val="1"/>
          <w:iCs w:val="1"/>
          <w:color w:val="auto"/>
        </w:rPr>
        <w:t xml:space="preserve">Revenues </w:t>
      </w:r>
      <w:r>
        <w:rPr>
          <w:rFonts w:ascii="Arial" w:cs="Arial" w:eastAsia="Arial" w:hAnsi="Arial"/>
          <w:sz w:val="18"/>
          <w:szCs w:val="18"/>
          <w:color w:val="auto"/>
        </w:rPr>
        <w:t>— Our entertainment revenues primarily consist of attractions including redemption and simulation games, bowling, laser tag, billiards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gravity ropes. Our food and beverage revenues consist of full meals, appetizers and both alcoholic and nonalcoholic beverages. The Company's revenue for these categories was as follows:</w:t>
      </w:r>
    </w:p>
    <w:p>
      <w:pPr>
        <w:spacing w:after="0" w:line="229" w:lineRule="exact"/>
        <w:rPr>
          <w:sz w:val="20"/>
          <w:szCs w:val="20"/>
          <w:color w:val="auto"/>
        </w:rPr>
      </w:pPr>
    </w:p>
    <w:tbl>
      <w:tblPr>
        <w:tblLayout w:type="fixed"/>
        <w:tblInd w:w="700" w:type="dxa"/>
        <w:tblCellMar>
          <w:top w:w="0" w:type="dxa"/>
          <w:left w:w="0" w:type="dxa"/>
          <w:bottom w:w="0" w:type="dxa"/>
          <w:right w:w="0" w:type="dxa"/>
        </w:tblCellMar>
      </w:tblPr>
      <w:tr>
        <w:trPr>
          <w:trHeight w:val="175"/>
        </w:trPr>
        <w:tc>
          <w:tcPr>
            <w:tcW w:w="6080" w:type="dxa"/>
            <w:vAlign w:val="bottom"/>
          </w:tcPr>
          <w:p>
            <w:pPr>
              <w:spacing w:after="0"/>
              <w:rPr>
                <w:sz w:val="15"/>
                <w:szCs w:val="15"/>
                <w:color w:val="auto"/>
              </w:rPr>
            </w:pPr>
          </w:p>
        </w:tc>
        <w:tc>
          <w:tcPr>
            <w:tcW w:w="1820" w:type="dxa"/>
            <w:vAlign w:val="bottom"/>
            <w:gridSpan w:val="2"/>
          </w:tcPr>
          <w:p>
            <w:pPr>
              <w:ind w:left="20"/>
              <w:spacing w:after="0"/>
              <w:rPr>
                <w:sz w:val="20"/>
                <w:szCs w:val="20"/>
                <w:color w:val="auto"/>
              </w:rPr>
            </w:pPr>
            <w:r>
              <w:rPr>
                <w:rFonts w:ascii="Arial" w:cs="Arial" w:eastAsia="Arial" w:hAnsi="Arial"/>
                <w:sz w:val="14"/>
                <w:szCs w:val="14"/>
                <w:b w:val="1"/>
                <w:bCs w:val="1"/>
                <w:color w:val="auto"/>
                <w:w w:val="95"/>
              </w:rPr>
              <w:t>Thirteen Weeks Ended April</w:t>
            </w:r>
          </w:p>
        </w:tc>
        <w:tc>
          <w:tcPr>
            <w:tcW w:w="100" w:type="dxa"/>
            <w:vAlign w:val="bottom"/>
          </w:tcPr>
          <w:p>
            <w:pPr>
              <w:spacing w:after="0"/>
              <w:rPr>
                <w:sz w:val="15"/>
                <w:szCs w:val="15"/>
                <w:color w:val="auto"/>
              </w:rPr>
            </w:pPr>
          </w:p>
        </w:tc>
        <w:tc>
          <w:tcPr>
            <w:tcW w:w="184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Thirteen Weeks Ended May</w:t>
            </w:r>
          </w:p>
        </w:tc>
      </w:tr>
      <w:tr>
        <w:trPr>
          <w:trHeight w:val="186"/>
        </w:trPr>
        <w:tc>
          <w:tcPr>
            <w:tcW w:w="60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tcPr>
          <w:p>
            <w:pPr>
              <w:jc w:val="right"/>
              <w:ind w:right="573"/>
              <w:spacing w:after="0"/>
              <w:rPr>
                <w:sz w:val="20"/>
                <w:szCs w:val="20"/>
                <w:color w:val="auto"/>
              </w:rPr>
            </w:pPr>
            <w:r>
              <w:rPr>
                <w:rFonts w:ascii="Arial" w:cs="Arial" w:eastAsia="Arial" w:hAnsi="Arial"/>
                <w:sz w:val="14"/>
                <w:szCs w:val="14"/>
                <w:b w:val="1"/>
                <w:bCs w:val="1"/>
                <w:color w:val="auto"/>
              </w:rPr>
              <w:t>30, 2023</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40" w:type="dxa"/>
            <w:vAlign w:val="bottom"/>
          </w:tcPr>
          <w:p>
            <w:pPr>
              <w:jc w:val="right"/>
              <w:ind w:right="613"/>
              <w:spacing w:after="0"/>
              <w:rPr>
                <w:sz w:val="20"/>
                <w:szCs w:val="20"/>
                <w:color w:val="auto"/>
              </w:rPr>
            </w:pPr>
            <w:r>
              <w:rPr>
                <w:rFonts w:ascii="Arial" w:cs="Arial" w:eastAsia="Arial" w:hAnsi="Arial"/>
                <w:sz w:val="14"/>
                <w:szCs w:val="14"/>
                <w:b w:val="1"/>
                <w:bCs w:val="1"/>
                <w:color w:val="auto"/>
              </w:rPr>
              <w:t>1, 2022</w:t>
            </w:r>
          </w:p>
        </w:tc>
      </w:tr>
      <w:tr>
        <w:trPr>
          <w:trHeight w:val="25"/>
        </w:trPr>
        <w:tc>
          <w:tcPr>
            <w:tcW w:w="60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Entertainment</w:t>
            </w:r>
          </w:p>
        </w:tc>
        <w:tc>
          <w:tcPr>
            <w:tcW w:w="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386.1</w:t>
            </w:r>
          </w:p>
        </w:tc>
        <w:tc>
          <w:tcPr>
            <w:tcW w:w="500" w:type="dxa"/>
            <w:vAlign w:val="bottom"/>
            <w:tcBorders>
              <w:bottom w:val="single" w:sz="8" w:color="CCEEFF"/>
            </w:tcBorders>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297.1</w:t>
            </w:r>
          </w:p>
        </w:tc>
      </w:tr>
      <w:tr>
        <w:trPr>
          <w:trHeight w:val="270"/>
        </w:trPr>
        <w:tc>
          <w:tcPr>
            <w:tcW w:w="6080" w:type="dxa"/>
            <w:vAlign w:val="bottom"/>
          </w:tcPr>
          <w:p>
            <w:pPr>
              <w:ind w:left="40"/>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(1)</w:t>
            </w:r>
          </w:p>
        </w:tc>
        <w:tc>
          <w:tcPr>
            <w:tcW w:w="38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r>
      <w:tr>
        <w:trPr>
          <w:trHeight w:val="263"/>
        </w:trPr>
        <w:tc>
          <w:tcPr>
            <w:tcW w:w="6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xml:space="preserve">Entertainment revenues </w:t>
            </w:r>
            <w:r>
              <w:rPr>
                <w:rFonts w:ascii="Arial" w:cs="Arial" w:eastAsia="Arial" w:hAnsi="Arial"/>
                <w:sz w:val="23"/>
                <w:szCs w:val="23"/>
                <w:color w:val="auto"/>
                <w:vertAlign w:val="superscript"/>
              </w:rPr>
              <w:t>(2)</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393.1</w:t>
            </w:r>
          </w:p>
        </w:tc>
        <w:tc>
          <w:tcPr>
            <w:tcW w:w="50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299.2</w:t>
            </w:r>
          </w:p>
        </w:tc>
      </w:tr>
      <w:tr>
        <w:trPr>
          <w:trHeight w:val="270"/>
        </w:trPr>
        <w:tc>
          <w:tcPr>
            <w:tcW w:w="60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Food and nonalcoholic beverages</w:t>
            </w:r>
          </w:p>
        </w:tc>
        <w:tc>
          <w:tcPr>
            <w:tcW w:w="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136.1</w:t>
            </w:r>
          </w:p>
        </w:tc>
        <w:tc>
          <w:tcPr>
            <w:tcW w:w="500" w:type="dxa"/>
            <w:vAlign w:val="bottom"/>
            <w:tcBorders>
              <w:bottom w:val="single" w:sz="8" w:color="CCEEFF"/>
            </w:tcBorders>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101.4</w:t>
            </w:r>
          </w:p>
        </w:tc>
      </w:tr>
      <w:tr>
        <w:trPr>
          <w:trHeight w:val="263"/>
        </w:trPr>
        <w:tc>
          <w:tcPr>
            <w:tcW w:w="6080" w:type="dxa"/>
            <w:vAlign w:val="bottom"/>
          </w:tcPr>
          <w:p>
            <w:pPr>
              <w:ind w:left="40"/>
              <w:spacing w:after="0"/>
              <w:rPr>
                <w:sz w:val="20"/>
                <w:szCs w:val="20"/>
                <w:color w:val="auto"/>
              </w:rPr>
            </w:pPr>
            <w:r>
              <w:rPr>
                <w:rFonts w:ascii="Arial" w:cs="Arial" w:eastAsia="Arial" w:hAnsi="Arial"/>
                <w:sz w:val="18"/>
                <w:szCs w:val="18"/>
                <w:color w:val="auto"/>
              </w:rPr>
              <w:t>Alcoholic beverages</w:t>
            </w:r>
          </w:p>
        </w:tc>
        <w:tc>
          <w:tcPr>
            <w:tcW w:w="3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w:t>
            </w:r>
          </w:p>
        </w:tc>
      </w:tr>
      <w:tr>
        <w:trPr>
          <w:trHeight w:val="243"/>
        </w:trPr>
        <w:tc>
          <w:tcPr>
            <w:tcW w:w="6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Food and beverage revenues</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204.2</w:t>
            </w:r>
          </w:p>
        </w:tc>
        <w:tc>
          <w:tcPr>
            <w:tcW w:w="50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151.9</w:t>
            </w:r>
          </w:p>
        </w:tc>
      </w:tr>
      <w:tr>
        <w:trPr>
          <w:trHeight w:val="27"/>
        </w:trPr>
        <w:tc>
          <w:tcPr>
            <w:tcW w:w="60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r>
    </w:tbl>
    <w:p>
      <w:pPr>
        <w:spacing w:after="0" w:line="98" w:lineRule="exact"/>
        <w:rPr>
          <w:sz w:val="20"/>
          <w:szCs w:val="20"/>
          <w:color w:val="auto"/>
        </w:rPr>
      </w:pPr>
    </w:p>
    <w:p>
      <w:pPr>
        <w:ind w:left="720" w:hanging="145"/>
        <w:spacing w:after="0"/>
        <w:tabs>
          <w:tab w:leader="none" w:pos="720" w:val="left"/>
        </w:tabs>
        <w:numPr>
          <w:ilvl w:val="0"/>
          <w:numId w:val="3"/>
        </w:numPr>
        <w:rPr>
          <w:rFonts w:ascii="Arial" w:cs="Arial" w:eastAsia="Arial" w:hAnsi="Arial"/>
          <w:sz w:val="17"/>
          <w:szCs w:val="17"/>
          <w:color w:val="auto"/>
          <w:vertAlign w:val="superscript"/>
        </w:rPr>
      </w:pPr>
      <w:r>
        <w:rPr>
          <w:rFonts w:ascii="Arial" w:cs="Arial" w:eastAsia="Arial" w:hAnsi="Arial"/>
          <w:sz w:val="13"/>
          <w:szCs w:val="13"/>
          <w:color w:val="auto"/>
        </w:rPr>
        <w:t xml:space="preserve">Primarily consists of revenue earned from party rentals and gift card redemptions and breakage (see </w:t>
      </w:r>
      <w:r>
        <w:rPr>
          <w:rFonts w:ascii="Arial" w:cs="Arial" w:eastAsia="Arial" w:hAnsi="Arial"/>
          <w:sz w:val="13"/>
          <w:szCs w:val="13"/>
          <w:i w:val="1"/>
          <w:iCs w:val="1"/>
          <w:color w:val="auto"/>
        </w:rPr>
        <w:t>Revenue recognition</w:t>
      </w:r>
      <w:r>
        <w:rPr>
          <w:rFonts w:ascii="Arial" w:cs="Arial" w:eastAsia="Arial" w:hAnsi="Arial"/>
          <w:sz w:val="13"/>
          <w:szCs w:val="13"/>
          <w:color w:val="auto"/>
        </w:rPr>
        <w:t xml:space="preserve"> below).</w:t>
      </w:r>
    </w:p>
    <w:p>
      <w:pPr>
        <w:spacing w:after="0" w:line="21" w:lineRule="exact"/>
        <w:rPr>
          <w:rFonts w:ascii="Arial" w:cs="Arial" w:eastAsia="Arial" w:hAnsi="Arial"/>
          <w:sz w:val="17"/>
          <w:szCs w:val="17"/>
          <w:color w:val="auto"/>
          <w:vertAlign w:val="superscript"/>
        </w:rPr>
      </w:pPr>
    </w:p>
    <w:p>
      <w:pPr>
        <w:ind w:left="820" w:right="640" w:hanging="245"/>
        <w:spacing w:after="0" w:line="234" w:lineRule="auto"/>
        <w:tabs>
          <w:tab w:leader="none" w:pos="732" w:val="left"/>
        </w:tabs>
        <w:numPr>
          <w:ilvl w:val="0"/>
          <w:numId w:val="3"/>
        </w:numPr>
        <w:rPr>
          <w:rFonts w:ascii="Arial" w:cs="Arial" w:eastAsia="Arial" w:hAnsi="Arial"/>
          <w:sz w:val="19"/>
          <w:szCs w:val="19"/>
          <w:color w:val="auto"/>
          <w:vertAlign w:val="superscript"/>
        </w:rPr>
      </w:pPr>
      <w:r>
        <w:rPr>
          <w:rFonts w:ascii="Arial" w:cs="Arial" w:eastAsia="Arial" w:hAnsi="Arial"/>
          <w:sz w:val="15"/>
          <w:szCs w:val="15"/>
          <w:color w:val="auto"/>
        </w:rPr>
        <w:t>To better highlight that our entertainment offerings extend beyond gaming, the previously named "Amusements revenues and other" has been changed to "Entertainment revenues.".</w:t>
      </w:r>
    </w:p>
    <w:p>
      <w:pPr>
        <w:spacing w:after="0" w:line="208"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b w:val="1"/>
          <w:bCs w:val="1"/>
          <w:i w:val="1"/>
          <w:iCs w:val="1"/>
          <w:color w:val="auto"/>
        </w:rPr>
        <w:t xml:space="preserve">Revenue recognition </w:t>
      </w:r>
      <w:r>
        <w:rPr>
          <w:rFonts w:ascii="Arial" w:cs="Arial" w:eastAsia="Arial" w:hAnsi="Arial"/>
          <w:sz w:val="16"/>
          <w:szCs w:val="16"/>
          <w:color w:val="auto"/>
        </w:rPr>
        <w:t>— Customers purchase cards with game play credits or “chips” to be used on a variety of redemption and simulation games.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Entertainment revenues related to game play are primarily recognized as game play credits are used by customers to activate video and redemption games. Redemption games allow customers to earn tickets, which may be redeemed for prizes. We have deferred a portion of entertainment revenues for the estimated unfulfilled performance obligations related to unredeemed tickets. The deferral is based on an estimated rate of future use by customers of unused game play credits and the material right provided to customers to redeem tickets in the future for prizes. During the thirteen weeks ended April 30, 2023, we recognized revenue of approximately $24.6 related to the amount in deferred entertainment revenues as of the end of fiscal 2022. These revenues are included in Entertainment revenues on the consolidated comprehensive income statement.</w:t>
      </w:r>
    </w:p>
    <w:p>
      <w:pPr>
        <w:spacing w:after="0" w:line="166"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recognize revenue on unredeemed gift cards in proportion to the pattern of redemption by the customers. During the thirteen weeks ended April 30, 2023, we recognized revenue of approximately $3.8 related to the amount in deferred gift card revenue as of the end of fiscal 2022. These revenues are included in Entertainment revenues on the consolidated comprehensive income statements.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46"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DAVE &amp; BUSTER’S ENTERTAINMENT, INC. NOTES TO UNAUDITED CONSOLIDATED FINANCIAL STATEMENTS (in millions, except per share amounts)</w:t>
      </w:r>
    </w:p>
    <w:p>
      <w:pPr>
        <w:spacing w:after="0" w:line="200" w:lineRule="exact"/>
        <w:rPr>
          <w:sz w:val="20"/>
          <w:szCs w:val="20"/>
          <w:color w:val="auto"/>
        </w:rPr>
      </w:pPr>
    </w:p>
    <w:p>
      <w:pPr>
        <w:spacing w:after="0" w:line="371"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b w:val="1"/>
          <w:bCs w:val="1"/>
          <w:i w:val="1"/>
          <w:iCs w:val="1"/>
          <w:color w:val="auto"/>
        </w:rPr>
        <w:t xml:space="preserve">Earnings per share </w:t>
      </w:r>
      <w:r>
        <w:rPr>
          <w:rFonts w:ascii="Arial" w:cs="Arial" w:eastAsia="Arial" w:hAnsi="Arial"/>
          <w:sz w:val="17"/>
          <w:szCs w:val="17"/>
          <w:color w:val="auto"/>
        </w:rPr>
        <w:t>— Basic net income per share is computed by dividing net income available to common shareholders by the basic weighted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average number of common shares outstanding for the reporting period. Diluted net income per share reflects the potential dilution that could occur if securities or other contracts to issue common stock were exercised or converted into common stock. For the calculation of diluted net income per share, the basic weighted average shares outstanding is increased by the dilutive effect of stock options and restricted share awards. Stock options and restricted share awards with an anti-dilutive effect are not included in the diluted net income per share calculation. For the thirteen weeks ended April 30, 2023 and May 1, 2022, the Company excluded anti-dilutive awards from the calculation of approximately 0.52 and 0.10 respectively. Basic weighted average shares outstanding are reconciled to diluted weighted average shares outstanding as follows:</w:t>
      </w:r>
    </w:p>
    <w:p>
      <w:pPr>
        <w:spacing w:after="0" w:line="223" w:lineRule="exact"/>
        <w:rPr>
          <w:sz w:val="20"/>
          <w:szCs w:val="20"/>
          <w:color w:val="auto"/>
        </w:rPr>
      </w:pPr>
    </w:p>
    <w:tbl>
      <w:tblPr>
        <w:tblLayout w:type="fixed"/>
        <w:tblInd w:w="1560" w:type="dxa"/>
        <w:tblCellMar>
          <w:top w:w="0" w:type="dxa"/>
          <w:left w:w="0" w:type="dxa"/>
          <w:bottom w:w="0" w:type="dxa"/>
          <w:right w:w="0" w:type="dxa"/>
        </w:tblCellMar>
      </w:tblPr>
      <w:tr>
        <w:trPr>
          <w:trHeight w:val="186"/>
        </w:trPr>
        <w:tc>
          <w:tcPr>
            <w:tcW w:w="5040" w:type="dxa"/>
            <w:vAlign w:val="bottom"/>
          </w:tcPr>
          <w:p>
            <w:pPr>
              <w:spacing w:after="0"/>
              <w:rPr>
                <w:sz w:val="16"/>
                <w:szCs w:val="16"/>
                <w:color w:val="auto"/>
              </w:rPr>
            </w:pPr>
          </w:p>
        </w:tc>
        <w:tc>
          <w:tcPr>
            <w:tcW w:w="3080" w:type="dxa"/>
            <w:vAlign w:val="bottom"/>
            <w:gridSpan w:val="3"/>
          </w:tcPr>
          <w:p>
            <w:pPr>
              <w:jc w:val="right"/>
              <w:ind w:right="748"/>
              <w:spacing w:after="0"/>
              <w:rPr>
                <w:sz w:val="20"/>
                <w:szCs w:val="20"/>
                <w:color w:val="auto"/>
              </w:rPr>
            </w:pPr>
            <w:r>
              <w:rPr>
                <w:rFonts w:ascii="Arial" w:cs="Arial" w:eastAsia="Arial" w:hAnsi="Arial"/>
                <w:sz w:val="14"/>
                <w:szCs w:val="14"/>
                <w:b w:val="1"/>
                <w:bCs w:val="1"/>
                <w:color w:val="auto"/>
              </w:rPr>
              <w:t>Thirteen Weeks Ended</w:t>
            </w:r>
          </w:p>
        </w:tc>
      </w:tr>
      <w:tr>
        <w:trPr>
          <w:trHeight w:val="39"/>
        </w:trPr>
        <w:tc>
          <w:tcPr>
            <w:tcW w:w="5040" w:type="dxa"/>
            <w:vAlign w:val="bottom"/>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184"/>
        </w:trPr>
        <w:tc>
          <w:tcPr>
            <w:tcW w:w="5040" w:type="dxa"/>
            <w:vAlign w:val="bottom"/>
          </w:tcPr>
          <w:p>
            <w:pPr>
              <w:spacing w:after="0"/>
              <w:rPr>
                <w:sz w:val="16"/>
                <w:szCs w:val="16"/>
                <w:color w:val="auto"/>
              </w:rPr>
            </w:pPr>
          </w:p>
        </w:tc>
        <w:tc>
          <w:tcPr>
            <w:tcW w:w="1500" w:type="dxa"/>
            <w:vAlign w:val="bottom"/>
          </w:tcPr>
          <w:p>
            <w:pPr>
              <w:jc w:val="right"/>
              <w:ind w:right="217"/>
              <w:spacing w:after="0"/>
              <w:rPr>
                <w:sz w:val="20"/>
                <w:szCs w:val="20"/>
                <w:color w:val="auto"/>
              </w:rPr>
            </w:pPr>
            <w:r>
              <w:rPr>
                <w:rFonts w:ascii="Arial" w:cs="Arial" w:eastAsia="Arial" w:hAnsi="Arial"/>
                <w:sz w:val="14"/>
                <w:szCs w:val="14"/>
                <w:b w:val="1"/>
                <w:bCs w:val="1"/>
                <w:color w:val="auto"/>
              </w:rPr>
              <w:t>April 30, 2023</w:t>
            </w:r>
          </w:p>
        </w:tc>
        <w:tc>
          <w:tcPr>
            <w:tcW w:w="100" w:type="dxa"/>
            <w:vAlign w:val="bottom"/>
          </w:tcPr>
          <w:p>
            <w:pPr>
              <w:spacing w:after="0"/>
              <w:rPr>
                <w:sz w:val="16"/>
                <w:szCs w:val="16"/>
                <w:color w:val="auto"/>
              </w:rPr>
            </w:pPr>
          </w:p>
        </w:tc>
        <w:tc>
          <w:tcPr>
            <w:tcW w:w="1480" w:type="dxa"/>
            <w:vAlign w:val="bottom"/>
          </w:tcPr>
          <w:p>
            <w:pPr>
              <w:jc w:val="right"/>
              <w:ind w:right="288"/>
              <w:spacing w:after="0"/>
              <w:rPr>
                <w:sz w:val="20"/>
                <w:szCs w:val="20"/>
                <w:color w:val="auto"/>
              </w:rPr>
            </w:pPr>
            <w:r>
              <w:rPr>
                <w:rFonts w:ascii="Arial" w:cs="Arial" w:eastAsia="Arial" w:hAnsi="Arial"/>
                <w:sz w:val="14"/>
                <w:szCs w:val="14"/>
                <w:b w:val="1"/>
                <w:bCs w:val="1"/>
                <w:color w:val="auto"/>
              </w:rPr>
              <w:t>May 1, 2022</w:t>
            </w:r>
          </w:p>
        </w:tc>
      </w:tr>
      <w:tr>
        <w:trPr>
          <w:trHeight w:val="39"/>
        </w:trPr>
        <w:tc>
          <w:tcPr>
            <w:tcW w:w="5040" w:type="dxa"/>
            <w:vAlign w:val="bottom"/>
            <w:tcBorders>
              <w:bottom w:val="single" w:sz="8" w:color="CCEEFF"/>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243"/>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weighted average shares outstanding</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47.93</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48.58</w:t>
            </w: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color w:val="auto"/>
              </w:rPr>
              <w:t>Weighted average dilutive impact of awards</w:t>
            </w:r>
          </w:p>
        </w:tc>
        <w:tc>
          <w:tcPr>
            <w:tcW w:w="1500" w:type="dxa"/>
            <w:vAlign w:val="bottom"/>
          </w:tcPr>
          <w:p>
            <w:pPr>
              <w:jc w:val="right"/>
              <w:spacing w:after="0"/>
              <w:rPr>
                <w:sz w:val="20"/>
                <w:szCs w:val="20"/>
                <w:color w:val="auto"/>
              </w:rPr>
            </w:pPr>
            <w:r>
              <w:rPr>
                <w:rFonts w:ascii="Arial" w:cs="Arial" w:eastAsia="Arial" w:hAnsi="Arial"/>
                <w:sz w:val="18"/>
                <w:szCs w:val="18"/>
                <w:color w:val="auto"/>
              </w:rPr>
              <w:t>0.54</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0.87</w:t>
            </w:r>
          </w:p>
        </w:tc>
      </w:tr>
      <w:tr>
        <w:trPr>
          <w:trHeight w:val="27"/>
        </w:trPr>
        <w:tc>
          <w:tcPr>
            <w:tcW w:w="50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43"/>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weighted average shares outstanding</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48.47</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49.45</w:t>
            </w:r>
          </w:p>
        </w:tc>
      </w:tr>
      <w:tr>
        <w:trPr>
          <w:trHeight w:val="27"/>
        </w:trPr>
        <w:tc>
          <w:tcPr>
            <w:tcW w:w="504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283"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b w:val="1"/>
          <w:bCs w:val="1"/>
          <w:i w:val="1"/>
          <w:iCs w:val="1"/>
          <w:color w:val="auto"/>
        </w:rPr>
        <w:t xml:space="preserve">Acquisitions </w:t>
      </w:r>
      <w:r>
        <w:rPr>
          <w:rFonts w:ascii="Arial" w:cs="Arial" w:eastAsia="Arial" w:hAnsi="Arial"/>
          <w:sz w:val="17"/>
          <w:szCs w:val="17"/>
          <w:color w:val="auto"/>
        </w:rPr>
        <w:t>— The Company accounts for acquisitions under the acquisition method of accounting, which requires the acquired assets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liabilities, including contingencies, be recorded at fair value determined on the acquisition date and changes thereafter reflected in income. For significant acquisitions, the Company obtains independent third-party valuation studies for certain of the assets acquired and liabilities assumed to assist the Company in determining fair value. The estimation of the fair values of the assets acquired and liabilities assumed involves a number of estimates and assumptions that could differ materially from the actual amounts realized. The Company provides assumptions, including both quantitative and qualitative information, about the specified asset or liability to the third-party valuation firms so they can assist in determining the fair value of assets and liabilities acquired. The Company then records acquired assets and liabilities at their estimated fair value based on the information provided. The third-party valuation firms are supervised by Company personnel who are knowledgeable about valuations and fair value. The Company evaluates the appropriateness of the assumptions and valuation methodologies utilized by the third-party valuation firms.</w:t>
      </w:r>
    </w:p>
    <w:p>
      <w:pPr>
        <w:spacing w:after="0" w:line="18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b w:val="1"/>
          <w:bCs w:val="1"/>
          <w:i w:val="1"/>
          <w:iCs w:val="1"/>
          <w:color w:val="auto"/>
        </w:rPr>
        <w:t xml:space="preserve">Recent accounting pronouncements </w:t>
      </w:r>
      <w:r>
        <w:rPr>
          <w:rFonts w:ascii="Arial" w:cs="Arial" w:eastAsia="Arial" w:hAnsi="Arial"/>
          <w:sz w:val="18"/>
          <w:szCs w:val="18"/>
          <w:color w:val="auto"/>
        </w:rPr>
        <w:t>— We reviewed the accounting pronouncements that became effective for fiscal year 2023 and determined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either they were not applicable, or they did not have a material impact on the consolidated financial statements. We also reviewed the recently issued accounting pronouncements to be adopted in future periods and determined that they are not expected to have a material impact on the consolidated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Business Combinations</w:t>
      </w:r>
    </w:p>
    <w:p>
      <w:pPr>
        <w:spacing w:after="0" w:line="121"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On June 29, 2022, the Company acquired Main Event for approximately $832.5 in net cash and contingent consideration. Main Event is also focused on food, drinks, and entertainment, largely for the demographic target of families with young children. The acquisition is expected to put the Company in a strategic position for accelerated, profitable growth in both brands as well as create cost synergies with our Dave &amp; Buster’s brand.</w:t>
      </w:r>
    </w:p>
    <w:p>
      <w:pPr>
        <w:spacing w:after="0" w:line="16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Main Event Acquisition was made at a price above the determined fair value of the acquired identifiable net assets, resulting in goodwill, primarily due to expectations of the synergies that will be realized by combining the businesses and the benefits that will be gained from the assembled workforce. These synergies include the elimination of redundant facilities, functions, and staffing. None of the goodwill recorded from this business combination is expected to be tax deductible.</w:t>
      </w:r>
    </w:p>
    <w:p>
      <w:pPr>
        <w:spacing w:after="0" w:line="187"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The acquisition has been accounted for using the acquisition method of accounting with assets acquired and liabilities assumed recorded at fair value, and the results of Main Event have been included in the accompanying financial statements from June 29, 2022, the date of acquisition.</w:t>
      </w:r>
    </w:p>
    <w:p>
      <w:pPr>
        <w:spacing w:after="0" w:line="146"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following summarizes the purchase consideration paid, which consisted of cash consideration of $835.0 (adjusted for cash on hand, payment of certain seller liabilities and other normal closing adjustments), resulting in gross cash consideration paid of $853.2. The final cash consideration was subject to normal post-closing adjustments and was settled in the third quarter of 2022.</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740" w:type="dxa"/>
            <w:vAlign w:val="bottom"/>
          </w:tcPr>
          <w:p>
            <w:pPr>
              <w:jc w:val="center"/>
              <w:ind w:left="1430"/>
              <w:spacing w:after="0"/>
              <w:rPr>
                <w:sz w:val="20"/>
                <w:szCs w:val="20"/>
                <w:color w:val="auto"/>
              </w:rPr>
            </w:pPr>
            <w:r>
              <w:rPr>
                <w:rFonts w:ascii="Arial" w:cs="Arial" w:eastAsia="Arial" w:hAnsi="Arial"/>
                <w:sz w:val="18"/>
                <w:szCs w:val="18"/>
                <w:b w:val="1"/>
                <w:bCs w:val="1"/>
                <w:color w:val="auto"/>
              </w:rPr>
              <w:t>DAVE &amp; BUSTER’S ENTERTAINMENT, INC.</w:t>
            </w: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9740" w:type="dxa"/>
            <w:vAlign w:val="bottom"/>
          </w:tcPr>
          <w:p>
            <w:pPr>
              <w:jc w:val="center"/>
              <w:ind w:left="1410"/>
              <w:spacing w:after="0"/>
              <w:rPr>
                <w:sz w:val="20"/>
                <w:szCs w:val="20"/>
                <w:color w:val="auto"/>
              </w:rPr>
            </w:pPr>
            <w:r>
              <w:rPr>
                <w:rFonts w:ascii="Arial" w:cs="Arial" w:eastAsia="Arial" w:hAnsi="Arial"/>
                <w:sz w:val="18"/>
                <w:szCs w:val="18"/>
                <w:b w:val="1"/>
                <w:bCs w:val="1"/>
                <w:color w:val="auto"/>
              </w:rPr>
              <w:t>NOTES TO UNAUDITED CONSOLIDATED FINANCIAL STATEMENTS</w:t>
            </w: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4"/>
        </w:trPr>
        <w:tc>
          <w:tcPr>
            <w:tcW w:w="9740" w:type="dxa"/>
            <w:vAlign w:val="bottom"/>
          </w:tcPr>
          <w:p>
            <w:pPr>
              <w:jc w:val="center"/>
              <w:ind w:left="1430"/>
              <w:spacing w:after="0"/>
              <w:rPr>
                <w:sz w:val="20"/>
                <w:szCs w:val="20"/>
                <w:color w:val="auto"/>
              </w:rPr>
            </w:pPr>
            <w:r>
              <w:rPr>
                <w:rFonts w:ascii="Arial" w:cs="Arial" w:eastAsia="Arial" w:hAnsi="Arial"/>
                <w:sz w:val="18"/>
                <w:szCs w:val="18"/>
                <w:b w:val="1"/>
                <w:bCs w:val="1"/>
                <w:color w:val="auto"/>
                <w:w w:val="89"/>
              </w:rPr>
              <w:t>(in millions, except per share amounts)</w:t>
            </w: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823"/>
        </w:trPr>
        <w:tc>
          <w:tcPr>
            <w:tcW w:w="9740" w:type="dxa"/>
            <w:vAlign w:val="bottom"/>
          </w:tcPr>
          <w:p>
            <w:pPr>
              <w:ind w:left="500"/>
              <w:spacing w:after="0"/>
              <w:rPr>
                <w:sz w:val="20"/>
                <w:szCs w:val="20"/>
                <w:color w:val="auto"/>
              </w:rPr>
            </w:pPr>
            <w:r>
              <w:rPr>
                <w:rFonts w:ascii="Arial" w:cs="Arial" w:eastAsia="Arial" w:hAnsi="Arial"/>
                <w:sz w:val="18"/>
                <w:szCs w:val="18"/>
                <w:color w:val="auto"/>
              </w:rPr>
              <w:t>The components of the purchase price and net assets acquired in the Main Event Acquisition are as follows:</w:t>
            </w: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433"/>
        </w:trPr>
        <w:tc>
          <w:tcPr>
            <w:tcW w:w="9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jc w:val="right"/>
              <w:ind w:right="411"/>
              <w:spacing w:after="0"/>
              <w:rPr>
                <w:sz w:val="20"/>
                <w:szCs w:val="20"/>
                <w:color w:val="auto"/>
              </w:rPr>
            </w:pPr>
            <w:r>
              <w:rPr>
                <w:rFonts w:ascii="Arial" w:cs="Arial" w:eastAsia="Arial" w:hAnsi="Arial"/>
                <w:sz w:val="14"/>
                <w:szCs w:val="14"/>
                <w:b w:val="1"/>
                <w:bCs w:val="1"/>
                <w:color w:val="auto"/>
              </w:rPr>
              <w:t>Amount</w:t>
            </w:r>
          </w:p>
        </w:tc>
      </w:tr>
      <w:tr>
        <w:trPr>
          <w:trHeight w:val="39"/>
        </w:trPr>
        <w:tc>
          <w:tcPr>
            <w:tcW w:w="974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43"/>
        </w:trPr>
        <w:tc>
          <w:tcPr>
            <w:tcW w:w="9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cash consideration</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853.2</w:t>
            </w:r>
          </w:p>
        </w:tc>
      </w:tr>
      <w:tr>
        <w:trPr>
          <w:trHeight w:val="243"/>
        </w:trPr>
        <w:tc>
          <w:tcPr>
            <w:tcW w:w="9740" w:type="dxa"/>
            <w:vAlign w:val="bottom"/>
          </w:tcPr>
          <w:p>
            <w:pPr>
              <w:ind w:left="20"/>
              <w:spacing w:after="0"/>
              <w:rPr>
                <w:sz w:val="20"/>
                <w:szCs w:val="20"/>
                <w:color w:val="auto"/>
              </w:rPr>
            </w:pPr>
            <w:r>
              <w:rPr>
                <w:rFonts w:ascii="Arial" w:cs="Arial" w:eastAsia="Arial" w:hAnsi="Arial"/>
                <w:sz w:val="18"/>
                <w:szCs w:val="18"/>
                <w:color w:val="auto"/>
              </w:rPr>
              <w:t>Contingent consideration (1)</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7"/>
        </w:trPr>
        <w:tc>
          <w:tcPr>
            <w:tcW w:w="9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9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cash acquired</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w:t>
            </w:r>
          </w:p>
        </w:tc>
      </w:tr>
      <w:tr>
        <w:trPr>
          <w:trHeight w:val="263"/>
        </w:trPr>
        <w:tc>
          <w:tcPr>
            <w:tcW w:w="9740" w:type="dxa"/>
            <w:vAlign w:val="bottom"/>
          </w:tcPr>
          <w:p>
            <w:pPr>
              <w:ind w:left="20"/>
              <w:spacing w:after="0"/>
              <w:rPr>
                <w:sz w:val="20"/>
                <w:szCs w:val="20"/>
                <w:color w:val="auto"/>
              </w:rPr>
            </w:pPr>
            <w:r>
              <w:rPr>
                <w:rFonts w:ascii="Arial" w:cs="Arial" w:eastAsia="Arial" w:hAnsi="Arial"/>
                <w:sz w:val="18"/>
                <w:szCs w:val="18"/>
                <w:color w:val="auto"/>
              </w:rPr>
              <w:t>Total consideration paid</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832.5</w:t>
            </w:r>
          </w:p>
        </w:tc>
      </w:tr>
      <w:tr>
        <w:trPr>
          <w:trHeight w:val="20"/>
        </w:trPr>
        <w:tc>
          <w:tcPr>
            <w:tcW w:w="97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44"/>
        </w:trPr>
        <w:tc>
          <w:tcPr>
            <w:tcW w:w="9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9740" w:type="dxa"/>
            <w:vAlign w:val="bottom"/>
          </w:tcPr>
          <w:p>
            <w:pPr>
              <w:ind w:left="180"/>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16.8</w:t>
            </w:r>
          </w:p>
        </w:tc>
      </w:tr>
      <w:tr>
        <w:trPr>
          <w:trHeight w:val="27"/>
        </w:trPr>
        <w:tc>
          <w:tcPr>
            <w:tcW w:w="9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9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Property and equipment</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338.3</w:t>
            </w:r>
          </w:p>
        </w:tc>
      </w:tr>
      <w:tr>
        <w:trPr>
          <w:trHeight w:val="243"/>
        </w:trPr>
        <w:tc>
          <w:tcPr>
            <w:tcW w:w="9740" w:type="dxa"/>
            <w:vAlign w:val="bottom"/>
          </w:tcPr>
          <w:p>
            <w:pPr>
              <w:ind w:left="180"/>
              <w:spacing w:after="0"/>
              <w:rPr>
                <w:sz w:val="20"/>
                <w:szCs w:val="20"/>
                <w:color w:val="auto"/>
              </w:rPr>
            </w:pPr>
            <w:r>
              <w:rPr>
                <w:rFonts w:ascii="Arial" w:cs="Arial" w:eastAsia="Arial" w:hAnsi="Arial"/>
                <w:sz w:val="18"/>
                <w:szCs w:val="18"/>
                <w:color w:val="auto"/>
              </w:rPr>
              <w:t>Operating lease right of use assets</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297.2</w:t>
            </w:r>
          </w:p>
        </w:tc>
      </w:tr>
      <w:tr>
        <w:trPr>
          <w:trHeight w:val="27"/>
        </w:trPr>
        <w:tc>
          <w:tcPr>
            <w:tcW w:w="9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9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Tradename</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99.2</w:t>
            </w:r>
          </w:p>
        </w:tc>
      </w:tr>
      <w:tr>
        <w:trPr>
          <w:trHeight w:val="243"/>
        </w:trPr>
        <w:tc>
          <w:tcPr>
            <w:tcW w:w="9740" w:type="dxa"/>
            <w:vAlign w:val="bottom"/>
          </w:tcPr>
          <w:p>
            <w:pPr>
              <w:ind w:left="180"/>
              <w:spacing w:after="0"/>
              <w:rPr>
                <w:sz w:val="20"/>
                <w:szCs w:val="20"/>
                <w:color w:val="auto"/>
              </w:rPr>
            </w:pPr>
            <w:r>
              <w:rPr>
                <w:rFonts w:ascii="Arial" w:cs="Arial" w:eastAsia="Arial" w:hAnsi="Arial"/>
                <w:sz w:val="18"/>
                <w:szCs w:val="18"/>
                <w:color w:val="auto"/>
              </w:rPr>
              <w:t>Other assets and deferred charges</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7"/>
        </w:trPr>
        <w:tc>
          <w:tcPr>
            <w:tcW w:w="9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9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974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20.1</w:t>
            </w:r>
          </w:p>
        </w:tc>
      </w:tr>
      <w:tr>
        <w:trPr>
          <w:trHeight w:val="27"/>
        </w:trPr>
        <w:tc>
          <w:tcPr>
            <w:tcW w:w="9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9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Current portion of operating lease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r>
      <w:tr>
        <w:trPr>
          <w:trHeight w:val="243"/>
        </w:trPr>
        <w:tc>
          <w:tcPr>
            <w:tcW w:w="9740" w:type="dxa"/>
            <w:vAlign w:val="bottom"/>
          </w:tcPr>
          <w:p>
            <w:pPr>
              <w:ind w:left="140"/>
              <w:spacing w:after="0"/>
              <w:rPr>
                <w:sz w:val="20"/>
                <w:szCs w:val="20"/>
                <w:color w:val="auto"/>
              </w:rPr>
            </w:pPr>
            <w:r>
              <w:rPr>
                <w:rFonts w:ascii="Arial" w:cs="Arial" w:eastAsia="Arial" w:hAnsi="Arial"/>
                <w:sz w:val="18"/>
                <w:szCs w:val="18"/>
                <w:color w:val="auto"/>
              </w:rPr>
              <w:t>Accrued liabilities</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41.2</w:t>
            </w:r>
          </w:p>
        </w:tc>
      </w:tr>
      <w:tr>
        <w:trPr>
          <w:trHeight w:val="27"/>
        </w:trPr>
        <w:tc>
          <w:tcPr>
            <w:tcW w:w="9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9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Operating lease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279.2</w:t>
            </w:r>
          </w:p>
        </w:tc>
      </w:tr>
      <w:tr>
        <w:trPr>
          <w:trHeight w:val="243"/>
        </w:trPr>
        <w:tc>
          <w:tcPr>
            <w:tcW w:w="9740" w:type="dxa"/>
            <w:vAlign w:val="bottom"/>
          </w:tcPr>
          <w:p>
            <w:pPr>
              <w:ind w:left="140"/>
              <w:spacing w:after="0"/>
              <w:rPr>
                <w:sz w:val="20"/>
                <w:szCs w:val="20"/>
                <w:color w:val="auto"/>
              </w:rPr>
            </w:pPr>
            <w:r>
              <w:rPr>
                <w:rFonts w:ascii="Arial" w:cs="Arial" w:eastAsia="Arial" w:hAnsi="Arial"/>
                <w:sz w:val="18"/>
                <w:szCs w:val="18"/>
                <w:color w:val="auto"/>
              </w:rPr>
              <w:t>Deferred tax liabilities</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35.8</w:t>
            </w:r>
          </w:p>
        </w:tc>
      </w:tr>
      <w:tr>
        <w:trPr>
          <w:trHeight w:val="27"/>
        </w:trPr>
        <w:tc>
          <w:tcPr>
            <w:tcW w:w="9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9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Other liabilities</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37"/>
        </w:trPr>
        <w:tc>
          <w:tcPr>
            <w:tcW w:w="9740" w:type="dxa"/>
            <w:vAlign w:val="bottom"/>
          </w:tcPr>
          <w:p>
            <w:pPr>
              <w:ind w:left="20"/>
              <w:spacing w:after="0"/>
              <w:rPr>
                <w:sz w:val="20"/>
                <w:szCs w:val="20"/>
                <w:color w:val="auto"/>
              </w:rPr>
            </w:pPr>
            <w:r>
              <w:rPr>
                <w:rFonts w:ascii="Arial" w:cs="Arial" w:eastAsia="Arial" w:hAnsi="Arial"/>
                <w:sz w:val="18"/>
                <w:szCs w:val="18"/>
                <w:b w:val="1"/>
                <w:bCs w:val="1"/>
                <w:color w:val="auto"/>
              </w:rPr>
              <w:t>Net assets acquired, excluding goodwill</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363.1</w:t>
            </w:r>
          </w:p>
        </w:tc>
      </w:tr>
      <w:tr>
        <w:trPr>
          <w:trHeight w:val="27"/>
        </w:trPr>
        <w:tc>
          <w:tcPr>
            <w:tcW w:w="97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89"/>
        </w:trPr>
        <w:tc>
          <w:tcPr>
            <w:tcW w:w="9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Goodwill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469.4</w:t>
            </w:r>
          </w:p>
        </w:tc>
      </w:tr>
      <w:tr>
        <w:trPr>
          <w:trHeight w:val="20"/>
        </w:trPr>
        <w:tc>
          <w:tcPr>
            <w:tcW w:w="97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25" w:lineRule="exact"/>
        <w:rPr>
          <w:sz w:val="20"/>
          <w:szCs w:val="20"/>
          <w:color w:val="auto"/>
        </w:rPr>
      </w:pPr>
    </w:p>
    <w:p>
      <w:pPr>
        <w:jc w:val="both"/>
        <w:ind w:left="500" w:hanging="492"/>
        <w:spacing w:after="0" w:line="244" w:lineRule="auto"/>
        <w:tabs>
          <w:tab w:leader="none" w:pos="500" w:val="left"/>
        </w:tabs>
        <w:numPr>
          <w:ilvl w:val="0"/>
          <w:numId w:val="4"/>
        </w:numPr>
        <w:rPr>
          <w:rFonts w:ascii="Arial" w:cs="Arial" w:eastAsia="Arial" w:hAnsi="Arial"/>
          <w:sz w:val="21"/>
          <w:szCs w:val="21"/>
          <w:color w:val="auto"/>
          <w:vertAlign w:val="superscript"/>
        </w:rPr>
      </w:pPr>
      <w:r>
        <w:rPr>
          <w:rFonts w:ascii="Arial" w:cs="Arial" w:eastAsia="Arial" w:hAnsi="Arial"/>
          <w:sz w:val="16"/>
          <w:szCs w:val="16"/>
          <w:color w:val="auto"/>
        </w:rPr>
        <w:t>The Company has an obligation to pay, in cash, an aggregate amount equal to any “Transaction Tax Benefits,” with respect to any taxable year of the Company after the Closing Date ending on or before December 31, 2028, including the current taxable year. Transaction Tax Benefits is generally defined as any reduction in the Company’s liabilities for U.S. federal and state income taxes due to the use of net operating losses generated prior to the Closing Date. The contingent consideration could range from $0 (if no Transaction Tax Benefits are achieved) to a cap, as defined in the Merger Agreement of approximately $14.6 (undiscounted) and will be paid to the selling shareholders in cash. The contingent consideration was initially valued based on the present value of the maximum amount provided in the Merger Agreement pending completion of the valuation analysis.</w:t>
      </w:r>
    </w:p>
    <w:p>
      <w:pPr>
        <w:spacing w:after="0" w:line="205"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preliminary allocation of the purchase price for the Acquisition was based on estimates of the fair value of the net assets acquired and are subject to adjustment for up to one year upon finalization, largely with respect to acquired property and equipment; lease assets and liabilities; deferred taxes; and contingent consideration. Measurements of these items inherently require significant estimates and assumptions considered to be Level Three fair value estimates. During the thirteen weeks ended April 30, 2023, the Company recorded a $2.5 reduction of goodwill and corresponding increase in right-of-use assets, net of deferred tax adjustments.</w:t>
      </w:r>
    </w:p>
    <w:p>
      <w:pPr>
        <w:spacing w:after="0" w:line="188"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The fair values of property and equipment were determined using a cost approach that utilized the Replacement Cost New and Reproduction Cost New methodologies. Key inputs and assumptions include current cost estimates, inflation rates, historical cost, normal useful life, and functional and economic obsolescence. The fair values of the real estate leases were determined using a market approach that utilized the Above-Below Regression methodology. Key inputs and assumptions include mean rental rates (based on metrics such as rent/revenue and operating cash flow/revenue) and discount rate. The fair value of the Main Event tradename was determined using an income approach that utilized the Relief from Royalty methodology. Key inputs and assumptions include the Company’s projected future revenues, earnings before income tax, royalty rates, discount rate, and long-term growth rate.</w:t>
      </w:r>
    </w:p>
    <w:p>
      <w:pPr>
        <w:spacing w:after="0" w:line="160"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8"/>
          <w:szCs w:val="18"/>
          <w:b w:val="1"/>
          <w:bCs w:val="1"/>
          <w:i w:val="1"/>
          <w:iCs w:val="1"/>
          <w:color w:val="auto"/>
        </w:rPr>
        <w:t xml:space="preserve">Taxes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preliminary allocation of the purchase price consideration is based on preliminary valuations performed to determine the fair value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net assets as of the Closing Date. The Company has conducted a preliminary assessment of the valuations and has recognized provisional deferred income tax amounts in its preliminary allocation for the identified assets and liabilities. However, the Company is continuing its procedures to identify information pertaining to these matters during the measurement period. If new information is obtained about facts and circumstances that existed at the Closing</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46"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DAVE &amp; BUSTER’S ENTERTAINMENT, INC. NOTES TO UNAUDITED CONSOLIDATED FINANCIAL STATEMENTS (in millions, except per share amounts)</w:t>
      </w:r>
    </w:p>
    <w:p>
      <w:pPr>
        <w:spacing w:after="0" w:line="200" w:lineRule="exact"/>
        <w:rPr>
          <w:sz w:val="20"/>
          <w:szCs w:val="20"/>
          <w:color w:val="auto"/>
        </w:rPr>
      </w:pPr>
    </w:p>
    <w:p>
      <w:pPr>
        <w:spacing w:after="0" w:line="3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Date, the Company will either adjust its measurement of provisional deferred income tax amounts or recognize and measure assets and liabilities not previously identified.</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Unaudited Pro Forma Information</w:t>
      </w:r>
    </w:p>
    <w:p>
      <w:pPr>
        <w:spacing w:after="0" w:line="121"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To reflect the Acquisition as if it had occurred on January 31, 2022, the unaudited pro forma results include adjustments to reflect, among other things, the interest expense from debt financings obtained to partially fund the cash consideration transferred. Pro forma adjustments were tax effected at the Company’s historical statutory rates in effect for the respective periods. The unaudited pro forma amounts are not necessarily indicative of the combined results of operations that would have been realized had the acquisitions and related financings occurred on the aforementioned dates, nor are they meant to be indicative of any anticipated combined results of operations that the Company will experience after the transaction. In addition, the amounts do not include any adjustments for actions that may be taken following the completion of the transaction, such as expected cost savings, operating synergies, or revenue enhancements that may be realized subsequent to the transaction.</w:t>
      </w:r>
    </w:p>
    <w:p>
      <w:pPr>
        <w:spacing w:after="0" w:line="17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unaudited pro forma information provides the effect of the Main Event Acquisition as if the acquisition had occurred on January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2022:</w:t>
      </w:r>
    </w:p>
    <w:p>
      <w:pPr>
        <w:spacing w:after="0" w:line="256" w:lineRule="exact"/>
        <w:rPr>
          <w:sz w:val="20"/>
          <w:szCs w:val="20"/>
          <w:color w:val="auto"/>
        </w:rPr>
      </w:pPr>
    </w:p>
    <w:tbl>
      <w:tblPr>
        <w:tblLayout w:type="fixed"/>
        <w:tblInd w:w="1560" w:type="dxa"/>
        <w:tblCellMar>
          <w:top w:w="0" w:type="dxa"/>
          <w:left w:w="0" w:type="dxa"/>
          <w:bottom w:w="0" w:type="dxa"/>
          <w:right w:w="0" w:type="dxa"/>
        </w:tblCellMar>
      </w:tblPr>
      <w:tr>
        <w:trPr>
          <w:trHeight w:val="186"/>
        </w:trPr>
        <w:tc>
          <w:tcPr>
            <w:tcW w:w="6620" w:type="dxa"/>
            <w:vAlign w:val="bottom"/>
          </w:tcPr>
          <w:p>
            <w:pPr>
              <w:spacing w:after="0"/>
              <w:rPr>
                <w:sz w:val="16"/>
                <w:szCs w:val="16"/>
                <w:color w:val="auto"/>
              </w:rPr>
            </w:pPr>
          </w:p>
        </w:tc>
        <w:tc>
          <w:tcPr>
            <w:tcW w:w="150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Thirteen Weeks Ended</w:t>
            </w:r>
          </w:p>
        </w:tc>
      </w:tr>
      <w:tr>
        <w:trPr>
          <w:trHeight w:val="39"/>
        </w:trPr>
        <w:tc>
          <w:tcPr>
            <w:tcW w:w="66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184"/>
        </w:trPr>
        <w:tc>
          <w:tcPr>
            <w:tcW w:w="6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jc w:val="right"/>
              <w:ind w:right="296"/>
              <w:spacing w:after="0"/>
              <w:rPr>
                <w:sz w:val="20"/>
                <w:szCs w:val="20"/>
                <w:color w:val="auto"/>
              </w:rPr>
            </w:pPr>
            <w:r>
              <w:rPr>
                <w:rFonts w:ascii="Arial" w:cs="Arial" w:eastAsia="Arial" w:hAnsi="Arial"/>
                <w:sz w:val="14"/>
                <w:szCs w:val="14"/>
                <w:b w:val="1"/>
                <w:bCs w:val="1"/>
                <w:color w:val="auto"/>
              </w:rPr>
              <w:t>May 1, 2022</w:t>
            </w:r>
          </w:p>
        </w:tc>
      </w:tr>
      <w:tr>
        <w:trPr>
          <w:trHeight w:val="39"/>
        </w:trPr>
        <w:tc>
          <w:tcPr>
            <w:tcW w:w="66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43"/>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575.5</w:t>
            </w:r>
          </w:p>
        </w:tc>
      </w:tr>
      <w:tr>
        <w:trPr>
          <w:trHeight w:val="243"/>
        </w:trPr>
        <w:tc>
          <w:tcPr>
            <w:tcW w:w="66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56"/>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71.6</w:t>
            </w:r>
          </w:p>
        </w:tc>
      </w:tr>
    </w:tbl>
    <w:p>
      <w:pPr>
        <w:spacing w:after="0" w:line="310" w:lineRule="exact"/>
        <w:rPr>
          <w:sz w:val="20"/>
          <w:szCs w:val="20"/>
          <w:color w:val="auto"/>
        </w:rPr>
      </w:pPr>
    </w:p>
    <w:p>
      <w:pPr>
        <w:ind w:firstLine="486"/>
        <w:spacing w:after="0" w:line="308" w:lineRule="auto"/>
        <w:rPr>
          <w:sz w:val="20"/>
          <w:szCs w:val="20"/>
          <w:color w:val="auto"/>
        </w:rPr>
      </w:pPr>
      <w:r>
        <w:rPr>
          <w:rFonts w:ascii="Arial" w:cs="Arial" w:eastAsia="Arial" w:hAnsi="Arial"/>
          <w:sz w:val="17"/>
          <w:szCs w:val="17"/>
          <w:color w:val="auto"/>
        </w:rPr>
        <w:t>The historical consolidated financial information of the Company and Main Event has been adjusted in the pro forma information to give effect to pro forma events that are directly attributable to the acquisition and related financing arrangements and are factually supportable.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Goodwill and Tradename Assets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changes in the carrying amount of goodwill and tradename assets during fiscal 2023 and fiscal 2022 are as follows:</w:t>
      </w:r>
    </w:p>
    <w:p>
      <w:pPr>
        <w:spacing w:after="0" w:line="266" w:lineRule="exact"/>
        <w:rPr>
          <w:sz w:val="20"/>
          <w:szCs w:val="20"/>
          <w:color w:val="auto"/>
        </w:rPr>
      </w:pPr>
    </w:p>
    <w:tbl>
      <w:tblPr>
        <w:tblLayout w:type="fixed"/>
        <w:tblInd w:w="980" w:type="dxa"/>
        <w:tblCellMar>
          <w:top w:w="0" w:type="dxa"/>
          <w:left w:w="0" w:type="dxa"/>
          <w:bottom w:w="0" w:type="dxa"/>
          <w:right w:w="0" w:type="dxa"/>
        </w:tblCellMar>
      </w:tblPr>
      <w:tr>
        <w:trPr>
          <w:trHeight w:val="256"/>
        </w:trPr>
        <w:tc>
          <w:tcPr>
            <w:tcW w:w="59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51"/>
              <w:spacing w:after="0"/>
              <w:rPr>
                <w:sz w:val="20"/>
                <w:szCs w:val="20"/>
                <w:color w:val="auto"/>
              </w:rPr>
            </w:pPr>
            <w:r>
              <w:rPr>
                <w:rFonts w:ascii="Arial" w:cs="Arial" w:eastAsia="Arial" w:hAnsi="Arial"/>
                <w:sz w:val="16"/>
                <w:szCs w:val="16"/>
                <w:b w:val="1"/>
                <w:bCs w:val="1"/>
                <w:color w:val="auto"/>
              </w:rPr>
              <w:t>Goodwill</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371"/>
              <w:spacing w:after="0"/>
              <w:rPr>
                <w:sz w:val="20"/>
                <w:szCs w:val="20"/>
                <w:color w:val="auto"/>
              </w:rPr>
            </w:pPr>
            <w:r>
              <w:rPr>
                <w:rFonts w:ascii="Arial" w:cs="Arial" w:eastAsia="Arial" w:hAnsi="Arial"/>
                <w:sz w:val="16"/>
                <w:szCs w:val="16"/>
                <w:b w:val="1"/>
                <w:bCs w:val="1"/>
                <w:color w:val="auto"/>
              </w:rPr>
              <w:t>Tradename</w:t>
            </w:r>
          </w:p>
        </w:tc>
      </w:tr>
      <w:tr>
        <w:trPr>
          <w:trHeight w:val="237"/>
        </w:trPr>
        <w:tc>
          <w:tcPr>
            <w:tcW w:w="5960" w:type="dxa"/>
            <w:vAlign w:val="bottom"/>
          </w:tcPr>
          <w:p>
            <w:pPr>
              <w:ind w:left="20"/>
              <w:spacing w:after="0"/>
              <w:rPr>
                <w:sz w:val="20"/>
                <w:szCs w:val="20"/>
                <w:color w:val="auto"/>
              </w:rPr>
            </w:pPr>
            <w:r>
              <w:rPr>
                <w:rFonts w:ascii="Arial" w:cs="Arial" w:eastAsia="Arial" w:hAnsi="Arial"/>
                <w:sz w:val="18"/>
                <w:szCs w:val="18"/>
                <w:color w:val="auto"/>
              </w:rPr>
              <w:t>Balance at January 30, 2022</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272.6</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79.0</w:t>
            </w:r>
          </w:p>
        </w:tc>
      </w:tr>
      <w:tr>
        <w:trPr>
          <w:trHeight w:val="27"/>
        </w:trPr>
        <w:tc>
          <w:tcPr>
            <w:tcW w:w="5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5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 xml:space="preserve">Acquisition of Main Event </w:t>
            </w:r>
            <w:r>
              <w:rPr>
                <w:rFonts w:ascii="Arial" w:cs="Arial" w:eastAsia="Arial" w:hAnsi="Arial"/>
                <w:sz w:val="23"/>
                <w:szCs w:val="23"/>
                <w:color w:val="auto"/>
                <w:vertAlign w:val="superscript"/>
              </w:rPr>
              <w:t>(1)</w:t>
            </w:r>
          </w:p>
        </w:tc>
        <w:tc>
          <w:tcPr>
            <w:tcW w:w="2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471.9</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99.2</w:t>
            </w:r>
          </w:p>
        </w:tc>
      </w:tr>
      <w:tr>
        <w:trPr>
          <w:trHeight w:val="237"/>
        </w:trPr>
        <w:tc>
          <w:tcPr>
            <w:tcW w:w="5960" w:type="dxa"/>
            <w:vAlign w:val="bottom"/>
          </w:tcPr>
          <w:p>
            <w:pPr>
              <w:ind w:left="20"/>
              <w:spacing w:after="0"/>
              <w:rPr>
                <w:sz w:val="20"/>
                <w:szCs w:val="20"/>
                <w:color w:val="auto"/>
              </w:rPr>
            </w:pPr>
            <w:r>
              <w:rPr>
                <w:rFonts w:ascii="Arial" w:cs="Arial" w:eastAsia="Arial" w:hAnsi="Arial"/>
                <w:sz w:val="18"/>
                <w:szCs w:val="18"/>
                <w:color w:val="auto"/>
              </w:rPr>
              <w:t>Balance at January 29, 2023</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744.5</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178.2</w:t>
            </w:r>
          </w:p>
        </w:tc>
      </w:tr>
      <w:tr>
        <w:trPr>
          <w:trHeight w:val="27"/>
        </w:trPr>
        <w:tc>
          <w:tcPr>
            <w:tcW w:w="5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5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 xml:space="preserve">Adjustments to Main Event goodwill </w:t>
            </w:r>
            <w:r>
              <w:rPr>
                <w:rFonts w:ascii="Arial" w:cs="Arial" w:eastAsia="Arial" w:hAnsi="Arial"/>
                <w:sz w:val="23"/>
                <w:szCs w:val="23"/>
                <w:color w:val="auto"/>
                <w:vertAlign w:val="superscript"/>
              </w:rPr>
              <w:t>(1)(2)</w:t>
            </w: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960" w:type="dxa"/>
            <w:vAlign w:val="bottom"/>
          </w:tcPr>
          <w:p>
            <w:pPr>
              <w:ind w:left="240"/>
              <w:spacing w:after="0"/>
              <w:rPr>
                <w:sz w:val="20"/>
                <w:szCs w:val="20"/>
                <w:color w:val="auto"/>
              </w:rPr>
            </w:pPr>
            <w:r>
              <w:rPr>
                <w:rFonts w:ascii="Arial" w:cs="Arial" w:eastAsia="Arial" w:hAnsi="Arial"/>
                <w:sz w:val="18"/>
                <w:szCs w:val="18"/>
                <w:color w:val="auto"/>
              </w:rPr>
              <w:t>Foreign currency translation</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9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3"/>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April 30, 2023</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742.1</w:t>
            </w:r>
          </w:p>
        </w:tc>
        <w:tc>
          <w:tcPr>
            <w:tcW w:w="38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178.2</w:t>
            </w:r>
          </w:p>
        </w:tc>
      </w:tr>
      <w:tr>
        <w:trPr>
          <w:trHeight w:val="20"/>
        </w:trPr>
        <w:tc>
          <w:tcPr>
            <w:tcW w:w="59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r>
    </w:tbl>
    <w:p>
      <w:pPr>
        <w:spacing w:after="0" w:line="125" w:lineRule="exact"/>
        <w:rPr>
          <w:sz w:val="20"/>
          <w:szCs w:val="20"/>
          <w:color w:val="auto"/>
        </w:rPr>
      </w:pPr>
    </w:p>
    <w:p>
      <w:pPr>
        <w:ind w:left="880" w:hanging="143"/>
        <w:spacing w:after="0"/>
        <w:tabs>
          <w:tab w:leader="none" w:pos="880" w:val="left"/>
        </w:tabs>
        <w:numPr>
          <w:ilvl w:val="0"/>
          <w:numId w:val="5"/>
        </w:numPr>
        <w:rPr>
          <w:rFonts w:ascii="Arial" w:cs="Arial" w:eastAsia="Arial" w:hAnsi="Arial"/>
          <w:sz w:val="17"/>
          <w:szCs w:val="17"/>
          <w:color w:val="auto"/>
          <w:vertAlign w:val="superscript"/>
        </w:rPr>
      </w:pPr>
      <w:r>
        <w:rPr>
          <w:rFonts w:ascii="Arial" w:cs="Arial" w:eastAsia="Arial" w:hAnsi="Arial"/>
          <w:sz w:val="13"/>
          <w:szCs w:val="13"/>
          <w:color w:val="auto"/>
        </w:rPr>
        <w:t>See Note 2 for discussion of the Main Event acquisition.</w:t>
      </w:r>
    </w:p>
    <w:p>
      <w:pPr>
        <w:spacing w:after="0" w:line="75" w:lineRule="exact"/>
        <w:rPr>
          <w:rFonts w:ascii="Arial" w:cs="Arial" w:eastAsia="Arial" w:hAnsi="Arial"/>
          <w:sz w:val="17"/>
          <w:szCs w:val="17"/>
          <w:color w:val="auto"/>
          <w:vertAlign w:val="superscript"/>
        </w:rPr>
      </w:pPr>
    </w:p>
    <w:p>
      <w:pPr>
        <w:ind w:left="980" w:hanging="243"/>
        <w:spacing w:after="0" w:line="259" w:lineRule="auto"/>
        <w:tabs>
          <w:tab w:leader="none" w:pos="890"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Adjustment to preliminary purchase price recorded during the thirteen weeks ended April 30, 2023. The Company will finalize all purchase accounting related to the Main Event acquisition in the second quarter of fiscal 2023.</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46"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DAVE &amp; BUSTER’S ENTERTAINMENT, INC. NOTES TO UNAUDITED CONSOLIDATED FINANCIAL STATEMENTS (in millions, except per share amounts)</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Accrued Liabilities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Accrued liabilities consist of the following as of the end of each period:</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211"/>
              <w:spacing w:after="0"/>
              <w:rPr>
                <w:sz w:val="20"/>
                <w:szCs w:val="20"/>
                <w:color w:val="auto"/>
              </w:rPr>
            </w:pPr>
            <w:r>
              <w:rPr>
                <w:rFonts w:ascii="Arial" w:cs="Arial" w:eastAsia="Arial" w:hAnsi="Arial"/>
                <w:sz w:val="14"/>
                <w:szCs w:val="14"/>
                <w:b w:val="1"/>
                <w:bCs w:val="1"/>
                <w:color w:val="auto"/>
              </w:rPr>
              <w:t>April 30, 2023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right"/>
              <w:ind w:right="131"/>
              <w:spacing w:after="0"/>
              <w:rPr>
                <w:sz w:val="20"/>
                <w:szCs w:val="20"/>
                <w:color w:val="auto"/>
              </w:rPr>
            </w:pPr>
            <w:r>
              <w:rPr>
                <w:rFonts w:ascii="Arial" w:cs="Arial" w:eastAsia="Arial" w:hAnsi="Arial"/>
                <w:sz w:val="14"/>
                <w:szCs w:val="14"/>
                <w:b w:val="1"/>
                <w:bCs w:val="1"/>
                <w:color w:val="auto"/>
                <w:w w:val="96"/>
              </w:rPr>
              <w:t>January 29, 2023</w:t>
            </w:r>
          </w:p>
        </w:tc>
      </w:tr>
      <w:tr>
        <w:trPr>
          <w:trHeight w:val="39"/>
        </w:trPr>
        <w:tc>
          <w:tcPr>
            <w:tcW w:w="816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243"/>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entertainment revenue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119.9</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114.4</w:t>
            </w:r>
          </w:p>
        </w:tc>
      </w:tr>
      <w:tr>
        <w:trPr>
          <w:trHeight w:val="270"/>
        </w:trPr>
        <w:tc>
          <w:tcPr>
            <w:tcW w:w="8160" w:type="dxa"/>
            <w:vAlign w:val="bottom"/>
          </w:tcPr>
          <w:p>
            <w:pPr>
              <w:ind w:left="20"/>
              <w:spacing w:after="0"/>
              <w:rPr>
                <w:sz w:val="20"/>
                <w:szCs w:val="20"/>
                <w:color w:val="auto"/>
              </w:rPr>
            </w:pPr>
            <w:r>
              <w:rPr>
                <w:rFonts w:ascii="Arial" w:cs="Arial" w:eastAsia="Arial" w:hAnsi="Arial"/>
                <w:sz w:val="18"/>
                <w:szCs w:val="18"/>
                <w:color w:val="auto"/>
              </w:rPr>
              <w:t xml:space="preserve">Current portion of operating lease liabilities, net </w:t>
            </w:r>
            <w:r>
              <w:rPr>
                <w:rFonts w:ascii="Arial" w:cs="Arial" w:eastAsia="Arial" w:hAnsi="Arial"/>
                <w:sz w:val="23"/>
                <w:szCs w:val="23"/>
                <w:color w:val="auto"/>
                <w:vertAlign w:val="superscript"/>
              </w:rPr>
              <w:t>(1)</w:t>
            </w: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62.3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64.1</w:t>
            </w:r>
          </w:p>
        </w:tc>
      </w:tr>
      <w:tr>
        <w:trPr>
          <w:trHeight w:val="250"/>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Compensation and benefits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60.6</w:t>
            </w:r>
          </w:p>
        </w:tc>
      </w:tr>
      <w:tr>
        <w:trPr>
          <w:trHeight w:val="243"/>
        </w:trPr>
        <w:tc>
          <w:tcPr>
            <w:tcW w:w="8160" w:type="dxa"/>
            <w:vAlign w:val="bottom"/>
          </w:tcPr>
          <w:p>
            <w:pPr>
              <w:ind w:left="20"/>
              <w:spacing w:after="0"/>
              <w:rPr>
                <w:sz w:val="20"/>
                <w:szCs w:val="20"/>
                <w:color w:val="auto"/>
              </w:rPr>
            </w:pPr>
            <w:r>
              <w:rPr>
                <w:rFonts w:ascii="Arial" w:cs="Arial" w:eastAsia="Arial" w:hAnsi="Arial"/>
                <w:sz w:val="18"/>
                <w:szCs w:val="18"/>
                <w:color w:val="auto"/>
              </w:rPr>
              <w:t>Accrued interest</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15.8</w:t>
            </w:r>
          </w:p>
        </w:tc>
      </w:tr>
      <w:tr>
        <w:trPr>
          <w:trHeight w:val="27"/>
        </w:trPr>
        <w:tc>
          <w:tcPr>
            <w:tcW w:w="8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gift card revenue</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w:t>
            </w:r>
          </w:p>
        </w:tc>
      </w:tr>
      <w:tr>
        <w:trPr>
          <w:trHeight w:val="243"/>
        </w:trPr>
        <w:tc>
          <w:tcPr>
            <w:tcW w:w="8160" w:type="dxa"/>
            <w:vAlign w:val="bottom"/>
          </w:tcPr>
          <w:p>
            <w:pPr>
              <w:ind w:left="20"/>
              <w:spacing w:after="0"/>
              <w:rPr>
                <w:sz w:val="20"/>
                <w:szCs w:val="20"/>
                <w:color w:val="auto"/>
              </w:rPr>
            </w:pPr>
            <w:r>
              <w:rPr>
                <w:rFonts w:ascii="Arial" w:cs="Arial" w:eastAsia="Arial" w:hAnsi="Arial"/>
                <w:sz w:val="18"/>
                <w:szCs w:val="18"/>
                <w:color w:val="auto"/>
              </w:rPr>
              <w:t>Customer deposits</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7"/>
        </w:trPr>
        <w:tc>
          <w:tcPr>
            <w:tcW w:w="8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taxes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r>
      <w:tr>
        <w:trPr>
          <w:trHeight w:val="243"/>
        </w:trPr>
        <w:tc>
          <w:tcPr>
            <w:tcW w:w="8160" w:type="dxa"/>
            <w:vAlign w:val="bottom"/>
          </w:tcPr>
          <w:p>
            <w:pPr>
              <w:ind w:left="20"/>
              <w:spacing w:after="0"/>
              <w:rPr>
                <w:sz w:val="20"/>
                <w:szCs w:val="20"/>
                <w:color w:val="auto"/>
              </w:rPr>
            </w:pPr>
            <w:r>
              <w:rPr>
                <w:rFonts w:ascii="Arial" w:cs="Arial" w:eastAsia="Arial" w:hAnsi="Arial"/>
                <w:sz w:val="18"/>
                <w:szCs w:val="18"/>
                <w:color w:val="auto"/>
              </w:rPr>
              <w:t>Sales and use and other taxes</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7"/>
        </w:trPr>
        <w:tc>
          <w:tcPr>
            <w:tcW w:w="8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Occupancy and variable rent costs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r>
      <w:tr>
        <w:trPr>
          <w:trHeight w:val="243"/>
        </w:trPr>
        <w:tc>
          <w:tcPr>
            <w:tcW w:w="8160" w:type="dxa"/>
            <w:vAlign w:val="bottom"/>
          </w:tcPr>
          <w:p>
            <w:pPr>
              <w:ind w:left="20"/>
              <w:spacing w:after="0"/>
              <w:rPr>
                <w:sz w:val="20"/>
                <w:szCs w:val="20"/>
                <w:color w:val="auto"/>
              </w:rPr>
            </w:pPr>
            <w:r>
              <w:rPr>
                <w:rFonts w:ascii="Arial" w:cs="Arial" w:eastAsia="Arial" w:hAnsi="Arial"/>
                <w:sz w:val="18"/>
                <w:szCs w:val="18"/>
                <w:color w:val="auto"/>
              </w:rPr>
              <w:t>Utilities</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7"/>
        </w:trPr>
        <w:tc>
          <w:tcPr>
            <w:tcW w:w="8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portion of long-term insurance</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43"/>
        </w:trPr>
        <w:tc>
          <w:tcPr>
            <w:tcW w:w="8160" w:type="dxa"/>
            <w:vAlign w:val="bottom"/>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31.5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15.9</w:t>
            </w:r>
          </w:p>
        </w:tc>
      </w:tr>
      <w:tr>
        <w:trPr>
          <w:trHeight w:val="27"/>
        </w:trPr>
        <w:tc>
          <w:tcPr>
            <w:tcW w:w="8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3"/>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accrued liabilities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332.1</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342.9</w:t>
            </w:r>
          </w:p>
        </w:tc>
      </w:tr>
      <w:tr>
        <w:trPr>
          <w:trHeight w:val="20"/>
        </w:trPr>
        <w:tc>
          <w:tcPr>
            <w:tcW w:w="8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r>
    </w:tbl>
    <w:p>
      <w:pPr>
        <w:spacing w:after="0" w:line="125" w:lineRule="exact"/>
        <w:rPr>
          <w:sz w:val="20"/>
          <w:szCs w:val="20"/>
          <w:color w:val="auto"/>
        </w:rPr>
      </w:pPr>
    </w:p>
    <w:p>
      <w:pPr>
        <w:ind w:left="260" w:hanging="252"/>
        <w:spacing w:after="0" w:line="230" w:lineRule="auto"/>
        <w:tabs>
          <w:tab w:leader="none" w:pos="260" w:val="left"/>
        </w:tabs>
        <w:numPr>
          <w:ilvl w:val="0"/>
          <w:numId w:val="6"/>
        </w:numPr>
        <w:rPr>
          <w:rFonts w:ascii="Arial" w:cs="Arial" w:eastAsia="Arial" w:hAnsi="Arial"/>
          <w:sz w:val="21"/>
          <w:szCs w:val="21"/>
          <w:color w:val="auto"/>
          <w:vertAlign w:val="superscript"/>
        </w:rPr>
      </w:pPr>
      <w:r>
        <w:rPr>
          <w:rFonts w:ascii="Arial" w:cs="Arial" w:eastAsia="Arial" w:hAnsi="Arial"/>
          <w:sz w:val="16"/>
          <w:szCs w:val="16"/>
          <w:color w:val="auto"/>
        </w:rPr>
        <w:t>The balance of leasehold incentive receivables of $5.4 and $6.0 as of April 30, 2023 and January 29, 2023, respectively, is reflected as a reduction of the current portion of operating lease liabilities.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Leases</w:t>
      </w:r>
    </w:p>
    <w:p>
      <w:pPr>
        <w:spacing w:after="0" w:line="121"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We currently lease most of the buildings or sites for our stores, store support center, and warehouse space under facility operating leases. These leases typically have initial terms ranging from ten to twenty years and include one or more options to renew. When determining the lease term, we include option periods for which renewal is reasonably certain. Most of the leases require us to pay property taxes, insurance, and maintenance of the leased assets. Our lease agreements do not contain any material residual value guarantees or material restrictive covenants. Operating leases also include certain equipment leases that have a term in excess of one year. Certain facility leases also have provisions for additional contingent rentals based on revenues.</w:t>
      </w:r>
    </w:p>
    <w:p>
      <w:pPr>
        <w:spacing w:after="0" w:line="16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Operating lease cost, variable lease cost and short-term lease cost related primarily to our facilities is included in “Other store operating expenses” for our operating stores, “Pre-opening costs” for our stores not yet operating, or “General and administrative expenses” for our store support center and warehouse, in the Consolidated Statements of Comprehensive Income.</w:t>
      </w:r>
    </w:p>
    <w:p>
      <w:pPr>
        <w:spacing w:after="0" w:line="184"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components of lease expense, including variable lease costs primarily consisting of common area maintenance charges and property taxes, are as follows:</w:t>
      </w:r>
    </w:p>
    <w:p>
      <w:pPr>
        <w:spacing w:after="0" w:line="216" w:lineRule="exact"/>
        <w:rPr>
          <w:sz w:val="20"/>
          <w:szCs w:val="20"/>
          <w:color w:val="auto"/>
        </w:rPr>
      </w:pPr>
    </w:p>
    <w:tbl>
      <w:tblPr>
        <w:tblLayout w:type="fixed"/>
        <w:tblInd w:w="1560" w:type="dxa"/>
        <w:tblCellMar>
          <w:top w:w="0" w:type="dxa"/>
          <w:left w:w="0" w:type="dxa"/>
          <w:bottom w:w="0" w:type="dxa"/>
          <w:right w:w="0" w:type="dxa"/>
        </w:tblCellMar>
      </w:tblPr>
      <w:tr>
        <w:trPr>
          <w:trHeight w:val="186"/>
        </w:trPr>
        <w:tc>
          <w:tcPr>
            <w:tcW w:w="5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80" w:type="dxa"/>
            <w:vAlign w:val="bottom"/>
            <w:gridSpan w:val="4"/>
          </w:tcPr>
          <w:p>
            <w:pPr>
              <w:jc w:val="right"/>
              <w:ind w:right="754"/>
              <w:spacing w:after="0"/>
              <w:rPr>
                <w:sz w:val="20"/>
                <w:szCs w:val="20"/>
                <w:color w:val="auto"/>
              </w:rPr>
            </w:pPr>
            <w:r>
              <w:rPr>
                <w:rFonts w:ascii="Arial" w:cs="Arial" w:eastAsia="Arial" w:hAnsi="Arial"/>
                <w:sz w:val="14"/>
                <w:szCs w:val="14"/>
                <w:b w:val="1"/>
                <w:bCs w:val="1"/>
                <w:color w:val="auto"/>
              </w:rPr>
              <w:t>Thirteen Weeks Ended</w:t>
            </w:r>
          </w:p>
        </w:tc>
      </w:tr>
      <w:tr>
        <w:trPr>
          <w:trHeight w:val="39"/>
        </w:trPr>
        <w:tc>
          <w:tcPr>
            <w:tcW w:w="50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184"/>
        </w:trPr>
        <w:tc>
          <w:tcPr>
            <w:tcW w:w="5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ind w:right="236"/>
              <w:spacing w:after="0"/>
              <w:rPr>
                <w:sz w:val="20"/>
                <w:szCs w:val="20"/>
                <w:color w:val="auto"/>
              </w:rPr>
            </w:pPr>
            <w:r>
              <w:rPr>
                <w:rFonts w:ascii="Arial" w:cs="Arial" w:eastAsia="Arial" w:hAnsi="Arial"/>
                <w:sz w:val="14"/>
                <w:szCs w:val="14"/>
                <w:b w:val="1"/>
                <w:bCs w:val="1"/>
                <w:color w:val="auto"/>
              </w:rPr>
              <w:t>April 30, 2023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jc w:val="right"/>
              <w:ind w:right="274"/>
              <w:spacing w:after="0"/>
              <w:rPr>
                <w:sz w:val="20"/>
                <w:szCs w:val="20"/>
                <w:color w:val="auto"/>
              </w:rPr>
            </w:pPr>
            <w:r>
              <w:rPr>
                <w:rFonts w:ascii="Arial" w:cs="Arial" w:eastAsia="Arial" w:hAnsi="Arial"/>
                <w:sz w:val="14"/>
                <w:szCs w:val="14"/>
                <w:b w:val="1"/>
                <w:bCs w:val="1"/>
                <w:color w:val="auto"/>
              </w:rPr>
              <w:t>May 1, 2022</w:t>
            </w:r>
          </w:p>
        </w:tc>
      </w:tr>
      <w:tr>
        <w:trPr>
          <w:trHeight w:val="39"/>
        </w:trPr>
        <w:tc>
          <w:tcPr>
            <w:tcW w:w="50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44"/>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3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w:t>
            </w:r>
          </w:p>
        </w:tc>
      </w:tr>
      <w:tr>
        <w:trPr>
          <w:trHeight w:val="243"/>
        </w:trPr>
        <w:tc>
          <w:tcPr>
            <w:tcW w:w="5020" w:type="dxa"/>
            <w:vAlign w:val="bottom"/>
          </w:tcPr>
          <w:p>
            <w:pPr>
              <w:ind w:left="20"/>
              <w:spacing w:after="0"/>
              <w:rPr>
                <w:sz w:val="20"/>
                <w:szCs w:val="20"/>
                <w:color w:val="auto"/>
              </w:rPr>
            </w:pPr>
            <w:r>
              <w:rPr>
                <w:rFonts w:ascii="Arial" w:cs="Arial" w:eastAsia="Arial" w:hAnsi="Arial"/>
                <w:sz w:val="18"/>
                <w:szCs w:val="18"/>
                <w:color w:val="auto"/>
              </w:rPr>
              <w:t>Variable lease cost</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7"/>
        </w:trPr>
        <w:tc>
          <w:tcPr>
            <w:tcW w:w="5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 lease cost</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63"/>
        </w:trPr>
        <w:tc>
          <w:tcPr>
            <w:tcW w:w="5020" w:type="dxa"/>
            <w:vAlign w:val="bottom"/>
          </w:tcPr>
          <w:p>
            <w:pPr>
              <w:ind w:left="2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59.4</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44.7</w:t>
            </w:r>
          </w:p>
        </w:tc>
      </w:tr>
      <w:tr>
        <w:trPr>
          <w:trHeight w:val="21"/>
        </w:trPr>
        <w:tc>
          <w:tcPr>
            <w:tcW w:w="5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firstLine="486"/>
        <w:spacing w:after="0" w:line="342" w:lineRule="auto"/>
        <w:rPr>
          <w:sz w:val="20"/>
          <w:szCs w:val="20"/>
          <w:color w:val="auto"/>
        </w:rPr>
      </w:pPr>
      <w:r>
        <w:rPr>
          <w:rFonts w:ascii="Arial" w:cs="Arial" w:eastAsia="Arial" w:hAnsi="Arial"/>
          <w:sz w:val="16"/>
          <w:szCs w:val="16"/>
          <w:color w:val="auto"/>
        </w:rPr>
        <w:t>Operating lease payments in the table above includes minimum lease payments for future sites for which the leases have commenced. Operating lease payments exclude approximately $244.7 of minimum lease payments for twelve executed facility leases which have not yet commenced.</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46"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DAVE &amp; BUSTER’S ENTERTAINMENT, INC. NOTES TO UNAUDITED CONSOLIDATED FINANCIAL STATEMENTS (in millions, except per share amounts)</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Debt</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Long-term debt consists of the following:</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212"/>
              <w:spacing w:after="0"/>
              <w:rPr>
                <w:sz w:val="20"/>
                <w:szCs w:val="20"/>
                <w:color w:val="auto"/>
              </w:rPr>
            </w:pPr>
            <w:r>
              <w:rPr>
                <w:rFonts w:ascii="Arial" w:cs="Arial" w:eastAsia="Arial" w:hAnsi="Arial"/>
                <w:sz w:val="14"/>
                <w:szCs w:val="14"/>
                <w:b w:val="1"/>
                <w:bCs w:val="1"/>
                <w:color w:val="auto"/>
              </w:rPr>
              <w:t>April 30, 2023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right"/>
              <w:ind w:right="132"/>
              <w:spacing w:after="0"/>
              <w:rPr>
                <w:sz w:val="20"/>
                <w:szCs w:val="20"/>
                <w:color w:val="auto"/>
              </w:rPr>
            </w:pPr>
            <w:r>
              <w:rPr>
                <w:rFonts w:ascii="Arial" w:cs="Arial" w:eastAsia="Arial" w:hAnsi="Arial"/>
                <w:sz w:val="14"/>
                <w:szCs w:val="14"/>
                <w:b w:val="1"/>
                <w:bCs w:val="1"/>
                <w:color w:val="auto"/>
                <w:w w:val="96"/>
              </w:rPr>
              <w:t>January 29, 2023</w:t>
            </w:r>
          </w:p>
        </w:tc>
      </w:tr>
      <w:tr>
        <w:trPr>
          <w:trHeight w:val="26"/>
        </w:trPr>
        <w:tc>
          <w:tcPr>
            <w:tcW w:w="8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0"/>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Credit facility—revolver</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8160" w:type="dxa"/>
            <w:vAlign w:val="bottom"/>
          </w:tcPr>
          <w:p>
            <w:pPr>
              <w:ind w:left="20"/>
              <w:spacing w:after="0"/>
              <w:rPr>
                <w:sz w:val="20"/>
                <w:szCs w:val="20"/>
                <w:color w:val="auto"/>
              </w:rPr>
            </w:pPr>
            <w:r>
              <w:rPr>
                <w:rFonts w:ascii="Arial" w:cs="Arial" w:eastAsia="Arial" w:hAnsi="Arial"/>
                <w:sz w:val="18"/>
                <w:szCs w:val="18"/>
                <w:color w:val="auto"/>
              </w:rPr>
              <w:t>Credit facility—term loan</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843.6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847.9</w:t>
            </w:r>
          </w:p>
        </w:tc>
      </w:tr>
      <w:tr>
        <w:trPr>
          <w:trHeight w:val="27"/>
        </w:trPr>
        <w:tc>
          <w:tcPr>
            <w:tcW w:w="8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7"/>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secured notes</w:t>
            </w: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440.0</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440.0</w:t>
            </w:r>
          </w:p>
        </w:tc>
      </w:tr>
      <w:tr>
        <w:trPr>
          <w:trHeight w:val="243"/>
        </w:trPr>
        <w:tc>
          <w:tcPr>
            <w:tcW w:w="8160" w:type="dxa"/>
            <w:vAlign w:val="bottom"/>
          </w:tcPr>
          <w:p>
            <w:pPr>
              <w:ind w:left="240"/>
              <w:spacing w:after="0"/>
              <w:rPr>
                <w:sz w:val="20"/>
                <w:szCs w:val="20"/>
                <w:color w:val="auto"/>
              </w:rPr>
            </w:pPr>
            <w:r>
              <w:rPr>
                <w:rFonts w:ascii="Arial" w:cs="Arial" w:eastAsia="Arial" w:hAnsi="Arial"/>
                <w:sz w:val="18"/>
                <w:szCs w:val="18"/>
                <w:color w:val="auto"/>
              </w:rPr>
              <w:t>Total debt outstanding</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1,283.6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1,287.9</w:t>
            </w:r>
          </w:p>
        </w:tc>
      </w:tr>
      <w:tr>
        <w:trPr>
          <w:trHeight w:val="263"/>
        </w:trPr>
        <w:tc>
          <w:tcPr>
            <w:tcW w:w="8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current installments of long-term debt</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50"/>
        </w:trPr>
        <w:tc>
          <w:tcPr>
            <w:tcW w:w="8160" w:type="dxa"/>
            <w:vAlign w:val="bottom"/>
          </w:tcPr>
          <w:p>
            <w:pPr>
              <w:ind w:left="340"/>
              <w:spacing w:after="0"/>
              <w:rPr>
                <w:sz w:val="20"/>
                <w:szCs w:val="20"/>
                <w:color w:val="auto"/>
              </w:rPr>
            </w:pPr>
            <w:r>
              <w:rPr>
                <w:rFonts w:ascii="Arial" w:cs="Arial" w:eastAsia="Arial" w:hAnsi="Arial"/>
                <w:sz w:val="18"/>
                <w:szCs w:val="18"/>
                <w:color w:val="auto"/>
              </w:rPr>
              <w:t>Less issue discount on term loan</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(38.9)</w:t>
            </w:r>
          </w:p>
        </w:tc>
      </w:tr>
      <w:tr>
        <w:trPr>
          <w:trHeight w:val="277"/>
        </w:trPr>
        <w:tc>
          <w:tcPr>
            <w:tcW w:w="8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Less debt issuance costs</w:t>
            </w:r>
          </w:p>
        </w:tc>
        <w:tc>
          <w:tcPr>
            <w:tcW w:w="22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w:t>
            </w:r>
          </w:p>
        </w:tc>
      </w:tr>
      <w:tr>
        <w:trPr>
          <w:trHeight w:val="243"/>
        </w:trPr>
        <w:tc>
          <w:tcPr>
            <w:tcW w:w="8160" w:type="dxa"/>
            <w:vAlign w:val="bottom"/>
          </w:tcPr>
          <w:p>
            <w:pPr>
              <w:ind w:left="140"/>
              <w:spacing w:after="0"/>
              <w:rPr>
                <w:sz w:val="20"/>
                <w:szCs w:val="20"/>
                <w:color w:val="auto"/>
              </w:rPr>
            </w:pPr>
            <w:r>
              <w:rPr>
                <w:rFonts w:ascii="Arial" w:cs="Arial" w:eastAsia="Arial" w:hAnsi="Arial"/>
                <w:sz w:val="18"/>
                <w:szCs w:val="18"/>
                <w:color w:val="auto"/>
              </w:rPr>
              <w:t>Long-term debt, net</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1,221.1</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1,222.7</w:t>
            </w:r>
          </w:p>
        </w:tc>
      </w:tr>
      <w:tr>
        <w:trPr>
          <w:trHeight w:val="27"/>
        </w:trPr>
        <w:tc>
          <w:tcPr>
            <w:tcW w:w="8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bl>
    <w:p>
      <w:pPr>
        <w:spacing w:after="0" w:line="283"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In connection with the closing of the Main Event Acquisition on June 29, 2022, D&amp;B Inc entered into a senior secured credit agreement, which refinanced the $500.0 existing revolving facility, extended the maturity date to June 29, 2027, and added a new term loan facility in the aggregate principal amount of $850.0, with a maturity date of June 29, 2029 (“Credit Facility”). The proceeds of the term loan, net of an original issue discount of $42.5, were used to pay the consideration for the Acquisition. The revolving credit facility can expire before the stated maturity date if the aggregate outstanding principal amount of the 7.625% senior notes (described below) exceeds $100.0 91 days prior to November 1, 2025. A portion of the revolving facility not to exceed $35.0 is available for the issuance of letters of credit.</w:t>
      </w:r>
    </w:p>
    <w:p>
      <w:pPr>
        <w:spacing w:after="0" w:line="192"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As of April 30, 2023, we had letters of credit outstanding of $9.8 and an unused commitment balance of $490.2 under the revolving facility. The Credit Facility may be increased through incremental facilities, by an amount equal to the greater of (i) $400.0 and (ii) 0.75 times trailing twelve-month Adjusted EBITDA, as defined, plus additional amounts subject to compliance with applicable leverage ratio and/or interest coverage ratio requirements. The Credit Facility is unconditionally guaranteed by D&amp;B Holdings and certain of D&amp;B Inc’s existing and future wholly owned material domestic subsidiaries.</w:t>
      </w:r>
    </w:p>
    <w:p>
      <w:pPr>
        <w:spacing w:after="0" w:line="188"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During fiscal 2020, the Company issued $550.0 aggregate principal amount of 7.625% senior secured notes (the “Notes”). Interest on the Notes is payable in arrears on November 1 and May 1 of each year. The Notes mature on November 1, 2025, unless earlier redeemed, and are subject to the terms and conditions set forth in the related indenture. The Notes were issued by D&amp;B Inc and are unconditionally guaranteed by D&amp;B Holdings and certain of D&amp;B Inc’s existing and future wholly owned material domestic subsidiaries. During fiscal 2022, the Company redeemed a total of $110.0 outstanding principal amount of the Notes. As of October 27, 2022, the Company may elect to further redeem the Notes, in whole or in part, at certain specified redemption prices, plus accrued and unpaid interest, at the redemption date.</w:t>
      </w:r>
    </w:p>
    <w:p>
      <w:pPr>
        <w:spacing w:after="0" w:line="178"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The interest rates per annum applicable to SOFR term loans are based on a defined SOFR rate (with a floor of 0.50%) plus an additional credit spread adjustment of 0.10%, plus a margin of 5.00%. The interest rates per annum applicable to SOFR revolving loans are based on the term loan SOFR rate, plus an additional credit spread adjustment of 0.10%, plus an initial margin of 4.75%. Unused commitments under the revolving facility incur initial commitment fees of 0.50%. The margin for SOFR revolving loans are subject to a pricing grid based on net total leverage, ranging from 4.25% to 4.75%, and commitment fees are subject to a pricing grid based on net total leverage, ranging from 0.30% to 0.50%.</w:t>
      </w:r>
    </w:p>
    <w:p>
      <w:pPr>
        <w:spacing w:after="0" w:line="17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Amortization of debt issuance costs and original issue discount, which is included in interest expense, net on the consolidated statements of comprehensive income, was $3.0 for the thirteen weeks ended April 30, 2023 and $1.0 for the thirteen weeks ended May 1, 2022. For the thirteen weeks ended April 30, 2023, and May 1, 2022, the Company’s weighted average effective interest rate on our total debt facilities (before capitalized interest amounts) was 10.3% and 10.9%, respectively.</w:t>
      </w:r>
    </w:p>
    <w:p>
      <w:pPr>
        <w:spacing w:after="0" w:line="18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Our debt agreements contain restrictive covenants that, among other things, place certain limitations on our ability to incur additional indebtedness, make loans or advances to subsidiaries and other entities, pay dividends, acquire other businesses or sell assets. The Credit Facility also requires the Company to maintain a maximum net total leverage ratio, as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46"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DAVE &amp; BUSTER’S ENTERTAINMENT, INC. NOTES TO UNAUDITED CONSOLIDATED FINANCIAL STATEMENTS (in millions, except per share amounts)</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7"/>
          <w:szCs w:val="17"/>
          <w:color w:val="auto"/>
        </w:rPr>
        <w:t>defined, as of the end of each fiscal quarter. We were in compliance with our covenants and the terms of our debt agreements as of April 30, 2023.</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Commitments and Contingencies</w:t>
      </w:r>
    </w:p>
    <w:p>
      <w:pPr>
        <w:spacing w:after="0" w:line="121"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We are subject to certain legal proceedings and claims that arise in the ordinary course of our business, including claims alleging violations of federal and state law regarding workplace and employment matters, discrimination, slip-and-fall and other customer-related incidents and similar matters. In the opinion of management, based upon consultation with legal counsel, the amount of ultimate liability, with respect to such legal proceedings and claims will not materially affect the consolidated results of our operations or our financial condition. Legal costs related to such claims are expensed as incurred.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Stockholders' Equity and Share-Based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issuances and repurchases</w:t>
      </w:r>
    </w:p>
    <w:p>
      <w:pPr>
        <w:spacing w:after="0" w:line="22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Company treats shares withheld for tax purposes on behalf of our employees in connection with the vesting of time-based and performance restricted stock units as common stock repurchases because they reduce the number of shares that would have been issued upon vesting. During the thirteen weeks ended April 30, 2023 and May 1, 2022, respectively, we withheld 0.02 and 0.03 shares of common stock to satisfy $0.6 and $1.2 of employees’ tax obligations, respectively.</w:t>
      </w:r>
    </w:p>
    <w:p>
      <w:pPr>
        <w:spacing w:after="0" w:line="18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On March 27, 2023, our Board of Directors approved a share repurchase program with an authorization limit of $100.0, expiring at the end of fiscal 2023. During the thirteen weeks ended April 30, 2023, the Company repurchased the full amount of $100.0 authorized under this program totaling 2.86 million shares at an average of $34.98 per share.</w:t>
      </w:r>
    </w:p>
    <w:p>
      <w:pPr>
        <w:spacing w:after="0" w:line="184"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On April 19, 2023, our Board of Directors approved a share repurchase program with an authorization limit of $200.0, expiring at the end of fiscal 2023. During the thirteen weeks ended April 30, 2023, the Company repurchased 0.75 million shares at an average of $34.18 per share. The remaining dollar value of shares that may be repurchased under the plan is $174.5.</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compensation expense related to share-based compensation was as follows:</w:t>
      </w:r>
    </w:p>
    <w:p>
      <w:pPr>
        <w:spacing w:after="0" w:line="271" w:lineRule="exact"/>
        <w:rPr>
          <w:sz w:val="20"/>
          <w:szCs w:val="20"/>
          <w:color w:val="auto"/>
        </w:rPr>
      </w:pPr>
    </w:p>
    <w:tbl>
      <w:tblPr>
        <w:tblLayout w:type="fixed"/>
        <w:tblInd w:w="1560" w:type="dxa"/>
        <w:tblCellMar>
          <w:top w:w="0" w:type="dxa"/>
          <w:left w:w="0" w:type="dxa"/>
          <w:bottom w:w="0" w:type="dxa"/>
          <w:right w:w="0" w:type="dxa"/>
        </w:tblCellMar>
      </w:tblPr>
      <w:tr>
        <w:trPr>
          <w:trHeight w:val="186"/>
        </w:trPr>
        <w:tc>
          <w:tcPr>
            <w:tcW w:w="5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80" w:type="dxa"/>
            <w:vAlign w:val="bottom"/>
            <w:gridSpan w:val="4"/>
          </w:tcPr>
          <w:p>
            <w:pPr>
              <w:jc w:val="right"/>
              <w:ind w:right="759"/>
              <w:spacing w:after="0"/>
              <w:rPr>
                <w:sz w:val="20"/>
                <w:szCs w:val="20"/>
                <w:color w:val="auto"/>
              </w:rPr>
            </w:pPr>
            <w:r>
              <w:rPr>
                <w:rFonts w:ascii="Arial" w:cs="Arial" w:eastAsia="Arial" w:hAnsi="Arial"/>
                <w:sz w:val="14"/>
                <w:szCs w:val="14"/>
                <w:b w:val="1"/>
                <w:bCs w:val="1"/>
                <w:color w:val="auto"/>
              </w:rPr>
              <w:t>Thirteen Weeks Ended</w:t>
            </w:r>
          </w:p>
        </w:tc>
      </w:tr>
      <w:tr>
        <w:trPr>
          <w:trHeight w:val="39"/>
        </w:trPr>
        <w:tc>
          <w:tcPr>
            <w:tcW w:w="50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184"/>
        </w:trPr>
        <w:tc>
          <w:tcPr>
            <w:tcW w:w="5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ind w:right="242"/>
              <w:spacing w:after="0"/>
              <w:rPr>
                <w:sz w:val="20"/>
                <w:szCs w:val="20"/>
                <w:color w:val="auto"/>
              </w:rPr>
            </w:pPr>
            <w:r>
              <w:rPr>
                <w:rFonts w:ascii="Arial" w:cs="Arial" w:eastAsia="Arial" w:hAnsi="Arial"/>
                <w:sz w:val="14"/>
                <w:szCs w:val="14"/>
                <w:b w:val="1"/>
                <w:bCs w:val="1"/>
                <w:color w:val="auto"/>
              </w:rPr>
              <w:t>April 30, 2023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jc w:val="right"/>
              <w:ind w:right="279"/>
              <w:spacing w:after="0"/>
              <w:rPr>
                <w:sz w:val="20"/>
                <w:szCs w:val="20"/>
                <w:color w:val="auto"/>
              </w:rPr>
            </w:pPr>
            <w:r>
              <w:rPr>
                <w:rFonts w:ascii="Arial" w:cs="Arial" w:eastAsia="Arial" w:hAnsi="Arial"/>
                <w:sz w:val="14"/>
                <w:szCs w:val="14"/>
                <w:b w:val="1"/>
                <w:bCs w:val="1"/>
                <w:color w:val="auto"/>
              </w:rPr>
              <w:t>May 1, 2022</w:t>
            </w:r>
          </w:p>
        </w:tc>
      </w:tr>
      <w:tr>
        <w:trPr>
          <w:trHeight w:val="39"/>
        </w:trPr>
        <w:tc>
          <w:tcPr>
            <w:tcW w:w="50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37"/>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7"/>
        </w:trPr>
        <w:tc>
          <w:tcPr>
            <w:tcW w:w="50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28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share-based compensation award activity during the thirteen weeks ended April 30, 2023 was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5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ind w:right="335"/>
              <w:spacing w:after="0"/>
              <w:rPr>
                <w:sz w:val="20"/>
                <w:szCs w:val="20"/>
                <w:color w:val="auto"/>
              </w:rPr>
            </w:pPr>
            <w:r>
              <w:rPr>
                <w:rFonts w:ascii="Arial" w:cs="Arial" w:eastAsia="Arial" w:hAnsi="Arial"/>
                <w:sz w:val="14"/>
                <w:szCs w:val="14"/>
                <w:b w:val="1"/>
                <w:bCs w:val="1"/>
                <w:color w:val="auto"/>
              </w:rPr>
              <w:t>Restricted</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6"/>
        </w:trPr>
        <w:tc>
          <w:tcPr>
            <w:tcW w:w="65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Options</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ind w:right="315"/>
              <w:spacing w:after="0"/>
              <w:rPr>
                <w:sz w:val="20"/>
                <w:szCs w:val="20"/>
                <w:color w:val="auto"/>
              </w:rPr>
            </w:pPr>
            <w:r>
              <w:rPr>
                <w:rFonts w:ascii="Arial" w:cs="Arial" w:eastAsia="Arial" w:hAnsi="Arial"/>
                <w:sz w:val="14"/>
                <w:szCs w:val="14"/>
                <w:b w:val="1"/>
                <w:bCs w:val="1"/>
                <w:color w:val="auto"/>
              </w:rPr>
              <w:t>Stock Units</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493"/>
              <w:spacing w:after="0"/>
              <w:rPr>
                <w:sz w:val="20"/>
                <w:szCs w:val="20"/>
                <w:color w:val="auto"/>
              </w:rPr>
            </w:pPr>
            <w:r>
              <w:rPr>
                <w:rFonts w:ascii="Arial" w:cs="Arial" w:eastAsia="Arial" w:hAnsi="Arial"/>
                <w:sz w:val="14"/>
                <w:szCs w:val="14"/>
                <w:b w:val="1"/>
                <w:bCs w:val="1"/>
                <w:color w:val="auto"/>
              </w:rPr>
              <w:t>Total</w:t>
            </w:r>
          </w:p>
        </w:tc>
      </w:tr>
      <w:tr>
        <w:trPr>
          <w:trHeight w:val="39"/>
        </w:trPr>
        <w:tc>
          <w:tcPr>
            <w:tcW w:w="6580" w:type="dxa"/>
            <w:vAlign w:val="bottom"/>
            <w:tcBorders>
              <w:bottom w:val="single" w:sz="8" w:color="CCEEFF"/>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44"/>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January 29, 2023</w:t>
            </w:r>
          </w:p>
        </w:tc>
        <w:tc>
          <w:tcPr>
            <w:tcW w:w="10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w:t>
            </w:r>
          </w:p>
        </w:tc>
      </w:tr>
      <w:tr>
        <w:trPr>
          <w:trHeight w:val="243"/>
        </w:trPr>
        <w:tc>
          <w:tcPr>
            <w:tcW w:w="6580" w:type="dxa"/>
            <w:vAlign w:val="bottom"/>
          </w:tcPr>
          <w:p>
            <w:pPr>
              <w:ind w:left="20"/>
              <w:spacing w:after="0"/>
              <w:rPr>
                <w:sz w:val="20"/>
                <w:szCs w:val="20"/>
                <w:color w:val="auto"/>
              </w:rPr>
            </w:pPr>
            <w:r>
              <w:rPr>
                <w:rFonts w:ascii="Arial" w:cs="Arial" w:eastAsia="Arial" w:hAnsi="Arial"/>
                <w:sz w:val="18"/>
                <w:szCs w:val="18"/>
                <w:color w:val="auto"/>
              </w:rPr>
              <w:t>Granted</w:t>
            </w:r>
          </w:p>
        </w:tc>
        <w:tc>
          <w:tcPr>
            <w:tcW w:w="108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0.08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0.34</w:t>
            </w:r>
          </w:p>
        </w:tc>
      </w:tr>
      <w:tr>
        <w:trPr>
          <w:trHeight w:val="27"/>
        </w:trPr>
        <w:tc>
          <w:tcPr>
            <w:tcW w:w="6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RSU vestings</w:t>
            </w:r>
          </w:p>
        </w:tc>
        <w:tc>
          <w:tcPr>
            <w:tcW w:w="10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(0.06)</w:t>
            </w:r>
          </w:p>
        </w:tc>
      </w:tr>
      <w:tr>
        <w:trPr>
          <w:trHeight w:val="243"/>
        </w:trPr>
        <w:tc>
          <w:tcPr>
            <w:tcW w:w="658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08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(0.02)</w:t>
            </w:r>
          </w:p>
        </w:tc>
      </w:tr>
      <w:tr>
        <w:trPr>
          <w:trHeight w:val="27"/>
        </w:trPr>
        <w:tc>
          <w:tcPr>
            <w:tcW w:w="65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3"/>
        </w:trPr>
        <w:tc>
          <w:tcPr>
            <w:tcW w:w="65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Outstanding at April 30, 2023</w:t>
            </w:r>
          </w:p>
        </w:tc>
        <w:tc>
          <w:tcPr>
            <w:tcW w:w="10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w:t>
            </w:r>
          </w:p>
        </w:tc>
      </w:tr>
      <w:tr>
        <w:trPr>
          <w:trHeight w:val="237"/>
        </w:trPr>
        <w:tc>
          <w:tcPr>
            <w:tcW w:w="6580" w:type="dxa"/>
            <w:vAlign w:val="bottom"/>
          </w:tcPr>
          <w:p>
            <w:pPr>
              <w:ind w:left="240"/>
              <w:spacing w:after="0"/>
              <w:rPr>
                <w:sz w:val="20"/>
                <w:szCs w:val="20"/>
                <w:color w:val="auto"/>
              </w:rPr>
            </w:pPr>
            <w:r>
              <w:rPr>
                <w:rFonts w:ascii="Arial" w:cs="Arial" w:eastAsia="Arial" w:hAnsi="Arial"/>
                <w:sz w:val="18"/>
                <w:szCs w:val="18"/>
                <w:color w:val="auto"/>
              </w:rPr>
              <w:t>Remaining unrecognized compensation expense</w:t>
            </w:r>
          </w:p>
        </w:tc>
        <w:tc>
          <w:tcPr>
            <w:tcW w:w="1080" w:type="dxa"/>
            <w:vAlign w:val="bottom"/>
            <w:tcBorders>
              <w:top w:val="single" w:sz="8" w:color="auto"/>
            </w:tcBorders>
          </w:tcPr>
          <w:p>
            <w:pPr>
              <w:jc w:val="right"/>
              <w:ind w:right="879"/>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46.6</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53.2</w:t>
            </w:r>
          </w:p>
        </w:tc>
      </w:tr>
    </w:tbl>
    <w:p>
      <w:pPr>
        <w:spacing w:after="0" w:line="323"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fair value of our time-based and performance-based restricted stock units is based on our closing stock price on the date of grant. The grant date fair value of stock options was determined using the Black-Scholes option valuation model. The grant date fair value of performance-based awards with market conditions was determined using the Monte Carlo valuation model. The unrecognized expense will all be substantially recognized by the end of fiscal 2025.</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46"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DAVE &amp; BUSTER’S ENTERTAINMENT, INC. NOTES TO UNAUDITED CONSOLIDATED FINANCIAL STATEMENTS (in millions, except per share amounts)</w:t>
      </w:r>
    </w:p>
    <w:p>
      <w:pPr>
        <w:spacing w:after="0" w:line="200" w:lineRule="exact"/>
        <w:rPr>
          <w:sz w:val="20"/>
          <w:szCs w:val="20"/>
          <w:color w:val="auto"/>
        </w:rPr>
      </w:pPr>
    </w:p>
    <w:p>
      <w:pPr>
        <w:spacing w:after="0" w:line="37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During the thirteen weeks ended April 30, 2023, the Company granted certain options, time-based, performance-based, and market-based restricted stock units to employees and directors of the Company. These grants vest over a range of one year to 5 years. Certain of the market-based restricted stock units can vest earlier if the targets are achieved prior to that time. As a result, the requisite service period for such grants was determined to be less than the explicit service period.</w:t>
      </w:r>
    </w:p>
    <w:p>
      <w:pPr>
        <w:spacing w:after="0" w:line="18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During the thirteen weeks ended April 30, 2023 and May 1, 2022, excess tax expense (benefit) of $0.4 and $(0.1), respectively, were recognized in the “Provision for income taxes” in the Consolidated Statement of Comprehensive Income and classified as a source in operating activities in the Consolidated Statement of Cash Flows.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Income Taxes</w:t>
      </w:r>
    </w:p>
    <w:p>
      <w:pPr>
        <w:spacing w:after="0" w:line="121"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color w:val="auto"/>
        </w:rPr>
        <w:t>The effective tax rate for the thirteen weeks ended April 30, 2023, was 22.7%, compared to 23.3% for the thirteen weeks ended May 1, 2022. The current year tax provision includes a favorable state apportionment impact resulting from the acquisition of Main Event and legal entity restructuring.</w:t>
      </w:r>
    </w:p>
    <w:p>
      <w:pPr>
        <w:spacing w:after="0" w:line="12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On March 27, 2020, the Coronavirus Aid, Relief and Economic Security Act (“CARES Act”) was signed into law. Intended to provide economic relief to those impacted by the COVID-19 pandemic, the CARES Act includes provisions, among others, allowing for the carryback of net operating losses generated in fiscal 2018, 2019 and 2020. The Company has $24.2 of federal tax refunds remaining from the fiscal 2020 carryback claim filed during fiscal 2021.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Subsequent Event</w:t>
      </w:r>
    </w:p>
    <w:p>
      <w:pPr>
        <w:spacing w:after="0" w:line="12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Between May 1 and May 11, 2023, the Company repurchased 2.09 shares for a total of $74.5, excluding the impact of excise taxes that will be due under the Inflation Reduction Act of 2022. In fiscal 2023, through the filing of this quarterly report on Form 10-Q, the Company has repurchased 5.70 shares representing 11.8% of the shares issued and outstanding as of January 29, 2023.</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The following discussion and analysis of our financial condition and results of operations should be read together with the accompanying unaudited consolidated financial statements and the related notes in Item 1 and with the audited consolidated financial statements and the related notes included in our Annual Report on Form 10-K as filed with the Securities and Exchange Commission (“SEC”) on March 28, 2023. Amounts included in the following discussion, except for operating weeks and per share amounts, are rounded in millions.</w:t>
      </w:r>
    </w:p>
    <w:p>
      <w:pPr>
        <w:spacing w:after="0" w:line="63"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Unless otherwise specified, the meanings of all defined terms in “Management’s Discussion and Analysis of Financial Condition and Results of Operations” are consistent with the meanings of such terms as defined in the Notes to Unaudited Consolidated Financial Statements. This discussion contains statements that are, or may be deemed to be, “forward-looking statements” within the meaning of Section 27A of the Securities Act of 1933 and Section 21E of the Securities Exchange Act of 1934, as amended (the “Exchange Act”). These forward-looking statements can be identified by the use of forward-looking terminology, including the terms “believes,” “estimates,” “anticipates,” “expects,” “intends,” “may,” “will” or “should” or, in each case, their negative or other variations or comparable terminology. These forward-looking statements include all matters that are not historical facts. They appear in a number of places throughout this report and include statements regarding our intentions, beliefs or current expectations concerning, among other things, our results of operations, financial condition, liquidity, prospects, growth, strategies and the industry in which we operate.</w:t>
      </w:r>
    </w:p>
    <w:p>
      <w:pPr>
        <w:spacing w:after="0" w:line="165"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By their nature, forward-looking statements involve risks and uncertainties because they relate to events and depend on circumstances that may or may not occur in the future. Forward-looking statements are not a guarantee of future performance and our actual results of operations, financial condition and liquidity, and the development of the industry in which we operate may differ materially from those made in or suggested by the forward-looking statements contained in this quarterly report as a result of various factors, including those set forth in the section entitled “Risk Factors” in our Annual Report on Form 10-K filed with the SEC on March 28, 2023. In addition, even if our results of operations, financial condition and liquidity, and the development of the industry in which we operate are consistent with the forward-looking statements contained in this Form 10-Q, such results or developments may not be indicative of results or developments in subsequent periods.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Financial Highlights</w:t>
      </w:r>
    </w:p>
    <w:p>
      <w:pPr>
        <w:spacing w:after="0" w:line="121" w:lineRule="exact"/>
        <w:rPr>
          <w:sz w:val="20"/>
          <w:szCs w:val="20"/>
          <w:color w:val="auto"/>
        </w:rPr>
      </w:pPr>
    </w:p>
    <w:p>
      <w:pPr>
        <w:ind w:left="980" w:hanging="486"/>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First quarter total revenues of $597.3 million increased $146.2 million, or 32.4%, from the first quarter of 2022. Main Event branded stores contributed $138.3 million of revenue during the quarter.</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Comparable sales at Dave &amp; Buster’s branded stores decreased 4.1% compared with the first quarter of 2022.</w:t>
      </w:r>
    </w:p>
    <w:p>
      <w:pPr>
        <w:spacing w:after="0" w:line="117" w:lineRule="exact"/>
        <w:rPr>
          <w:rFonts w:ascii="Arial" w:cs="Arial" w:eastAsia="Arial" w:hAnsi="Arial"/>
          <w:sz w:val="18"/>
          <w:szCs w:val="18"/>
          <w:color w:val="auto"/>
        </w:rPr>
      </w:pPr>
    </w:p>
    <w:p>
      <w:pPr>
        <w:ind w:left="980" w:hanging="486"/>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Net income totaled $70.1 million, or $1.45 per diluted share, compared with $67.0 million, or $1.35 per diluted share, in the first quarter of 2022.</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Adjusted EBITDA of $182.1 million increased 29.8% from the first quarter of 2022.</w:t>
      </w:r>
    </w:p>
    <w:p>
      <w:pPr>
        <w:spacing w:after="0" w:line="117" w:lineRule="exact"/>
        <w:rPr>
          <w:rFonts w:ascii="Arial" w:cs="Arial" w:eastAsia="Arial" w:hAnsi="Arial"/>
          <w:sz w:val="18"/>
          <w:szCs w:val="18"/>
          <w:color w:val="auto"/>
        </w:rPr>
      </w:pPr>
    </w:p>
    <w:p>
      <w:pPr>
        <w:jc w:val="both"/>
        <w:ind w:left="980" w:hanging="486"/>
        <w:spacing w:after="0" w:line="311" w:lineRule="auto"/>
        <w:tabs>
          <w:tab w:leader="none" w:pos="98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Company repurchased 3.61 million shares in the first quarter at a total cost of $125.5 million or $34.82 per share. Subsequent to the end of the quarter, the Company has purchased an additional 2.1 million shares at a total cost of $74.5 million or $35.63 per share, bringing the total repurchases to 5.7 million shares totaling $200.0 million, representing approximately 12% of the outstanding shares in Fiscal 2023.</w:t>
      </w:r>
    </w:p>
    <w:p>
      <w:pPr>
        <w:spacing w:after="0" w:line="40" w:lineRule="exact"/>
        <w:rPr>
          <w:rFonts w:ascii="Arial" w:cs="Arial" w:eastAsia="Arial" w:hAnsi="Arial"/>
          <w:sz w:val="16"/>
          <w:szCs w:val="16"/>
          <w:color w:val="auto"/>
        </w:rPr>
      </w:pPr>
    </w:p>
    <w:p>
      <w:pPr>
        <w:ind w:left="980" w:hanging="486"/>
        <w:spacing w:after="0"/>
        <w:tabs>
          <w:tab w:leader="none" w:pos="980"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ended the quarter with $91.5 million in cash and $490.2 million of liquidity available under the Company’s revolving credit facility.</w:t>
      </w:r>
    </w:p>
    <w:p>
      <w:pPr>
        <w:spacing w:after="0" w:line="128" w:lineRule="exact"/>
        <w:rPr>
          <w:rFonts w:ascii="Arial" w:cs="Arial" w:eastAsia="Arial" w:hAnsi="Arial"/>
          <w:sz w:val="17"/>
          <w:szCs w:val="17"/>
          <w:color w:val="auto"/>
        </w:rPr>
      </w:pPr>
    </w:p>
    <w:p>
      <w:pPr>
        <w:ind w:left="980" w:hanging="486"/>
        <w:spacing w:after="0"/>
        <w:tabs>
          <w:tab w:leader="none" w:pos="980"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opened a new Dave &amp; Buster's store in Puerto Rico and three new Main Event stores in Little Rock, AR, Tucson, AZ, and Lexington, KY.</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We are a leading owner and operator of high-volume venues in North America that combine dining and entertainment for both adults and families under the “Dave &amp; Buster’s” and “Main Event” brands. The core of our concept is to offer our customers quality dining and various forms of entertainment all in one location. Our entertainment offerings provide an extensive assortment of attractions centered around playing games, bowling, and watching live sports and other televised events. Our brands appeal to a relatively balanced mix of male and female adults, as well as families and teenagers. We believe we appeal to a diverse customer base by providing a highly customizable experience in a dynamic and fun setting.</w:t>
      </w:r>
    </w:p>
    <w:p>
      <w:pPr>
        <w:spacing w:after="0" w:line="68"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Our Dave &amp; Buster’s stores average 40,000 square feet and range in size between 16,000 and 70,000 square feet. Our Main Event stores average 54,000 square feet and range in size between 37,500 and 78,000 square feet. Generally, our</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stores are open seven days a week, with normal hours of operation generally from between 10:00 to 11:30 a.m. until midnight, with stores typically open for extended hours on weekends.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Measures of Our Performance</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We monitor and analyze several key performance measures to manage our business and evaluate financial and operating performance, including:</w:t>
      </w:r>
    </w:p>
    <w:p>
      <w:pPr>
        <w:spacing w:after="0" w:line="248"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b w:val="1"/>
          <w:bCs w:val="1"/>
          <w:i w:val="1"/>
          <w:iCs w:val="1"/>
          <w:color w:val="auto"/>
        </w:rPr>
        <w:t xml:space="preserve">Comparable store sales. </w:t>
      </w:r>
      <w:r>
        <w:rPr>
          <w:rFonts w:ascii="Arial" w:cs="Arial" w:eastAsia="Arial" w:hAnsi="Arial"/>
          <w:sz w:val="17"/>
          <w:szCs w:val="17"/>
          <w:color w:val="auto"/>
        </w:rPr>
        <w:t>Comparable store sales are a comparison of sales to the same period of prior years for the comparable store base. We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historically define the comparable store base to include those stores open for a full 18 months before the beginning of the fiscal year and excluding stores permanently closed during the period. For fiscal 2023, our comparable store base consists of 141 Dave &amp; Buster's branded stores. Our Main Event branded stores are not included in comparable store sales for the thirteen weeks ended April 30, 2023.</w:t>
      </w:r>
    </w:p>
    <w:p>
      <w:pPr>
        <w:spacing w:after="0" w:line="17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b w:val="1"/>
          <w:bCs w:val="1"/>
          <w:i w:val="1"/>
          <w:iCs w:val="1"/>
          <w:color w:val="auto"/>
        </w:rPr>
        <w:t xml:space="preserve">New store openings. </w:t>
      </w:r>
      <w:r>
        <w:rPr>
          <w:rFonts w:ascii="Arial" w:cs="Arial" w:eastAsia="Arial" w:hAnsi="Arial"/>
          <w:sz w:val="18"/>
          <w:szCs w:val="18"/>
          <w:color w:val="auto"/>
        </w:rPr>
        <w:t>Our ability to expand our business and reach new customers is influenced by the opening of additional stores in both new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existing markets. The success of our new stores is indicative of our brand appeal and the efficacy of our site selection and operating models. For the thirteen weeks ended April 30, 2023, we opened four new stores.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In addition to the results provided in accordance with generally accepted accounting principles (“GAAP”), we provide non-GAAP measures which present operating results on an adjusted basis. These are supplemental measures of performance that are not required by or presented in accordance with GAAP and include Adjusted EBITDA, Adjusted EBITDA Margin, Credit Adjusted EBITDA, Store Operating Income Before Depreciation and Amortization and Store Operating Income Before Depreciation and Amortization Margin (defined below). These non-GAAP measures do not represent and should not be considered as an alternative to net income or cash flows from operations, as determined in accordance with GAAP, and our calculations thereof may not be comparable to similarly titled measures reported by other companies and should not be considered in isolation or as a substitute for measures of performance prepared in accordance with GAAP.</w:t>
      </w:r>
    </w:p>
    <w:p>
      <w:pPr>
        <w:spacing w:after="0" w:line="87"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Although we use these non-GAAP measures to assess the operating performance of our business, they have significant limitations as an analytical tool because they exclude certain material costs. For example, Adjusted EBITDA does not take into account a number of significant items, including our interest expense and depreciation and amortization expense. In addition, Adjusted EBITDA excludes certain other costs which may be important in analyzing our GAAP results. Because Adjusted EBITDA does not account for these expenses, its utility as a measure of our operating performance has material limitations. Our calculations of Adjusted EBITDA adjust for these amounts because they vary from period to period and do not directly relate to the ongoing operations of the currently underlying business of our stores and therefore complicate comparison of the underlying business between periods. Nevertheless, because of the limitations described above, management does not view Adjusted EBITDA, Adjusted EBITDA Margin, Credit Adjusted EBITDA, Store Operating Income Before Depreciation and Amortization or Store Operating Income Before Depreciation and Amortization Margin in isolation and also uses other measures, such as revenues, gross margin, operating income and net income to measure operating performance.</w:t>
      </w:r>
    </w:p>
    <w:p>
      <w:pPr>
        <w:spacing w:after="0" w:line="5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b w:val="1"/>
          <w:bCs w:val="1"/>
          <w:i w:val="1"/>
          <w:iCs w:val="1"/>
          <w:color w:val="auto"/>
        </w:rPr>
        <w:t>Adjusted EBITDA and Adjusted EBITDA Margin</w:t>
      </w:r>
      <w:r>
        <w:rPr>
          <w:rFonts w:ascii="Arial" w:cs="Arial" w:eastAsia="Arial" w:hAnsi="Arial"/>
          <w:sz w:val="18"/>
          <w:szCs w:val="18"/>
          <w:color w:val="auto"/>
        </w:rPr>
        <w:t>. We define “Adjusted EBITDA” as net income (loss), plus interest expense, net, loss on debt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extinguishment/refinance, provision (benefit) for income taxes, depreciation and amortization expense, loss on asset disposal, impairment of long-lived assets, share-based compensation, currency transaction (gains) losses and other costs. “Adjusted EBITDA Margin” is defined as Adjusted EBITDA divided by total revenues.</w:t>
      </w:r>
    </w:p>
    <w:p>
      <w:pPr>
        <w:spacing w:after="0" w:line="79"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Adjusted EBITDA is presented because we believe that it provides useful information to investors and analysts regarding our operating performance. By reporting Adjusted EBITDA, we provide a basis for comparison of our business operations between current, past and future periods by excluding items that we do not believe are indicative of our core operating performance.</w:t>
      </w:r>
    </w:p>
    <w:p>
      <w:pPr>
        <w:spacing w:after="0" w:line="7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Credit Adjusted EBITDA</w:t>
      </w:r>
    </w:p>
    <w:p>
      <w:pPr>
        <w:spacing w:after="0" w:line="11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 xml:space="preserve">We define “Credit Adjusted EBITDA” as Adjusted EBITDA plus certain other items as defined in our Credit Facility (see </w:t>
      </w:r>
      <w:r>
        <w:rPr>
          <w:rFonts w:ascii="Arial" w:cs="Arial" w:eastAsia="Arial" w:hAnsi="Arial"/>
          <w:sz w:val="18"/>
          <w:szCs w:val="18"/>
          <w:i w:val="1"/>
          <w:iCs w:val="1"/>
          <w:color w:val="auto"/>
        </w:rPr>
        <w:t>Liquidity and Capital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Resources </w:t>
      </w:r>
      <w:r>
        <w:rPr>
          <w:rFonts w:ascii="Arial" w:cs="Arial" w:eastAsia="Arial" w:hAnsi="Arial"/>
          <w:sz w:val="18"/>
          <w:szCs w:val="18"/>
          <w:color w:val="auto"/>
        </w:rPr>
        <w:t>below). Other adjustments include (i) entertainment revenue deferrals, (ii) the cost of new projects, including store pre-opening costs, (iii)</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optimization expenses and other restructuring costs, and (iv) other costs and adjustments as permitted by the Debt Agreements. We believe the presentation of Credit Adjusted</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EBITDA is appropriate as it provides additional information to investors about the calculation of, and compliance with, certain financial covenants in the Credit Facility.</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Store Operating Income Before Depreciation and Amortization and Store Operating Income Before Depreciation and Amortization Margin.</w:t>
      </w:r>
    </w:p>
    <w:p>
      <w:pPr>
        <w:spacing w:after="0" w:line="140"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We define “Store Operating Income Before Depreciation and Amortization” as operating income (loss), plus depreciation and amortization expense, general and administrative expenses and pre-opening costs. “Store Operating Income Before Depreciation and Amortization Margin” is defined as Store Operating Income Before Depreciation and Amortization divided by total revenues. Store Operating Income Before Depreciation and Amortization Margin allows us to evaluate operating performance of each store across stores of varying size and volume.</w:t>
      </w:r>
    </w:p>
    <w:p>
      <w:pPr>
        <w:spacing w:after="0" w:line="63"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We believe that Store Operating Income Before Depreciation and Amortization is another useful measure in evaluating our operating performance because it removes the impact of general and administrative expenses, which are not incurred at the store level, and the costs of opening new stores, which are non-recurring at the store level, and thereby enables the comparability of the operating performance of our stores for the periods presented. We also believe that Store Operating Income Before Depreciation and Amortization is a useful measure in evaluating our operating performance within the entertainment and dining industry because it permits the evaluation of store-level productivity, efficiency, and performance, and we use Store Operating Income Before Depreciation and Amortization as a means of evaluating store financial performance compared with our competitors. However, because this measure excludes significant items such as general and administrative expenses and pre-opening costs, as well as our interest expense, net, loss on debt extinguishment/refinance and depreciation and amortization expense, which are important in evaluating our consolidated financial performance from period to period, the value of this measure is limited as a measure of our consolidated financial performance.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Presentation of Operating Results</w:t>
      </w:r>
    </w:p>
    <w:p>
      <w:pPr>
        <w:spacing w:after="0" w:line="121"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We operate on a 52-week or 53-week fiscal year that ends on the Sunday after the Saturday closest to January 31. Each quarterly period has 13 weeks, except in a 53-week year when the fourth quarter has 14 weeks. All references to the first quarter of 2023 relate to the 13-week period ended April 30, 2023. All references to the first quarter of 2022 relate to the 13-week period ended May 1, 2022. Fiscal 2023 consists of 53 weeks and fiscal 2022 consists of 52 weeks. All dollar amounts are presented in millions, unless otherwise noted, except per share amounts.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Store-Level Variability, Quarterly Fluctuations, Seasonality and Inflation</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We operate stores varying in size and have experienced significant variability among stores in volumes, operating results and net investment costs.</w:t>
      </w:r>
    </w:p>
    <w:p>
      <w:pPr>
        <w:spacing w:after="0" w:line="24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Our new stores typically open with sales volumes in excess of their expected long-term run-rate levels, which we refer to as a “honeymoon” effect. We traditionally expect our new store sales volumes in year two to be 10% to 20% lower than our year one targets, and to grow in line with the rest of our comparable store base thereafter. As a result of the substantial revenues associated with each new store, the number and timing of new store openings will result in significant fluctuations in quarterly results.</w:t>
      </w:r>
    </w:p>
    <w:p>
      <w:pPr>
        <w:spacing w:after="0" w:line="18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New store operating margins (excluding pre-opening expenses) during the first year of operation historically benefit from honeymoon sales leverage on occupancy, management labor and other fixed costs. This benefit is partially offset by normal inefficiencies in hourly labor and other costs associated with establishing a new store. In year two, operating margins may decline due to the loss of honeymoon sales leverage on fixed costs which is partially offset by improvements in store operating efficiency.</w:t>
      </w:r>
    </w:p>
    <w:p>
      <w:pPr>
        <w:spacing w:after="0" w:line="187"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Our operating results historically have fluctuated due to seasonal factors. Typically, we have higher revenues associated with the spring and year-end holidays, which will continue to be susceptible to the impact of severe or unseasonably mild weather on customer traffic and sales during that period. Our third quarter, which encompasses the back-to-school fall season, has historically had lower revenues as compared to other quarters.</w:t>
      </w:r>
    </w:p>
    <w:p>
      <w:pPr>
        <w:spacing w:after="0" w:line="16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expect that economic and environmental conditions and changes in regulatory legislation will continue to exert pressure on both supplier pricing and consumer spending related to entertainment and dining alternatives. There is no assurance that our cost of products will remain stable or that federal, state, or local minimum wage rates will not increase beyond amounts currently legislated, however, the effects of any supplier price increase or wage rate increases might be partially offset by selective price increases if competitively appropriate.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Thirteen Weeks Ended April 30, 2023 Compared to Thirteen Weeks Ended May 1, 2022</w:t>
      </w:r>
    </w:p>
    <w:p>
      <w:pPr>
        <w:spacing w:after="0" w:line="121" w:lineRule="exact"/>
        <w:rPr>
          <w:sz w:val="20"/>
          <w:szCs w:val="20"/>
          <w:color w:val="auto"/>
        </w:rPr>
      </w:pPr>
    </w:p>
    <w:p>
      <w:pPr>
        <w:ind w:firstLine="486"/>
        <w:spacing w:after="0" w:line="342" w:lineRule="auto"/>
        <w:rPr>
          <w:sz w:val="20"/>
          <w:szCs w:val="20"/>
          <w:color w:val="auto"/>
        </w:rPr>
      </w:pPr>
      <w:r>
        <w:rPr>
          <w:rFonts w:ascii="Arial" w:cs="Arial" w:eastAsia="Arial" w:hAnsi="Arial"/>
          <w:sz w:val="16"/>
          <w:szCs w:val="16"/>
          <w:b w:val="1"/>
          <w:bCs w:val="1"/>
          <w:i w:val="1"/>
          <w:iCs w:val="1"/>
          <w:color w:val="auto"/>
        </w:rPr>
        <w:t xml:space="preserve">Results of operations. </w:t>
      </w:r>
      <w:r>
        <w:rPr>
          <w:rFonts w:ascii="Arial" w:cs="Arial" w:eastAsia="Arial" w:hAnsi="Arial"/>
          <w:sz w:val="16"/>
          <w:szCs w:val="16"/>
          <w:color w:val="auto"/>
        </w:rPr>
        <w:t>The following table sets forth selected data, in millions of dollars and as a percentage of total revenues (unless otherwise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noted) for the periods indicated. All information is derived from the accompanying unaudited consolidated statements of comprehensive income.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9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900" w:type="dxa"/>
            <w:vAlign w:val="bottom"/>
            <w:gridSpan w:val="3"/>
          </w:tcPr>
          <w:p>
            <w:pPr>
              <w:jc w:val="center"/>
              <w:ind w:left="172"/>
              <w:spacing w:after="0"/>
              <w:rPr>
                <w:sz w:val="20"/>
                <w:szCs w:val="20"/>
                <w:color w:val="auto"/>
              </w:rPr>
            </w:pPr>
            <w:r>
              <w:rPr>
                <w:rFonts w:ascii="Arial" w:cs="Arial" w:eastAsia="Arial" w:hAnsi="Arial"/>
                <w:sz w:val="14"/>
                <w:szCs w:val="14"/>
                <w:b w:val="1"/>
                <w:bCs w:val="1"/>
                <w:color w:val="auto"/>
                <w:w w:val="93"/>
              </w:rPr>
              <w:t>Thirteen Weeks Ended</w:t>
            </w: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900" w:type="dxa"/>
            <w:vAlign w:val="bottom"/>
            <w:gridSpan w:val="3"/>
          </w:tcPr>
          <w:p>
            <w:pPr>
              <w:jc w:val="center"/>
              <w:ind w:left="172"/>
              <w:spacing w:after="0"/>
              <w:rPr>
                <w:sz w:val="20"/>
                <w:szCs w:val="20"/>
                <w:color w:val="auto"/>
              </w:rPr>
            </w:pPr>
            <w:r>
              <w:rPr>
                <w:rFonts w:ascii="Arial" w:cs="Arial" w:eastAsia="Arial" w:hAnsi="Arial"/>
                <w:sz w:val="14"/>
                <w:szCs w:val="14"/>
                <w:b w:val="1"/>
                <w:bCs w:val="1"/>
                <w:color w:val="auto"/>
                <w:w w:val="93"/>
              </w:rPr>
              <w:t>Thirteen Weeks Ended</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9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900" w:type="dxa"/>
            <w:vAlign w:val="bottom"/>
            <w:gridSpan w:val="3"/>
          </w:tcPr>
          <w:p>
            <w:pPr>
              <w:jc w:val="center"/>
              <w:ind w:left="172"/>
              <w:spacing w:after="0"/>
              <w:rPr>
                <w:sz w:val="20"/>
                <w:szCs w:val="20"/>
                <w:color w:val="auto"/>
              </w:rPr>
            </w:pPr>
            <w:r>
              <w:rPr>
                <w:rFonts w:ascii="Arial" w:cs="Arial" w:eastAsia="Arial" w:hAnsi="Arial"/>
                <w:sz w:val="14"/>
                <w:szCs w:val="14"/>
                <w:b w:val="1"/>
                <w:bCs w:val="1"/>
                <w:color w:val="auto"/>
                <w:w w:val="97"/>
              </w:rPr>
              <w:t>April 30, 2023</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900" w:type="dxa"/>
            <w:vAlign w:val="bottom"/>
            <w:gridSpan w:val="3"/>
          </w:tcPr>
          <w:p>
            <w:pPr>
              <w:jc w:val="center"/>
              <w:ind w:left="172"/>
              <w:spacing w:after="0"/>
              <w:rPr>
                <w:sz w:val="20"/>
                <w:szCs w:val="20"/>
                <w:color w:val="auto"/>
              </w:rPr>
            </w:pPr>
            <w:r>
              <w:rPr>
                <w:rFonts w:ascii="Arial" w:cs="Arial" w:eastAsia="Arial" w:hAnsi="Arial"/>
                <w:sz w:val="14"/>
                <w:szCs w:val="14"/>
                <w:b w:val="1"/>
                <w:bCs w:val="1"/>
                <w:color w:val="auto"/>
                <w:w w:val="97"/>
              </w:rPr>
              <w:t>May 1, 2022</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490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Entertainment revenues</w:t>
            </w: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393.1</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65.8 %</w:t>
            </w:r>
          </w:p>
        </w:tc>
        <w:tc>
          <w:tcPr>
            <w:tcW w:w="58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299.2</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66.3 %</w:t>
            </w:r>
          </w:p>
        </w:tc>
        <w:tc>
          <w:tcPr>
            <w:tcW w:w="0" w:type="dxa"/>
            <w:vAlign w:val="bottom"/>
          </w:tcPr>
          <w:p>
            <w:pPr>
              <w:spacing w:after="0"/>
              <w:rPr>
                <w:sz w:val="1"/>
                <w:szCs w:val="1"/>
                <w:color w:val="auto"/>
              </w:rPr>
            </w:pPr>
          </w:p>
        </w:tc>
      </w:tr>
      <w:tr>
        <w:trPr>
          <w:trHeight w:val="243"/>
        </w:trPr>
        <w:tc>
          <w:tcPr>
            <w:tcW w:w="4900" w:type="dxa"/>
            <w:vAlign w:val="bottom"/>
          </w:tcPr>
          <w:p>
            <w:pPr>
              <w:ind w:left="20"/>
              <w:spacing w:after="0"/>
              <w:rPr>
                <w:sz w:val="20"/>
                <w:szCs w:val="20"/>
                <w:color w:val="auto"/>
              </w:rPr>
            </w:pPr>
            <w:r>
              <w:rPr>
                <w:rFonts w:ascii="Arial" w:cs="Arial" w:eastAsia="Arial" w:hAnsi="Arial"/>
                <w:sz w:val="18"/>
                <w:szCs w:val="18"/>
                <w:color w:val="auto"/>
              </w:rPr>
              <w:t>Food and beverage revenues</w:t>
            </w:r>
          </w:p>
        </w:tc>
        <w:tc>
          <w:tcPr>
            <w:tcW w:w="4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204.2</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34.2 %</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151.9</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33.7 %</w:t>
            </w:r>
          </w:p>
        </w:tc>
        <w:tc>
          <w:tcPr>
            <w:tcW w:w="0" w:type="dxa"/>
            <w:vAlign w:val="bottom"/>
          </w:tcPr>
          <w:p>
            <w:pPr>
              <w:spacing w:after="0"/>
              <w:rPr>
                <w:sz w:val="1"/>
                <w:szCs w:val="1"/>
                <w:color w:val="auto"/>
              </w:rPr>
            </w:pPr>
          </w:p>
        </w:tc>
      </w:tr>
      <w:tr>
        <w:trPr>
          <w:trHeight w:val="27"/>
        </w:trPr>
        <w:tc>
          <w:tcPr>
            <w:tcW w:w="49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revenues</w:t>
            </w: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597.3</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451.1</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29"/>
        </w:trPr>
        <w:tc>
          <w:tcPr>
            <w:tcW w:w="4900" w:type="dxa"/>
            <w:vAlign w:val="bottom"/>
          </w:tcPr>
          <w:p>
            <w:pPr>
              <w:ind w:left="20"/>
              <w:spacing w:after="0"/>
              <w:rPr>
                <w:sz w:val="20"/>
                <w:szCs w:val="20"/>
                <w:color w:val="auto"/>
              </w:rPr>
            </w:pPr>
            <w:r>
              <w:rPr>
                <w:rFonts w:ascii="Arial" w:cs="Arial" w:eastAsia="Arial" w:hAnsi="Arial"/>
                <w:sz w:val="18"/>
                <w:szCs w:val="18"/>
                <w:color w:val="auto"/>
              </w:rPr>
              <w:t>Cost of entertainment</w:t>
            </w: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20"/>
              <w:spacing w:after="0"/>
              <w:rPr>
                <w:sz w:val="20"/>
                <w:szCs w:val="20"/>
                <w:color w:val="auto"/>
              </w:rPr>
            </w:pPr>
            <w:r>
              <w:rPr>
                <w:rFonts w:ascii="Arial" w:cs="Arial" w:eastAsia="Arial" w:hAnsi="Arial"/>
                <w:sz w:val="18"/>
                <w:szCs w:val="18"/>
                <w:color w:val="auto"/>
              </w:rPr>
              <w:t>(% of entertainment revenues)</w:t>
            </w:r>
          </w:p>
        </w:tc>
        <w:tc>
          <w:tcPr>
            <w:tcW w:w="4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8.7 %</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9.0 %</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food and beverage</w:t>
            </w:r>
          </w:p>
        </w:tc>
        <w:tc>
          <w:tcPr>
            <w:tcW w:w="480" w:type="dxa"/>
            <w:vAlign w:val="bottom"/>
            <w:shd w:val="clear" w:color="auto" w:fill="CCEEFF"/>
          </w:tcPr>
          <w:p>
            <w:pPr>
              <w:spacing w:after="0"/>
              <w:rPr>
                <w:sz w:val="19"/>
                <w:szCs w:val="19"/>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27.4 %</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28.4 %</w:t>
            </w:r>
          </w:p>
        </w:tc>
        <w:tc>
          <w:tcPr>
            <w:tcW w:w="0" w:type="dxa"/>
            <w:vAlign w:val="bottom"/>
          </w:tcPr>
          <w:p>
            <w:pPr>
              <w:spacing w:after="0"/>
              <w:rPr>
                <w:sz w:val="1"/>
                <w:szCs w:val="1"/>
                <w:color w:val="auto"/>
              </w:rPr>
            </w:pPr>
          </w:p>
        </w:tc>
      </w:tr>
      <w:tr>
        <w:trPr>
          <w:trHeight w:val="237"/>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of food and beverage revenues)</w:t>
            </w:r>
          </w:p>
        </w:tc>
        <w:tc>
          <w:tcPr>
            <w:tcW w:w="4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900" w:type="dxa"/>
            <w:vAlign w:val="bottom"/>
          </w:tcPr>
          <w:p>
            <w:pPr>
              <w:ind w:left="180"/>
              <w:spacing w:after="0"/>
              <w:rPr>
                <w:sz w:val="20"/>
                <w:szCs w:val="20"/>
                <w:color w:val="auto"/>
              </w:rPr>
            </w:pPr>
            <w:r>
              <w:rPr>
                <w:rFonts w:ascii="Arial" w:cs="Arial" w:eastAsia="Arial" w:hAnsi="Arial"/>
                <w:sz w:val="18"/>
                <w:szCs w:val="18"/>
                <w:color w:val="auto"/>
              </w:rPr>
              <w:t>Total cost of products</w:t>
            </w:r>
          </w:p>
        </w:tc>
        <w:tc>
          <w:tcPr>
            <w:tcW w:w="4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90.3</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15.1 %</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15.5 %</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payroll and benefits</w:t>
            </w: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130.6</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21.9 %</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93.4</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20.7 %</w:t>
            </w:r>
          </w:p>
        </w:tc>
        <w:tc>
          <w:tcPr>
            <w:tcW w:w="0" w:type="dxa"/>
            <w:vAlign w:val="bottom"/>
          </w:tcPr>
          <w:p>
            <w:pPr>
              <w:spacing w:after="0"/>
              <w:rPr>
                <w:sz w:val="1"/>
                <w:szCs w:val="1"/>
                <w:color w:val="auto"/>
              </w:rPr>
            </w:pPr>
          </w:p>
        </w:tc>
      </w:tr>
      <w:tr>
        <w:trPr>
          <w:trHeight w:val="243"/>
        </w:trPr>
        <w:tc>
          <w:tcPr>
            <w:tcW w:w="4900" w:type="dxa"/>
            <w:vAlign w:val="bottom"/>
          </w:tcPr>
          <w:p>
            <w:pPr>
              <w:ind w:left="20"/>
              <w:spacing w:after="0"/>
              <w:rPr>
                <w:sz w:val="20"/>
                <w:szCs w:val="20"/>
                <w:color w:val="auto"/>
              </w:rPr>
            </w:pPr>
            <w:r>
              <w:rPr>
                <w:rFonts w:ascii="Arial" w:cs="Arial" w:eastAsia="Arial" w:hAnsi="Arial"/>
                <w:sz w:val="18"/>
                <w:szCs w:val="18"/>
                <w:color w:val="auto"/>
              </w:rPr>
              <w:t>Other store operating expenses</w:t>
            </w:r>
          </w:p>
        </w:tc>
        <w:tc>
          <w:tcPr>
            <w:tcW w:w="4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170.0</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28.5 %</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124.4</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27.6 %</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5.3 %</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6.3 %</w:t>
            </w:r>
          </w:p>
        </w:tc>
        <w:tc>
          <w:tcPr>
            <w:tcW w:w="0" w:type="dxa"/>
            <w:vAlign w:val="bottom"/>
          </w:tcPr>
          <w:p>
            <w:pPr>
              <w:spacing w:after="0"/>
              <w:rPr>
                <w:sz w:val="1"/>
                <w:szCs w:val="1"/>
                <w:color w:val="auto"/>
              </w:rPr>
            </w:pPr>
          </w:p>
        </w:tc>
      </w:tr>
      <w:tr>
        <w:trPr>
          <w:trHeight w:val="243"/>
        </w:trPr>
        <w:tc>
          <w:tcPr>
            <w:tcW w:w="4900" w:type="dxa"/>
            <w:vAlign w:val="bottom"/>
          </w:tcPr>
          <w:p>
            <w:pPr>
              <w:ind w:left="20"/>
              <w:spacing w:after="0"/>
              <w:rPr>
                <w:sz w:val="20"/>
                <w:szCs w:val="20"/>
                <w:color w:val="auto"/>
              </w:rPr>
            </w:pPr>
            <w:r>
              <w:rPr>
                <w:rFonts w:ascii="Arial" w:cs="Arial" w:eastAsia="Arial" w:hAnsi="Arial"/>
                <w:sz w:val="18"/>
                <w:szCs w:val="18"/>
                <w:color w:val="auto"/>
              </w:rPr>
              <w:t>Depreciation and amortization expenses</w:t>
            </w:r>
          </w:p>
        </w:tc>
        <w:tc>
          <w:tcPr>
            <w:tcW w:w="4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48.9</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8.2 %</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7.4 %</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Pre-opening costs</w:t>
            </w:r>
          </w:p>
        </w:tc>
        <w:tc>
          <w:tcPr>
            <w:tcW w:w="4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0.8 %</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0.7 %</w:t>
            </w:r>
          </w:p>
        </w:tc>
        <w:tc>
          <w:tcPr>
            <w:tcW w:w="0" w:type="dxa"/>
            <w:vAlign w:val="bottom"/>
          </w:tcPr>
          <w:p>
            <w:pPr>
              <w:spacing w:after="0"/>
              <w:rPr>
                <w:sz w:val="1"/>
                <w:szCs w:val="1"/>
                <w:color w:val="auto"/>
              </w:rPr>
            </w:pPr>
          </w:p>
        </w:tc>
      </w:tr>
      <w:tr>
        <w:trPr>
          <w:trHeight w:val="263"/>
        </w:trPr>
        <w:tc>
          <w:tcPr>
            <w:tcW w:w="4900" w:type="dxa"/>
            <w:vAlign w:val="bottom"/>
          </w:tcPr>
          <w:p>
            <w:pPr>
              <w:ind w:left="180"/>
              <w:spacing w:after="0"/>
              <w:rPr>
                <w:sz w:val="20"/>
                <w:szCs w:val="20"/>
                <w:color w:val="auto"/>
              </w:rPr>
            </w:pPr>
            <w:r>
              <w:rPr>
                <w:rFonts w:ascii="Arial" w:cs="Arial" w:eastAsia="Arial" w:hAnsi="Arial"/>
                <w:sz w:val="18"/>
                <w:szCs w:val="18"/>
                <w:color w:val="auto"/>
              </w:rPr>
              <w:t>Total operating costs</w:t>
            </w:r>
          </w:p>
        </w:tc>
        <w:tc>
          <w:tcPr>
            <w:tcW w:w="4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475.9</w:t>
            </w:r>
          </w:p>
        </w:tc>
        <w:tc>
          <w:tcPr>
            <w:tcW w:w="100" w:type="dxa"/>
            <w:vAlign w:val="bottom"/>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79.7 %</w:t>
            </w:r>
          </w:p>
        </w:tc>
        <w:tc>
          <w:tcPr>
            <w:tcW w:w="10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352.4</w:t>
            </w:r>
          </w:p>
        </w:tc>
        <w:tc>
          <w:tcPr>
            <w:tcW w:w="100" w:type="dxa"/>
            <w:vAlign w:val="bottom"/>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78.1 %</w:t>
            </w:r>
          </w:p>
        </w:tc>
        <w:tc>
          <w:tcPr>
            <w:tcW w:w="0" w:type="dxa"/>
            <w:vAlign w:val="bottom"/>
          </w:tcPr>
          <w:p>
            <w:pPr>
              <w:spacing w:after="0"/>
              <w:rPr>
                <w:sz w:val="1"/>
                <w:szCs w:val="1"/>
                <w:color w:val="auto"/>
              </w:rPr>
            </w:pPr>
          </w:p>
        </w:tc>
      </w:tr>
      <w:tr>
        <w:trPr>
          <w:trHeight w:val="250"/>
        </w:trPr>
        <w:tc>
          <w:tcPr>
            <w:tcW w:w="4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income</w:t>
            </w: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121.4</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20.3 %</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98.7</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21.9 %</w:t>
            </w:r>
          </w:p>
        </w:tc>
        <w:tc>
          <w:tcPr>
            <w:tcW w:w="0" w:type="dxa"/>
            <w:vAlign w:val="bottom"/>
          </w:tcPr>
          <w:p>
            <w:pPr>
              <w:spacing w:after="0"/>
              <w:rPr>
                <w:sz w:val="1"/>
                <w:szCs w:val="1"/>
                <w:color w:val="auto"/>
              </w:rPr>
            </w:pPr>
          </w:p>
        </w:tc>
      </w:tr>
      <w:tr>
        <w:trPr>
          <w:trHeight w:val="243"/>
        </w:trPr>
        <w:tc>
          <w:tcPr>
            <w:tcW w:w="490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4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5.1 %</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7"/>
        </w:trPr>
        <w:tc>
          <w:tcPr>
            <w:tcW w:w="49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provision for income taxes</w:t>
            </w: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90.7</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15.2 %</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87.3</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19.4 %</w:t>
            </w:r>
          </w:p>
        </w:tc>
        <w:tc>
          <w:tcPr>
            <w:tcW w:w="0" w:type="dxa"/>
            <w:vAlign w:val="bottom"/>
          </w:tcPr>
          <w:p>
            <w:pPr>
              <w:spacing w:after="0"/>
              <w:rPr>
                <w:sz w:val="1"/>
                <w:szCs w:val="1"/>
                <w:color w:val="auto"/>
              </w:rPr>
            </w:pPr>
          </w:p>
        </w:tc>
      </w:tr>
      <w:tr>
        <w:trPr>
          <w:trHeight w:val="243"/>
        </w:trPr>
        <w:tc>
          <w:tcPr>
            <w:tcW w:w="490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4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3.4 %</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4.5 %</w:t>
            </w:r>
          </w:p>
        </w:tc>
        <w:tc>
          <w:tcPr>
            <w:tcW w:w="0" w:type="dxa"/>
            <w:vAlign w:val="bottom"/>
          </w:tcPr>
          <w:p>
            <w:pPr>
              <w:spacing w:after="0"/>
              <w:rPr>
                <w:sz w:val="1"/>
                <w:szCs w:val="1"/>
                <w:color w:val="auto"/>
              </w:rPr>
            </w:pPr>
          </w:p>
        </w:tc>
      </w:tr>
      <w:tr>
        <w:trPr>
          <w:trHeight w:val="27"/>
        </w:trPr>
        <w:tc>
          <w:tcPr>
            <w:tcW w:w="49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11.7 %</w:t>
            </w:r>
          </w:p>
        </w:tc>
        <w:tc>
          <w:tcPr>
            <w:tcW w:w="58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14.9 %</w:t>
            </w:r>
          </w:p>
        </w:tc>
        <w:tc>
          <w:tcPr>
            <w:tcW w:w="0" w:type="dxa"/>
            <w:vAlign w:val="bottom"/>
          </w:tcPr>
          <w:p>
            <w:pPr>
              <w:spacing w:after="0"/>
              <w:rPr>
                <w:sz w:val="1"/>
                <w:szCs w:val="1"/>
                <w:color w:val="auto"/>
              </w:rPr>
            </w:pPr>
          </w:p>
        </w:tc>
      </w:tr>
      <w:tr>
        <w:trPr>
          <w:trHeight w:val="243"/>
        </w:trPr>
        <w:tc>
          <w:tcPr>
            <w:tcW w:w="4900" w:type="dxa"/>
            <w:vAlign w:val="bottom"/>
          </w:tcPr>
          <w:p>
            <w:pPr>
              <w:ind w:left="20"/>
              <w:spacing w:after="0"/>
              <w:rPr>
                <w:sz w:val="20"/>
                <w:szCs w:val="20"/>
                <w:color w:val="auto"/>
              </w:rPr>
            </w:pPr>
            <w:r>
              <w:rPr>
                <w:rFonts w:ascii="Arial" w:cs="Arial" w:eastAsia="Arial" w:hAnsi="Arial"/>
                <w:sz w:val="18"/>
                <w:szCs w:val="18"/>
                <w:color w:val="auto"/>
              </w:rPr>
              <w:t>Company-owned stores at end of period</w:t>
            </w:r>
          </w:p>
        </w:tc>
        <w:tc>
          <w:tcPr>
            <w:tcW w:w="4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Reconciliations of Non-GAAP Financial Measures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Adjusted EBITDA</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reconciles (in millions of dollars and as a percent of total revenues) Net income to Adjusted EBITDA for the periods indicated:</w:t>
      </w:r>
    </w:p>
    <w:p>
      <w:pPr>
        <w:spacing w:after="0" w:line="294"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60" w:type="dxa"/>
            <w:vAlign w:val="bottom"/>
            <w:gridSpan w:val="3"/>
          </w:tcPr>
          <w:p>
            <w:pPr>
              <w:jc w:val="center"/>
              <w:ind w:left="113"/>
              <w:spacing w:after="0"/>
              <w:rPr>
                <w:sz w:val="20"/>
                <w:szCs w:val="20"/>
                <w:color w:val="auto"/>
              </w:rPr>
            </w:pPr>
            <w:r>
              <w:rPr>
                <w:rFonts w:ascii="Arial" w:cs="Arial" w:eastAsia="Arial" w:hAnsi="Arial"/>
                <w:sz w:val="14"/>
                <w:szCs w:val="14"/>
                <w:b w:val="1"/>
                <w:bCs w:val="1"/>
                <w:color w:val="auto"/>
                <w:w w:val="94"/>
              </w:rPr>
              <w:t>Thirteen Weeks Ended</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60" w:type="dxa"/>
            <w:vAlign w:val="bottom"/>
            <w:gridSpan w:val="3"/>
          </w:tcPr>
          <w:p>
            <w:pPr>
              <w:jc w:val="center"/>
              <w:ind w:left="133"/>
              <w:spacing w:after="0"/>
              <w:rPr>
                <w:sz w:val="20"/>
                <w:szCs w:val="20"/>
                <w:color w:val="auto"/>
              </w:rPr>
            </w:pPr>
            <w:r>
              <w:rPr>
                <w:rFonts w:ascii="Arial" w:cs="Arial" w:eastAsia="Arial" w:hAnsi="Arial"/>
                <w:sz w:val="14"/>
                <w:szCs w:val="14"/>
                <w:b w:val="1"/>
                <w:bCs w:val="1"/>
                <w:color w:val="auto"/>
                <w:w w:val="93"/>
              </w:rPr>
              <w:t>Thirteen Weeks Ended</w:t>
            </w:r>
          </w:p>
        </w:tc>
        <w:tc>
          <w:tcPr>
            <w:tcW w:w="560" w:type="dxa"/>
            <w:vAlign w:val="bottom"/>
          </w:tcPr>
          <w:p>
            <w:pPr>
              <w:spacing w:after="0"/>
              <w:rPr>
                <w:sz w:val="15"/>
                <w:szCs w:val="15"/>
                <w:color w:val="auto"/>
              </w:rPr>
            </w:pPr>
          </w:p>
        </w:tc>
      </w:tr>
      <w:tr>
        <w:trPr>
          <w:trHeight w:val="186"/>
        </w:trPr>
        <w:tc>
          <w:tcPr>
            <w:tcW w:w="4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60" w:type="dxa"/>
            <w:vAlign w:val="bottom"/>
            <w:gridSpan w:val="3"/>
          </w:tcPr>
          <w:p>
            <w:pPr>
              <w:jc w:val="center"/>
              <w:ind w:left="113"/>
              <w:spacing w:after="0"/>
              <w:rPr>
                <w:sz w:val="20"/>
                <w:szCs w:val="20"/>
                <w:color w:val="auto"/>
              </w:rPr>
            </w:pPr>
            <w:r>
              <w:rPr>
                <w:rFonts w:ascii="Arial" w:cs="Arial" w:eastAsia="Arial" w:hAnsi="Arial"/>
                <w:sz w:val="14"/>
                <w:szCs w:val="14"/>
                <w:b w:val="1"/>
                <w:bCs w:val="1"/>
                <w:color w:val="auto"/>
                <w:w w:val="95"/>
              </w:rPr>
              <w:t>April 30, 2023</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60" w:type="dxa"/>
            <w:vAlign w:val="bottom"/>
            <w:gridSpan w:val="3"/>
          </w:tcPr>
          <w:p>
            <w:pPr>
              <w:jc w:val="center"/>
              <w:ind w:left="133"/>
              <w:spacing w:after="0"/>
              <w:rPr>
                <w:sz w:val="20"/>
                <w:szCs w:val="20"/>
                <w:color w:val="auto"/>
              </w:rPr>
            </w:pPr>
            <w:r>
              <w:rPr>
                <w:rFonts w:ascii="Arial" w:cs="Arial" w:eastAsia="Arial" w:hAnsi="Arial"/>
                <w:sz w:val="14"/>
                <w:szCs w:val="14"/>
                <w:b w:val="1"/>
                <w:bCs w:val="1"/>
                <w:color w:val="auto"/>
                <w:w w:val="97"/>
              </w:rPr>
              <w:t>May 1, 2022</w:t>
            </w:r>
          </w:p>
        </w:tc>
        <w:tc>
          <w:tcPr>
            <w:tcW w:w="560" w:type="dxa"/>
            <w:vAlign w:val="bottom"/>
          </w:tcPr>
          <w:p>
            <w:pPr>
              <w:spacing w:after="0"/>
              <w:rPr>
                <w:sz w:val="16"/>
                <w:szCs w:val="16"/>
                <w:color w:val="auto"/>
              </w:rPr>
            </w:pPr>
          </w:p>
        </w:tc>
      </w:tr>
      <w:tr>
        <w:trPr>
          <w:trHeight w:val="39"/>
        </w:trPr>
        <w:tc>
          <w:tcPr>
            <w:tcW w:w="486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r>
      <w:tr>
        <w:trPr>
          <w:trHeight w:val="243"/>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11.7 %</w:t>
            </w: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14.9 %</w:t>
            </w:r>
          </w:p>
        </w:tc>
      </w:tr>
      <w:tr>
        <w:trPr>
          <w:trHeight w:val="243"/>
        </w:trPr>
        <w:tc>
          <w:tcPr>
            <w:tcW w:w="486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7"/>
        </w:trPr>
        <w:tc>
          <w:tcPr>
            <w:tcW w:w="4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r>
      <w:tr>
        <w:trPr>
          <w:trHeight w:val="243"/>
        </w:trPr>
        <w:tc>
          <w:tcPr>
            <w:tcW w:w="4860" w:type="dxa"/>
            <w:vAlign w:val="bottom"/>
          </w:tcPr>
          <w:p>
            <w:pPr>
              <w:ind w:left="20"/>
              <w:spacing w:after="0"/>
              <w:rPr>
                <w:sz w:val="20"/>
                <w:szCs w:val="20"/>
                <w:color w:val="auto"/>
              </w:rPr>
            </w:pPr>
            <w:r>
              <w:rPr>
                <w:rFonts w:ascii="Arial" w:cs="Arial" w:eastAsia="Arial" w:hAnsi="Arial"/>
                <w:sz w:val="18"/>
                <w:szCs w:val="18"/>
                <w:color w:val="auto"/>
              </w:rPr>
              <w:t>Depreciation and amortization expense</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7"/>
        </w:trPr>
        <w:tc>
          <w:tcPr>
            <w:tcW w:w="48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43"/>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28.5 %</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29.3 %</w:t>
            </w:r>
          </w:p>
        </w:tc>
      </w:tr>
      <w:tr>
        <w:trPr>
          <w:trHeight w:val="243"/>
        </w:trPr>
        <w:tc>
          <w:tcPr>
            <w:tcW w:w="4860" w:type="dxa"/>
            <w:vAlign w:val="bottom"/>
          </w:tcPr>
          <w:p>
            <w:pPr>
              <w:ind w:left="20"/>
              <w:spacing w:after="0"/>
              <w:rPr>
                <w:sz w:val="20"/>
                <w:szCs w:val="20"/>
                <w:color w:val="auto"/>
              </w:rPr>
            </w:pPr>
            <w:r>
              <w:rPr>
                <w:rFonts w:ascii="Arial" w:cs="Arial" w:eastAsia="Arial" w:hAnsi="Arial"/>
                <w:sz w:val="18"/>
                <w:szCs w:val="18"/>
                <w:color w:val="auto"/>
              </w:rPr>
              <w:t>Loss on asset disposal</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7"/>
        </w:trPr>
        <w:tc>
          <w:tcPr>
            <w:tcW w:w="4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Share-based compensation</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r>
      <w:tr>
        <w:trPr>
          <w:trHeight w:val="243"/>
        </w:trPr>
        <w:tc>
          <w:tcPr>
            <w:tcW w:w="4860" w:type="dxa"/>
            <w:vAlign w:val="bottom"/>
          </w:tcPr>
          <w:p>
            <w:pPr>
              <w:ind w:left="20"/>
              <w:spacing w:after="0"/>
              <w:rPr>
                <w:sz w:val="20"/>
                <w:szCs w:val="20"/>
                <w:color w:val="auto"/>
              </w:rPr>
            </w:pPr>
            <w:r>
              <w:rPr>
                <w:rFonts w:ascii="Arial" w:cs="Arial" w:eastAsia="Arial" w:hAnsi="Arial"/>
                <w:sz w:val="18"/>
                <w:szCs w:val="18"/>
                <w:color w:val="auto"/>
              </w:rPr>
              <w:t>Transaction and integration costs</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7"/>
        </w:trPr>
        <w:tc>
          <w:tcPr>
            <w:tcW w:w="4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70"/>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Other items, net </w:t>
            </w:r>
            <w:r>
              <w:rPr>
                <w:rFonts w:ascii="Arial" w:cs="Arial" w:eastAsia="Arial" w:hAnsi="Arial"/>
                <w:sz w:val="23"/>
                <w:szCs w:val="23"/>
                <w:color w:val="auto"/>
                <w:vertAlign w:val="superscript"/>
              </w:rPr>
              <w:t>(1)</w:t>
            </w:r>
          </w:p>
        </w:tc>
        <w:tc>
          <w:tcPr>
            <w:tcW w:w="3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spacing w:after="0"/>
              <w:rPr>
                <w:sz w:val="23"/>
                <w:szCs w:val="23"/>
                <w:color w:val="auto"/>
              </w:rPr>
            </w:pPr>
          </w:p>
        </w:tc>
      </w:tr>
      <w:tr>
        <w:trPr>
          <w:trHeight w:val="263"/>
        </w:trPr>
        <w:tc>
          <w:tcPr>
            <w:tcW w:w="486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182.1</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2"/>
              </w:rPr>
              <w:t>30.5 %</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140.3</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2"/>
              </w:rPr>
              <w:t>31.1 %</w:t>
            </w:r>
          </w:p>
        </w:tc>
      </w:tr>
      <w:tr>
        <w:trPr>
          <w:trHeight w:val="21"/>
        </w:trPr>
        <w:tc>
          <w:tcPr>
            <w:tcW w:w="48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r>
    </w:tbl>
    <w:p>
      <w:pPr>
        <w:spacing w:after="0" w:line="128" w:lineRule="exact"/>
        <w:rPr>
          <w:sz w:val="20"/>
          <w:szCs w:val="20"/>
          <w:color w:val="auto"/>
        </w:rPr>
      </w:pPr>
    </w:p>
    <w:p>
      <w:pPr>
        <w:spacing w:after="0"/>
        <w:rPr>
          <w:sz w:val="20"/>
          <w:szCs w:val="20"/>
          <w:color w:val="auto"/>
        </w:rPr>
      </w:pPr>
      <w:r>
        <w:rPr>
          <w:rFonts w:ascii="Arial" w:cs="Arial" w:eastAsia="Arial" w:hAnsi="Arial"/>
          <w:sz w:val="21"/>
          <w:szCs w:val="21"/>
          <w:color w:val="auto"/>
          <w:vertAlign w:val="superscript"/>
        </w:rPr>
        <w:t>(1)</w:t>
      </w:r>
      <w:r>
        <w:rPr>
          <w:rFonts w:ascii="Arial" w:cs="Arial" w:eastAsia="Arial" w:hAnsi="Arial"/>
          <w:sz w:val="16"/>
          <w:szCs w:val="16"/>
          <w:color w:val="auto"/>
        </w:rPr>
        <w:t xml:space="preserve"> Includes $1.5 of enterprise resource planning and related systems implementation costs for the thirteen weeks ended April 30, 2023.</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Store Operating Income Before Depreciation and Amortization</w:t>
      </w:r>
    </w:p>
    <w:p>
      <w:pPr>
        <w:spacing w:after="0" w:line="11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following table reconciles (in millions of dollars and as a percent of total revenues) Operating income to Store Operating Income Before Depreciation and Amortization for the periods indicated:</w:t>
      </w:r>
    </w:p>
    <w:p>
      <w:pPr>
        <w:spacing w:after="0" w:line="216"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60" w:type="dxa"/>
            <w:vAlign w:val="bottom"/>
            <w:gridSpan w:val="3"/>
          </w:tcPr>
          <w:p>
            <w:pPr>
              <w:jc w:val="center"/>
              <w:ind w:left="115"/>
              <w:spacing w:after="0"/>
              <w:rPr>
                <w:sz w:val="20"/>
                <w:szCs w:val="20"/>
                <w:color w:val="auto"/>
              </w:rPr>
            </w:pPr>
            <w:r>
              <w:rPr>
                <w:rFonts w:ascii="Arial" w:cs="Arial" w:eastAsia="Arial" w:hAnsi="Arial"/>
                <w:sz w:val="14"/>
                <w:szCs w:val="14"/>
                <w:b w:val="1"/>
                <w:bCs w:val="1"/>
                <w:color w:val="auto"/>
                <w:w w:val="94"/>
              </w:rPr>
              <w:t>Thirteen Weeks Ended</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60" w:type="dxa"/>
            <w:vAlign w:val="bottom"/>
            <w:gridSpan w:val="3"/>
          </w:tcPr>
          <w:p>
            <w:pPr>
              <w:jc w:val="center"/>
              <w:ind w:left="135"/>
              <w:spacing w:after="0"/>
              <w:rPr>
                <w:sz w:val="20"/>
                <w:szCs w:val="20"/>
                <w:color w:val="auto"/>
              </w:rPr>
            </w:pPr>
            <w:r>
              <w:rPr>
                <w:rFonts w:ascii="Arial" w:cs="Arial" w:eastAsia="Arial" w:hAnsi="Arial"/>
                <w:sz w:val="14"/>
                <w:szCs w:val="14"/>
                <w:b w:val="1"/>
                <w:bCs w:val="1"/>
                <w:color w:val="auto"/>
                <w:w w:val="93"/>
              </w:rPr>
              <w:t>Thirteen Weeks Ended</w:t>
            </w:r>
          </w:p>
        </w:tc>
        <w:tc>
          <w:tcPr>
            <w:tcW w:w="560" w:type="dxa"/>
            <w:vAlign w:val="bottom"/>
          </w:tcPr>
          <w:p>
            <w:pPr>
              <w:spacing w:after="0"/>
              <w:rPr>
                <w:sz w:val="15"/>
                <w:szCs w:val="15"/>
                <w:color w:val="auto"/>
              </w:rPr>
            </w:pPr>
          </w:p>
        </w:tc>
      </w:tr>
      <w:tr>
        <w:trPr>
          <w:trHeight w:val="186"/>
        </w:trPr>
        <w:tc>
          <w:tcPr>
            <w:tcW w:w="4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60" w:type="dxa"/>
            <w:vAlign w:val="bottom"/>
            <w:gridSpan w:val="3"/>
          </w:tcPr>
          <w:p>
            <w:pPr>
              <w:jc w:val="center"/>
              <w:ind w:left="115"/>
              <w:spacing w:after="0"/>
              <w:rPr>
                <w:sz w:val="20"/>
                <w:szCs w:val="20"/>
                <w:color w:val="auto"/>
              </w:rPr>
            </w:pPr>
            <w:r>
              <w:rPr>
                <w:rFonts w:ascii="Arial" w:cs="Arial" w:eastAsia="Arial" w:hAnsi="Arial"/>
                <w:sz w:val="14"/>
                <w:szCs w:val="14"/>
                <w:b w:val="1"/>
                <w:bCs w:val="1"/>
                <w:color w:val="auto"/>
                <w:w w:val="95"/>
              </w:rPr>
              <w:t>April 30, 2023</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60" w:type="dxa"/>
            <w:vAlign w:val="bottom"/>
            <w:gridSpan w:val="3"/>
          </w:tcPr>
          <w:p>
            <w:pPr>
              <w:jc w:val="center"/>
              <w:ind w:left="135"/>
              <w:spacing w:after="0"/>
              <w:rPr>
                <w:sz w:val="20"/>
                <w:szCs w:val="20"/>
                <w:color w:val="auto"/>
              </w:rPr>
            </w:pPr>
            <w:r>
              <w:rPr>
                <w:rFonts w:ascii="Arial" w:cs="Arial" w:eastAsia="Arial" w:hAnsi="Arial"/>
                <w:sz w:val="14"/>
                <w:szCs w:val="14"/>
                <w:b w:val="1"/>
                <w:bCs w:val="1"/>
                <w:color w:val="auto"/>
                <w:w w:val="97"/>
              </w:rPr>
              <w:t>May 1, 2022</w:t>
            </w:r>
          </w:p>
        </w:tc>
        <w:tc>
          <w:tcPr>
            <w:tcW w:w="560" w:type="dxa"/>
            <w:vAlign w:val="bottom"/>
          </w:tcPr>
          <w:p>
            <w:pPr>
              <w:spacing w:after="0"/>
              <w:rPr>
                <w:sz w:val="16"/>
                <w:szCs w:val="16"/>
                <w:color w:val="auto"/>
              </w:rPr>
            </w:pPr>
          </w:p>
        </w:tc>
      </w:tr>
      <w:tr>
        <w:trPr>
          <w:trHeight w:val="39"/>
        </w:trPr>
        <w:tc>
          <w:tcPr>
            <w:tcW w:w="486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r>
      <w:tr>
        <w:trPr>
          <w:trHeight w:val="244"/>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20.3 %</w:t>
            </w: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21.9 %</w:t>
            </w:r>
          </w:p>
        </w:tc>
      </w:tr>
      <w:tr>
        <w:trPr>
          <w:trHeight w:val="243"/>
        </w:trPr>
        <w:tc>
          <w:tcPr>
            <w:tcW w:w="4860" w:type="dxa"/>
            <w:vAlign w:val="bottom"/>
          </w:tcPr>
          <w:p>
            <w:pPr>
              <w:ind w:left="20"/>
              <w:spacing w:after="0"/>
              <w:rPr>
                <w:sz w:val="20"/>
                <w:szCs w:val="20"/>
                <w:color w:val="auto"/>
              </w:rPr>
            </w:pPr>
            <w:r>
              <w:rPr>
                <w:rFonts w:ascii="Arial" w:cs="Arial" w:eastAsia="Arial" w:hAnsi="Arial"/>
                <w:sz w:val="18"/>
                <w:szCs w:val="18"/>
                <w:color w:val="auto"/>
              </w:rPr>
              <w:t>General and administrative expenses</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7"/>
        </w:trPr>
        <w:tc>
          <w:tcPr>
            <w:tcW w:w="4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 expense</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r>
      <w:tr>
        <w:trPr>
          <w:trHeight w:val="243"/>
        </w:trPr>
        <w:tc>
          <w:tcPr>
            <w:tcW w:w="4860" w:type="dxa"/>
            <w:vAlign w:val="bottom"/>
          </w:tcPr>
          <w:p>
            <w:pPr>
              <w:ind w:left="20"/>
              <w:spacing w:after="0"/>
              <w:rPr>
                <w:sz w:val="20"/>
                <w:szCs w:val="20"/>
                <w:color w:val="auto"/>
              </w:rPr>
            </w:pPr>
            <w:r>
              <w:rPr>
                <w:rFonts w:ascii="Arial" w:cs="Arial" w:eastAsia="Arial" w:hAnsi="Arial"/>
                <w:sz w:val="18"/>
                <w:szCs w:val="18"/>
                <w:color w:val="auto"/>
              </w:rPr>
              <w:t>Pre-opening costs</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7"/>
        </w:trPr>
        <w:tc>
          <w:tcPr>
            <w:tcW w:w="48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83"/>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Store Operating Income Before Depreciation and Amortization</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206.4</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34.6 %</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163.3</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36.2 %</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Capital Additions</w:t>
      </w:r>
    </w:p>
    <w:p>
      <w:pPr>
        <w:spacing w:after="0" w:line="11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table below reflects accrual-based capital additions. Capital additions do not include any reductions for accrual-based leasehold improvement incentives or proceeds from sale-leaseback transactions (collectively, “Payments from landlords”).</w:t>
      </w:r>
    </w:p>
    <w:p>
      <w:pPr>
        <w:spacing w:after="0" w:line="216" w:lineRule="exact"/>
        <w:rPr>
          <w:sz w:val="20"/>
          <w:szCs w:val="20"/>
          <w:color w:val="auto"/>
        </w:rPr>
      </w:pPr>
    </w:p>
    <w:tbl>
      <w:tblPr>
        <w:tblLayout w:type="fixed"/>
        <w:tblInd w:w="600" w:type="dxa"/>
        <w:tblCellMar>
          <w:top w:w="0" w:type="dxa"/>
          <w:left w:w="0" w:type="dxa"/>
          <w:bottom w:w="0" w:type="dxa"/>
          <w:right w:w="0" w:type="dxa"/>
        </w:tblCellMar>
      </w:tblPr>
      <w:tr>
        <w:trPr>
          <w:trHeight w:val="176"/>
        </w:trPr>
        <w:tc>
          <w:tcPr>
            <w:tcW w:w="6940" w:type="dxa"/>
            <w:vAlign w:val="bottom"/>
          </w:tcPr>
          <w:p>
            <w:pPr>
              <w:spacing w:after="0"/>
              <w:rPr>
                <w:sz w:val="15"/>
                <w:szCs w:val="15"/>
                <w:color w:val="auto"/>
              </w:rPr>
            </w:pPr>
          </w:p>
        </w:tc>
        <w:tc>
          <w:tcPr>
            <w:tcW w:w="150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Thirteen Weeks Ended</w:t>
            </w:r>
          </w:p>
        </w:tc>
        <w:tc>
          <w:tcPr>
            <w:tcW w:w="100" w:type="dxa"/>
            <w:vAlign w:val="bottom"/>
          </w:tcPr>
          <w:p>
            <w:pPr>
              <w:spacing w:after="0"/>
              <w:rPr>
                <w:sz w:val="15"/>
                <w:szCs w:val="15"/>
                <w:color w:val="auto"/>
              </w:rPr>
            </w:pPr>
          </w:p>
        </w:tc>
        <w:tc>
          <w:tcPr>
            <w:tcW w:w="150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Thirteen Weeks Ended</w:t>
            </w:r>
          </w:p>
        </w:tc>
      </w:tr>
      <w:tr>
        <w:trPr>
          <w:trHeight w:val="186"/>
        </w:trPr>
        <w:tc>
          <w:tcPr>
            <w:tcW w:w="6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ind w:right="233"/>
              <w:spacing w:after="0"/>
              <w:rPr>
                <w:sz w:val="20"/>
                <w:szCs w:val="20"/>
                <w:color w:val="auto"/>
              </w:rPr>
            </w:pPr>
            <w:r>
              <w:rPr>
                <w:rFonts w:ascii="Arial" w:cs="Arial" w:eastAsia="Arial" w:hAnsi="Arial"/>
                <w:sz w:val="14"/>
                <w:szCs w:val="14"/>
                <w:b w:val="1"/>
                <w:bCs w:val="1"/>
                <w:color w:val="auto"/>
              </w:rPr>
              <w:t>April 30, 2023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jc w:val="right"/>
              <w:ind w:right="293"/>
              <w:spacing w:after="0"/>
              <w:rPr>
                <w:sz w:val="20"/>
                <w:szCs w:val="20"/>
                <w:color w:val="auto"/>
              </w:rPr>
            </w:pPr>
            <w:r>
              <w:rPr>
                <w:rFonts w:ascii="Arial" w:cs="Arial" w:eastAsia="Arial" w:hAnsi="Arial"/>
                <w:sz w:val="14"/>
                <w:szCs w:val="14"/>
                <w:b w:val="1"/>
                <w:bCs w:val="1"/>
                <w:color w:val="auto"/>
              </w:rPr>
              <w:t>May 1, 2022</w:t>
            </w:r>
          </w:p>
        </w:tc>
      </w:tr>
      <w:tr>
        <w:trPr>
          <w:trHeight w:val="39"/>
        </w:trPr>
        <w:tc>
          <w:tcPr>
            <w:tcW w:w="69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43"/>
        </w:trPr>
        <w:tc>
          <w:tcPr>
            <w:tcW w:w="6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New store and operating initiatives</w:t>
            </w:r>
          </w:p>
        </w:tc>
        <w:tc>
          <w:tcPr>
            <w:tcW w:w="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34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w:t>
            </w:r>
          </w:p>
        </w:tc>
      </w:tr>
      <w:tr>
        <w:trPr>
          <w:trHeight w:val="243"/>
        </w:trPr>
        <w:tc>
          <w:tcPr>
            <w:tcW w:w="6940" w:type="dxa"/>
            <w:vAlign w:val="bottom"/>
          </w:tcPr>
          <w:p>
            <w:pPr>
              <w:ind w:left="180"/>
              <w:spacing w:after="0"/>
              <w:rPr>
                <w:sz w:val="20"/>
                <w:szCs w:val="20"/>
                <w:color w:val="auto"/>
              </w:rPr>
            </w:pPr>
            <w:r>
              <w:rPr>
                <w:rFonts w:ascii="Arial" w:cs="Arial" w:eastAsia="Arial" w:hAnsi="Arial"/>
                <w:sz w:val="18"/>
                <w:szCs w:val="18"/>
                <w:color w:val="auto"/>
              </w:rPr>
              <w:t>Games</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
        </w:trPr>
        <w:tc>
          <w:tcPr>
            <w:tcW w:w="6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Maintenance capital</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63"/>
        </w:trPr>
        <w:tc>
          <w:tcPr>
            <w:tcW w:w="6940" w:type="dxa"/>
            <w:vAlign w:val="bottom"/>
          </w:tcPr>
          <w:p>
            <w:pPr>
              <w:ind w:left="240"/>
              <w:spacing w:after="0"/>
              <w:rPr>
                <w:sz w:val="20"/>
                <w:szCs w:val="20"/>
                <w:color w:val="auto"/>
              </w:rPr>
            </w:pPr>
            <w:r>
              <w:rPr>
                <w:rFonts w:ascii="Arial" w:cs="Arial" w:eastAsia="Arial" w:hAnsi="Arial"/>
                <w:sz w:val="18"/>
                <w:szCs w:val="18"/>
                <w:color w:val="auto"/>
              </w:rPr>
              <w:t>Total capital additions</w:t>
            </w:r>
          </w:p>
        </w:tc>
        <w:tc>
          <w:tcPr>
            <w:tcW w:w="2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55.0</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42.9</w:t>
            </w:r>
          </w:p>
        </w:tc>
      </w:tr>
      <w:tr>
        <w:trPr>
          <w:trHeight w:val="20"/>
        </w:trPr>
        <w:tc>
          <w:tcPr>
            <w:tcW w:w="69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7"/>
        </w:trPr>
        <w:tc>
          <w:tcPr>
            <w:tcW w:w="6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Payments from landlords</w:t>
            </w:r>
          </w:p>
        </w:tc>
        <w:tc>
          <w:tcPr>
            <w:tcW w:w="2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340" w:type="dxa"/>
            <w:vAlign w:val="bottom"/>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7"/>
        </w:trPr>
        <w:tc>
          <w:tcPr>
            <w:tcW w:w="69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Selected revenue and store data (in millions except for store operating weeks) for the periods indicated are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ind w:left="40"/>
              <w:spacing w:after="0"/>
              <w:rPr>
                <w:sz w:val="20"/>
                <w:szCs w:val="20"/>
                <w:color w:val="auto"/>
              </w:rPr>
            </w:pPr>
            <w:r>
              <w:rPr>
                <w:rFonts w:ascii="Arial" w:cs="Arial" w:eastAsia="Arial" w:hAnsi="Arial"/>
                <w:sz w:val="14"/>
                <w:szCs w:val="14"/>
                <w:b w:val="1"/>
                <w:bCs w:val="1"/>
                <w:color w:val="auto"/>
                <w:w w:val="94"/>
              </w:rPr>
              <w:t>Thirteen Weeks Ended</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5"/>
        </w:trPr>
        <w:tc>
          <w:tcPr>
            <w:tcW w:w="66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4"/>
        </w:trPr>
        <w:tc>
          <w:tcPr>
            <w:tcW w:w="6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232"/>
              <w:spacing w:after="0"/>
              <w:rPr>
                <w:sz w:val="20"/>
                <w:szCs w:val="20"/>
                <w:color w:val="auto"/>
              </w:rPr>
            </w:pPr>
            <w:r>
              <w:rPr>
                <w:rFonts w:ascii="Arial" w:cs="Arial" w:eastAsia="Arial" w:hAnsi="Arial"/>
                <w:sz w:val="14"/>
                <w:szCs w:val="14"/>
                <w:b w:val="1"/>
                <w:bCs w:val="1"/>
                <w:color w:val="auto"/>
              </w:rPr>
              <w:t>April 30, 2023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ind w:right="272"/>
              <w:spacing w:after="0"/>
              <w:rPr>
                <w:sz w:val="20"/>
                <w:szCs w:val="20"/>
                <w:color w:val="auto"/>
              </w:rPr>
            </w:pPr>
            <w:r>
              <w:rPr>
                <w:rFonts w:ascii="Arial" w:cs="Arial" w:eastAsia="Arial" w:hAnsi="Arial"/>
                <w:sz w:val="14"/>
                <w:szCs w:val="14"/>
                <w:b w:val="1"/>
                <w:bCs w:val="1"/>
                <w:color w:val="auto"/>
              </w:rPr>
              <w:t>May 1, 2022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412"/>
              <w:spacing w:after="0"/>
              <w:rPr>
                <w:sz w:val="20"/>
                <w:szCs w:val="20"/>
                <w:color w:val="auto"/>
              </w:rPr>
            </w:pPr>
            <w:r>
              <w:rPr>
                <w:rFonts w:ascii="Arial" w:cs="Arial" w:eastAsia="Arial" w:hAnsi="Arial"/>
                <w:sz w:val="14"/>
                <w:szCs w:val="14"/>
                <w:b w:val="1"/>
                <w:bCs w:val="1"/>
                <w:color w:val="auto"/>
              </w:rPr>
              <w:t>Change</w:t>
            </w:r>
          </w:p>
        </w:tc>
      </w:tr>
      <w:tr>
        <w:trPr>
          <w:trHeight w:val="39"/>
        </w:trPr>
        <w:tc>
          <w:tcPr>
            <w:tcW w:w="66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243"/>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597.3</w:t>
            </w:r>
          </w:p>
        </w:tc>
        <w:tc>
          <w:tcPr>
            <w:tcW w:w="3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451.1</w:t>
            </w:r>
          </w:p>
        </w:tc>
        <w:tc>
          <w:tcPr>
            <w:tcW w:w="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146.2</w:t>
            </w:r>
          </w:p>
        </w:tc>
      </w:tr>
      <w:tr>
        <w:trPr>
          <w:trHeight w:val="243"/>
        </w:trPr>
        <w:tc>
          <w:tcPr>
            <w:tcW w:w="6600" w:type="dxa"/>
            <w:vAlign w:val="bottom"/>
          </w:tcPr>
          <w:p>
            <w:pPr>
              <w:ind w:left="20"/>
              <w:spacing w:after="0"/>
              <w:rPr>
                <w:sz w:val="20"/>
                <w:szCs w:val="20"/>
                <w:color w:val="auto"/>
              </w:rPr>
            </w:pPr>
            <w:r>
              <w:rPr>
                <w:rFonts w:ascii="Arial" w:cs="Arial" w:eastAsia="Arial" w:hAnsi="Arial"/>
                <w:sz w:val="18"/>
                <w:szCs w:val="18"/>
                <w:color w:val="auto"/>
              </w:rPr>
              <w:t>Total store operating weeks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2,690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1,876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814</w:t>
            </w:r>
          </w:p>
        </w:tc>
      </w:tr>
      <w:tr>
        <w:trPr>
          <w:trHeight w:val="27"/>
        </w:trPr>
        <w:tc>
          <w:tcPr>
            <w:tcW w:w="6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Comparable store revenues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427.4</w:t>
            </w:r>
          </w:p>
        </w:tc>
        <w:tc>
          <w:tcPr>
            <w:tcW w:w="3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445.6</w:t>
            </w:r>
          </w:p>
        </w:tc>
        <w:tc>
          <w:tcPr>
            <w:tcW w:w="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w:t>
            </w:r>
          </w:p>
        </w:tc>
      </w:tr>
      <w:tr>
        <w:trPr>
          <w:trHeight w:val="243"/>
        </w:trPr>
        <w:tc>
          <w:tcPr>
            <w:tcW w:w="6600" w:type="dxa"/>
            <w:vAlign w:val="bottom"/>
          </w:tcPr>
          <w:p>
            <w:pPr>
              <w:ind w:left="20"/>
              <w:spacing w:after="0"/>
              <w:rPr>
                <w:sz w:val="20"/>
                <w:szCs w:val="20"/>
                <w:color w:val="auto"/>
              </w:rPr>
            </w:pPr>
            <w:r>
              <w:rPr>
                <w:rFonts w:ascii="Arial" w:cs="Arial" w:eastAsia="Arial" w:hAnsi="Arial"/>
                <w:sz w:val="18"/>
                <w:szCs w:val="18"/>
                <w:color w:val="auto"/>
              </w:rPr>
              <w:t>Comparable store operating weeks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1,833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1,833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Noncomparable store revenues—Dave &amp; Buster’s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3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w:t>
            </w:r>
          </w:p>
        </w:tc>
      </w:tr>
      <w:tr>
        <w:trPr>
          <w:trHeight w:val="243"/>
        </w:trPr>
        <w:tc>
          <w:tcPr>
            <w:tcW w:w="6600" w:type="dxa"/>
            <w:vAlign w:val="bottom"/>
          </w:tcPr>
          <w:p>
            <w:pPr>
              <w:ind w:left="20"/>
              <w:spacing w:after="0"/>
              <w:rPr>
                <w:sz w:val="20"/>
                <w:szCs w:val="20"/>
                <w:color w:val="auto"/>
              </w:rPr>
            </w:pPr>
            <w:r>
              <w:rPr>
                <w:rFonts w:ascii="Arial" w:cs="Arial" w:eastAsia="Arial" w:hAnsi="Arial"/>
                <w:sz w:val="18"/>
                <w:szCs w:val="18"/>
                <w:color w:val="auto"/>
              </w:rPr>
              <w:t>Noncomparable store operating weeks—Dave &amp; Buster’s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6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Noncomparable store revenues—Main Event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138.3</w:t>
            </w:r>
          </w:p>
        </w:tc>
      </w:tr>
      <w:tr>
        <w:trPr>
          <w:trHeight w:val="243"/>
        </w:trPr>
        <w:tc>
          <w:tcPr>
            <w:tcW w:w="6600" w:type="dxa"/>
            <w:vAlign w:val="bottom"/>
          </w:tcPr>
          <w:p>
            <w:pPr>
              <w:ind w:left="20"/>
              <w:spacing w:after="0"/>
              <w:rPr>
                <w:sz w:val="20"/>
                <w:szCs w:val="20"/>
                <w:color w:val="auto"/>
              </w:rPr>
            </w:pPr>
            <w:r>
              <w:rPr>
                <w:rFonts w:ascii="Arial" w:cs="Arial" w:eastAsia="Arial" w:hAnsi="Arial"/>
                <w:sz w:val="18"/>
                <w:szCs w:val="18"/>
                <w:color w:val="auto"/>
              </w:rPr>
              <w:t>Noncomparable store operating weeks—Main Event</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714</w:t>
            </w:r>
          </w:p>
        </w:tc>
      </w:tr>
      <w:tr>
        <w:trPr>
          <w:trHeight w:val="27"/>
        </w:trPr>
        <w:tc>
          <w:tcPr>
            <w:tcW w:w="6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3"/>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revenues and deferrals—Dave &amp; Buster’s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7"/>
        </w:trPr>
        <w:tc>
          <w:tcPr>
            <w:tcW w:w="66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29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Total revenues increased $146.2 million, or 32.4%, to $597.3 million in the first quarter of 2023 compared to $451.1 million in the first quarter of 2022. The increase in revenue is primarily attributable to $138.3 million in revenue from our Main Event stores, which were acquired on June 29, 2022, and $25.8 million in revenue from new, noncomparable, Dave &amp; Buster's stores, partially offset by a 4.1% decrease in comparable store sales. The decrease in comparable store revenue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is due primarily to a reduction in transaction counts relative to the robust consumer environment of the prior year period, partially offset by increases in food and beverage prices.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40" w:type="dxa"/>
            <w:vAlign w:val="bottom"/>
          </w:tcPr>
          <w:p>
            <w:pPr>
              <w:spacing w:after="0"/>
              <w:rPr>
                <w:sz w:val="16"/>
                <w:szCs w:val="16"/>
                <w:color w:val="auto"/>
              </w:rPr>
            </w:pPr>
          </w:p>
        </w:tc>
        <w:tc>
          <w:tcPr>
            <w:tcW w:w="3300" w:type="dxa"/>
            <w:vAlign w:val="bottom"/>
            <w:gridSpan w:val="3"/>
          </w:tcPr>
          <w:p>
            <w:pPr>
              <w:jc w:val="right"/>
              <w:ind w:right="868"/>
              <w:spacing w:after="0"/>
              <w:rPr>
                <w:sz w:val="20"/>
                <w:szCs w:val="20"/>
                <w:color w:val="auto"/>
              </w:rPr>
            </w:pPr>
            <w:r>
              <w:rPr>
                <w:rFonts w:ascii="Arial" w:cs="Arial" w:eastAsia="Arial" w:hAnsi="Arial"/>
                <w:sz w:val="14"/>
                <w:szCs w:val="14"/>
                <w:b w:val="1"/>
                <w:bCs w:val="1"/>
                <w:color w:val="auto"/>
              </w:rPr>
              <w:t>Thirteen Weeks Ended</w:t>
            </w:r>
          </w:p>
        </w:tc>
      </w:tr>
      <w:tr>
        <w:trPr>
          <w:trHeight w:val="39"/>
        </w:trPr>
        <w:tc>
          <w:tcPr>
            <w:tcW w:w="7940" w:type="dxa"/>
            <w:vAlign w:val="bottom"/>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r>
      <w:tr>
        <w:trPr>
          <w:trHeight w:val="184"/>
        </w:trPr>
        <w:tc>
          <w:tcPr>
            <w:tcW w:w="7940" w:type="dxa"/>
            <w:vAlign w:val="bottom"/>
          </w:tcPr>
          <w:p>
            <w:pPr>
              <w:spacing w:after="0"/>
              <w:rPr>
                <w:sz w:val="16"/>
                <w:szCs w:val="16"/>
                <w:color w:val="auto"/>
              </w:rPr>
            </w:pPr>
          </w:p>
        </w:tc>
        <w:tc>
          <w:tcPr>
            <w:tcW w:w="1620" w:type="dxa"/>
            <w:vAlign w:val="bottom"/>
          </w:tcPr>
          <w:p>
            <w:pPr>
              <w:jc w:val="right"/>
              <w:ind w:right="297"/>
              <w:spacing w:after="0"/>
              <w:rPr>
                <w:sz w:val="20"/>
                <w:szCs w:val="20"/>
                <w:color w:val="auto"/>
              </w:rPr>
            </w:pPr>
            <w:r>
              <w:rPr>
                <w:rFonts w:ascii="Arial" w:cs="Arial" w:eastAsia="Arial" w:hAnsi="Arial"/>
                <w:sz w:val="14"/>
                <w:szCs w:val="14"/>
                <w:b w:val="1"/>
                <w:bCs w:val="1"/>
                <w:color w:val="auto"/>
              </w:rPr>
              <w:t>April 30, 2023</w:t>
            </w:r>
          </w:p>
        </w:tc>
        <w:tc>
          <w:tcPr>
            <w:tcW w:w="80" w:type="dxa"/>
            <w:vAlign w:val="bottom"/>
          </w:tcPr>
          <w:p>
            <w:pPr>
              <w:spacing w:after="0"/>
              <w:rPr>
                <w:sz w:val="16"/>
                <w:szCs w:val="16"/>
                <w:color w:val="auto"/>
              </w:rPr>
            </w:pPr>
          </w:p>
        </w:tc>
        <w:tc>
          <w:tcPr>
            <w:tcW w:w="1600" w:type="dxa"/>
            <w:vAlign w:val="bottom"/>
          </w:tcPr>
          <w:p>
            <w:pPr>
              <w:jc w:val="right"/>
              <w:ind w:right="348"/>
              <w:spacing w:after="0"/>
              <w:rPr>
                <w:sz w:val="20"/>
                <w:szCs w:val="20"/>
                <w:color w:val="auto"/>
              </w:rPr>
            </w:pPr>
            <w:r>
              <w:rPr>
                <w:rFonts w:ascii="Arial" w:cs="Arial" w:eastAsia="Arial" w:hAnsi="Arial"/>
                <w:sz w:val="14"/>
                <w:szCs w:val="14"/>
                <w:b w:val="1"/>
                <w:bCs w:val="1"/>
                <w:color w:val="auto"/>
              </w:rPr>
              <w:t>May 1, 2022</w:t>
            </w:r>
          </w:p>
        </w:tc>
      </w:tr>
      <w:tr>
        <w:trPr>
          <w:trHeight w:val="39"/>
        </w:trPr>
        <w:tc>
          <w:tcPr>
            <w:tcW w:w="7940" w:type="dxa"/>
            <w:vAlign w:val="bottom"/>
            <w:tcBorders>
              <w:bottom w:val="single" w:sz="8" w:color="CCEEFF"/>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r>
      <w:tr>
        <w:trPr>
          <w:trHeight w:val="243"/>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Entertainment revenues</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65.8 %</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66.3 %</w:t>
            </w:r>
          </w:p>
        </w:tc>
      </w:tr>
      <w:tr>
        <w:trPr>
          <w:trHeight w:val="243"/>
        </w:trPr>
        <w:tc>
          <w:tcPr>
            <w:tcW w:w="7940" w:type="dxa"/>
            <w:vAlign w:val="bottom"/>
          </w:tcPr>
          <w:p>
            <w:pPr>
              <w:ind w:left="20"/>
              <w:spacing w:after="0"/>
              <w:rPr>
                <w:sz w:val="20"/>
                <w:szCs w:val="20"/>
                <w:color w:val="auto"/>
              </w:rPr>
            </w:pPr>
            <w:r>
              <w:rPr>
                <w:rFonts w:ascii="Arial" w:cs="Arial" w:eastAsia="Arial" w:hAnsi="Arial"/>
                <w:sz w:val="18"/>
                <w:szCs w:val="18"/>
                <w:color w:val="auto"/>
              </w:rPr>
              <w:t>Food revenues</w:t>
            </w:r>
          </w:p>
        </w:tc>
        <w:tc>
          <w:tcPr>
            <w:tcW w:w="1620" w:type="dxa"/>
            <w:vAlign w:val="bottom"/>
          </w:tcPr>
          <w:p>
            <w:pPr>
              <w:jc w:val="right"/>
              <w:spacing w:after="0"/>
              <w:rPr>
                <w:sz w:val="20"/>
                <w:szCs w:val="20"/>
                <w:color w:val="auto"/>
              </w:rPr>
            </w:pPr>
            <w:r>
              <w:rPr>
                <w:rFonts w:ascii="Arial" w:cs="Arial" w:eastAsia="Arial" w:hAnsi="Arial"/>
                <w:sz w:val="18"/>
                <w:szCs w:val="18"/>
                <w:color w:val="auto"/>
              </w:rPr>
              <w:t>22.8 %</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22.5 %</w:t>
            </w:r>
          </w:p>
        </w:tc>
      </w:tr>
      <w:tr>
        <w:trPr>
          <w:trHeight w:val="27"/>
        </w:trPr>
        <w:tc>
          <w:tcPr>
            <w:tcW w:w="79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43"/>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Beverage revenues</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11.4 %</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11.2 %</w:t>
            </w:r>
          </w:p>
        </w:tc>
      </w:tr>
      <w:tr>
        <w:trPr>
          <w:trHeight w:val="27"/>
        </w:trPr>
        <w:tc>
          <w:tcPr>
            <w:tcW w:w="794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r>
    </w:tbl>
    <w:p>
      <w:pPr>
        <w:spacing w:after="0" w:line="283"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The shift in mix from entertainment revenues to food and beverage revenues is due primarily to the reduction in entertainment revenue transaction counts, increased special events, and food and beverage price increases. Comparable entertainment revenues in the first quarter of 2023 decreased by $20.9 million, or 7.0%, to $277.0 million from $297.9 million in the first quarter of 2022. Food sales at comparable stores increased by $1.1 million, or 1.1%, to $99.6 million in the first quarter of 2023 from $98.5 million in the first quarter of 2022. Beverage sales at comparable stores increased by $1.6 million, or 3.3%, to $50.8 million in the first quarter of 2023 from $49.2 million in the first quarter of 2022.</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Cost of products</w:t>
      </w:r>
    </w:p>
    <w:p>
      <w:pPr>
        <w:spacing w:after="0" w:line="11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total cost of products was $90.3 million for the first quarter of 2023 and $70.0 million for the first quarter of 2022. The total cost of products as a percentage of total revenues decreased to 15.1% for the first quarter of 2023 compared to 15.5% for the first quarter of 2022.</w:t>
      </w:r>
    </w:p>
    <w:p>
      <w:pPr>
        <w:spacing w:after="0" w:line="170"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Cost of entertainment increased to $34.3 million in the first quarter of 2023 compared to $26.8 million in the first quarter of 2022. The cost of entertainment, as a percentage of entertainment revenues, decreased to 8.7% for the first quarter of 2023 from 9.0% in the first quarter of 2022.</w:t>
      </w:r>
    </w:p>
    <w:p>
      <w:pPr>
        <w:spacing w:after="0" w:line="14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Cost of food and beverage products increased to $56.0 million for the first quarter of 2023 compared to $43.2 million for the first quarter of 2022. Cost of food and beverage products, as a percentage of food and beverage revenues, decreased to 27.4% for the first quarter of 2023 from 28.4% for the first quarter of 2022. The decrease was primarily attributable food and beverage price increases, partially offset by unfavorable impacts of commodity cost increases.</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Operating payroll and benefits</w:t>
      </w:r>
    </w:p>
    <w:p>
      <w:pPr>
        <w:spacing w:after="0" w:line="11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Total operating payroll and benefits increased to $130.6 million in the first quarter of 2023 compared to $93.4 million in the first quarter of 2022. Total operating payroll and benefits for the first quarter of 2023 included approximately $34.0 million of payroll and benefits from our Main Event stores. The total cost of operating payroll and benefits as a percentage of total revenues was 21.9% in the first quarter of 2023 compared to 20.7% in the first quarter of 2022. This increase is primarily due to hourly wage rate and manager salary increases.</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Other store operating expenses</w:t>
      </w:r>
    </w:p>
    <w:p>
      <w:pPr>
        <w:spacing w:after="0" w:line="11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Other store operating expenses increased to $170.0 million in the first quarter of 2023 compared to $124.4 million in the first quarter of 2022. The increase is primarily due to the addition of $37.4 million of operating costs related to our Main Event stores, the impact of Dave &amp; Buster’s new store openings, and higher utilities, maintenance, security, cleaning services and marketing costs. Other store operating expense as a percentage of total revenues increased to 28.5% in the first quarter of 2023 compared to 27.6% in the first quarter of 2022. This increase in basis points was due primarily to increased security, cleaning services, and marketing costs.</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General and administrative expenses increased to $31.4 million in the first quarter of 2023 compared to $28.3 million in the first quarter of 2022. The increase in general and administrative expenses was driven primarily by higher payroll and benefits cost related to the addition of Main Event store support center personnel, partially offset by synergies subsequent to the Main Event acquisition, and higher stock based compensation expense. General and administrative expenses as a percentage of total revenues decreased to 5.3% in the first quarter of 2023 compared to 6.3% in the first quarter of 2022 due primarily to sales leverage.</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Depreciation and amortization expense</w:t>
      </w:r>
    </w:p>
    <w:p>
      <w:pPr>
        <w:spacing w:after="0" w:line="11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Depreciation and amortization expense increased to $48.9 million in the first quarter of 2023 compared to $33.3 million in the first quarter of 2022, primarily due to the addition of Main Event, which totaled $15.0 million for the first quarter of 2023.</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Pre-opening costs</w:t>
      </w:r>
    </w:p>
    <w:p>
      <w:pPr>
        <w:spacing w:after="0" w:line="11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Pre-opening costs increased to $4.7 million in the first quarter of 2023 compared to $3.0 million in the first quarter of 2022 primarily due to $3.3 million of pre-opening costs related to Main Event stores, partially offset by a decrease in costs related to the timing of Dave &amp; Buster's store openings in the first quarter of 2023.</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1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Interest expense, net increased to $30.7 million in the first quarter of 2023 compared to $11.4 million in the first quarter of 2022 due primarily to an increase in average outstanding debt.</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1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effective tax rate for the first quarter of 2023 was 22.7%, compared to 23.3% for the first quarter of 2022. The current year tax provision includes a favorable state apportionment impact resulting from the acquisition of Main Event and legal entity restructuring.</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Debt</w:t>
      </w:r>
    </w:p>
    <w:p>
      <w:pPr>
        <w:spacing w:after="0" w:line="121"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In connection with the closing of the Main Event Acquisition on June 29, 2022, D&amp;B Inc entered into a senior secured credit agreement, which refinanced the $500.0 million existing revolving facility, extended the maturity date to June 29, 2027, and added a new term loan facility in the aggregate principal amount of $850.0 million, with a maturity date of June 29, 2029 (“Credit Facility”). The proceeds of the term loan, net of an original issue discount of $42.5 million, were used to pay the consideration for the Acquisition. The revolving credit facility can expire before the stated maturity date if the aggregate outstanding principal amount of the 7.625% senior secured notes (described below) exceeds $100.0 million 91 days prior to November 1, 2025. A portion of the revolving facility not to exceed $35.0 million is available for the issuance of letters of credit.</w:t>
      </w:r>
    </w:p>
    <w:p>
      <w:pPr>
        <w:spacing w:after="0" w:line="178"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As of April 30, 2023, we had letters of credit outstanding of $9.8 million and an unused commitment balance of $490.2 under the revolving facility. The Credit Facility may be increased through incremental facilities, by an amount equal to the greater of (i) $400.0 million and (ii) 0.75 times trailing twelve-month Adjusted EBITDA, as defined, plus additional amounts subject to compliance with applicable leverage ratio and/or interest coverage ratio requirements. The Credit Facility is unconditionally guaranteed by D&amp;B Holdings and certain of D&amp;B Inc’s existing and future wholly owned material domestic subsidiaries.</w:t>
      </w:r>
    </w:p>
    <w:p>
      <w:pPr>
        <w:spacing w:after="0" w:line="188"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During fiscal 2020, the Company issued $550.0 million aggregate principal amount of 7.625% senior secured notes (the “Notes”). Interest on the Notes is payable in arrears on November 1 and May 1 of each year. The Notes mature on November 1, 2025, unless earlier redeemed, and are subject to the terms and conditions set forth in the related indenture. The Notes were issued by D&amp;B Inc and are unconditionally guaranteed by D&amp;B Holdings and certain of D&amp;B Inc’s existing and future wholly owned material domestic subsidiaries. During fiscal 2022, the Company redeemed a total of $110.0 million outstanding principal amount of the Notes. Beginning October 27, 2022, the Company may elect to further redeem the Notes, in whole or in part, at certain specified redemption prices, plus accrued and unpaid interest, at the redemption date.</w:t>
      </w:r>
    </w:p>
    <w:p>
      <w:pPr>
        <w:spacing w:after="0" w:line="178"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The interest rates per annum applicable to SOFR term loans are based on a defined SOFR rate (with a floor of 0.50%) plus an additional credit spread adjustment of 0.10%, plus a margin of 5.00%. The interest rates per annum applicable to SOFR revolving loans are based on the term loan SOFR rate, plus an additional credit spread adjustment of 0.10%, plus an initial margin of 4.75%. Unused commitments under the revolving facility incur initial commitment fees of 0.50%. The margin for SOFR revolving loans are subject to a pricing grid based on net total leverage, ranging from 4.25% to 4.75%, and commitment fees are subject to a pricing grid based on net total leverage, ranging from 0.30% to 0.50%.</w:t>
      </w:r>
    </w:p>
    <w:p>
      <w:pPr>
        <w:spacing w:after="0" w:line="17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Amortization of debt issuance costs and original issue discount, which is included in interest expense, net on the consolidated statements of comprehensive income, was $3.0 million for the thirteen weeks ended April 30, 2023 and $1.0 million for the thirteen weeks ended May 1, 2022. For the thirteen weeks ended April 30, 2023, and May 1, 2022, the Company’s weighted average effective interest rate on our total debt facilities (before capitalized interest amounts) was 10.3% and 10.9%, respectively.</w:t>
      </w:r>
    </w:p>
    <w:p>
      <w:pPr>
        <w:spacing w:after="0" w:line="187"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Our debt agreements contain restrictive covenants that, among other things, place certain limitations on our ability to incur additional indebtedness, make loans or advances to subsidiaries and other entities, pay dividends, acquire other businesses or sell assets. The Credit Facility also requires the Company to maintain a maximum net total leverage ratio, as defined, as of the end of each fiscal quarter, beginning with the Company’s first full fiscal quarter after the Closing Date. We were in compliance with our covenants and the terms of our debt agreements as of April 30, 2023.</w:t>
      </w:r>
    </w:p>
    <w:p>
      <w:pPr>
        <w:spacing w:after="0" w:line="15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Credit Adjusted EBITDA and Net Total Leverage Ratio</w:t>
      </w:r>
      <w:r>
        <w:rPr>
          <w:rFonts w:ascii="Arial" w:cs="Arial" w:eastAsia="Arial" w:hAnsi="Arial"/>
          <w:sz w:val="18"/>
          <w:szCs w:val="18"/>
          <w:color w:val="auto"/>
        </w:rPr>
        <w:t>.</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reconciles Net income to Credit Adjusted EBITDA, as defined in our Credit Facility for the periods indicated: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540" w:type="dxa"/>
        <w:tblCellMar>
          <w:top w:w="0" w:type="dxa"/>
          <w:left w:w="0" w:type="dxa"/>
          <w:bottom w:w="0" w:type="dxa"/>
          <w:right w:w="0" w:type="dxa"/>
        </w:tblCellMar>
      </w:tblPr>
      <w:tr>
        <w:trPr>
          <w:trHeight w:val="176"/>
        </w:trPr>
        <w:tc>
          <w:tcPr>
            <w:tcW w:w="6600" w:type="dxa"/>
            <w:vAlign w:val="bottom"/>
          </w:tcPr>
          <w:p>
            <w:pPr>
              <w:spacing w:after="0"/>
              <w:rPr>
                <w:sz w:val="15"/>
                <w:szCs w:val="15"/>
                <w:color w:val="auto"/>
              </w:rPr>
            </w:pPr>
          </w:p>
        </w:tc>
        <w:tc>
          <w:tcPr>
            <w:tcW w:w="1720" w:type="dxa"/>
            <w:vAlign w:val="bottom"/>
          </w:tcPr>
          <w:p>
            <w:pPr>
              <w:jc w:val="right"/>
              <w:ind w:right="80"/>
              <w:spacing w:after="0"/>
              <w:rPr>
                <w:sz w:val="20"/>
                <w:szCs w:val="20"/>
                <w:color w:val="auto"/>
              </w:rPr>
            </w:pPr>
            <w:r>
              <w:rPr>
                <w:rFonts w:ascii="Arial" w:cs="Arial" w:eastAsia="Arial" w:hAnsi="Arial"/>
                <w:sz w:val="14"/>
                <w:szCs w:val="14"/>
                <w:b w:val="1"/>
                <w:bCs w:val="1"/>
                <w:color w:val="auto"/>
              </w:rPr>
              <w:t>Thirteen Weeks Ended</w:t>
            </w:r>
          </w:p>
        </w:tc>
        <w:tc>
          <w:tcPr>
            <w:tcW w:w="120" w:type="dxa"/>
            <w:vAlign w:val="bottom"/>
          </w:tcPr>
          <w:p>
            <w:pPr>
              <w:spacing w:after="0"/>
              <w:rPr>
                <w:sz w:val="15"/>
                <w:szCs w:val="15"/>
                <w:color w:val="auto"/>
              </w:rPr>
            </w:pPr>
          </w:p>
        </w:tc>
        <w:tc>
          <w:tcPr>
            <w:tcW w:w="1740" w:type="dxa"/>
            <w:vAlign w:val="bottom"/>
          </w:tcPr>
          <w:p>
            <w:pPr>
              <w:jc w:val="right"/>
              <w:ind w:right="84"/>
              <w:spacing w:after="0"/>
              <w:rPr>
                <w:sz w:val="20"/>
                <w:szCs w:val="20"/>
                <w:color w:val="auto"/>
              </w:rPr>
            </w:pPr>
            <w:r>
              <w:rPr>
                <w:rFonts w:ascii="Arial" w:cs="Arial" w:eastAsia="Arial" w:hAnsi="Arial"/>
                <w:sz w:val="14"/>
                <w:szCs w:val="14"/>
                <w:b w:val="1"/>
                <w:bCs w:val="1"/>
                <w:color w:val="auto"/>
              </w:rPr>
              <w:t>Trailing Four Quarters</w:t>
            </w:r>
          </w:p>
        </w:tc>
      </w:tr>
      <w:tr>
        <w:trPr>
          <w:trHeight w:val="186"/>
        </w:trPr>
        <w:tc>
          <w:tcPr>
            <w:tcW w:w="6600" w:type="dxa"/>
            <w:vAlign w:val="bottom"/>
          </w:tcPr>
          <w:p>
            <w:pPr>
              <w:spacing w:after="0"/>
              <w:rPr>
                <w:sz w:val="16"/>
                <w:szCs w:val="16"/>
                <w:color w:val="auto"/>
              </w:rPr>
            </w:pPr>
          </w:p>
        </w:tc>
        <w:tc>
          <w:tcPr>
            <w:tcW w:w="1720" w:type="dxa"/>
            <w:vAlign w:val="bottom"/>
          </w:tcPr>
          <w:p>
            <w:pPr>
              <w:jc w:val="right"/>
              <w:ind w:right="340"/>
              <w:spacing w:after="0"/>
              <w:rPr>
                <w:sz w:val="20"/>
                <w:szCs w:val="20"/>
                <w:color w:val="auto"/>
              </w:rPr>
            </w:pPr>
            <w:r>
              <w:rPr>
                <w:rFonts w:ascii="Arial" w:cs="Arial" w:eastAsia="Arial" w:hAnsi="Arial"/>
                <w:sz w:val="14"/>
                <w:szCs w:val="14"/>
                <w:b w:val="1"/>
                <w:bCs w:val="1"/>
                <w:color w:val="auto"/>
              </w:rPr>
              <w:t>April 30, 2023</w:t>
            </w:r>
          </w:p>
        </w:tc>
        <w:tc>
          <w:tcPr>
            <w:tcW w:w="120" w:type="dxa"/>
            <w:vAlign w:val="bottom"/>
          </w:tcPr>
          <w:p>
            <w:pPr>
              <w:spacing w:after="0"/>
              <w:rPr>
                <w:sz w:val="16"/>
                <w:szCs w:val="16"/>
                <w:color w:val="auto"/>
              </w:rPr>
            </w:pPr>
          </w:p>
        </w:tc>
        <w:tc>
          <w:tcPr>
            <w:tcW w:w="1740" w:type="dxa"/>
            <w:vAlign w:val="bottom"/>
          </w:tcPr>
          <w:p>
            <w:pPr>
              <w:jc w:val="right"/>
              <w:ind w:right="144"/>
              <w:spacing w:after="0"/>
              <w:rPr>
                <w:sz w:val="20"/>
                <w:szCs w:val="20"/>
                <w:color w:val="auto"/>
              </w:rPr>
            </w:pPr>
            <w:r>
              <w:rPr>
                <w:rFonts w:ascii="Arial" w:cs="Arial" w:eastAsia="Arial" w:hAnsi="Arial"/>
                <w:sz w:val="14"/>
                <w:szCs w:val="14"/>
                <w:b w:val="1"/>
                <w:bCs w:val="1"/>
                <w:color w:val="auto"/>
              </w:rPr>
              <w:t>Ended April 30, 2023</w:t>
            </w:r>
          </w:p>
        </w:tc>
      </w:tr>
      <w:tr>
        <w:trPr>
          <w:trHeight w:val="39"/>
        </w:trPr>
        <w:tc>
          <w:tcPr>
            <w:tcW w:w="6600" w:type="dxa"/>
            <w:vAlign w:val="bottom"/>
            <w:tcBorders>
              <w:bottom w:val="single" w:sz="8" w:color="CCEEFF"/>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r>
      <w:tr>
        <w:trPr>
          <w:trHeight w:val="237"/>
        </w:trPr>
        <w:tc>
          <w:tcPr>
            <w:tcW w:w="6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$70.1</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$140.2</w:t>
            </w:r>
          </w:p>
        </w:tc>
      </w:tr>
      <w:tr>
        <w:trPr>
          <w:trHeight w:val="233"/>
        </w:trPr>
        <w:tc>
          <w:tcPr>
            <w:tcW w:w="6600" w:type="dxa"/>
            <w:vAlign w:val="bottom"/>
          </w:tcPr>
          <w:p>
            <w:pPr>
              <w:ind w:left="220"/>
              <w:spacing w:after="0"/>
              <w:rPr>
                <w:sz w:val="20"/>
                <w:szCs w:val="20"/>
                <w:color w:val="auto"/>
              </w:rPr>
            </w:pPr>
            <w:r>
              <w:rPr>
                <w:rFonts w:ascii="Arial" w:cs="Arial" w:eastAsia="Arial" w:hAnsi="Arial"/>
                <w:sz w:val="16"/>
                <w:szCs w:val="16"/>
                <w:color w:val="auto"/>
              </w:rPr>
              <w:t>Add back:</w:t>
            </w:r>
          </w:p>
        </w:tc>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246"/>
        </w:trPr>
        <w:tc>
          <w:tcPr>
            <w:tcW w:w="66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Interest expense, net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30.7</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106.7</w:t>
            </w:r>
          </w:p>
        </w:tc>
      </w:tr>
      <w:tr>
        <w:trPr>
          <w:trHeight w:val="233"/>
        </w:trPr>
        <w:tc>
          <w:tcPr>
            <w:tcW w:w="6600" w:type="dxa"/>
            <w:vAlign w:val="bottom"/>
          </w:tcPr>
          <w:p>
            <w:pPr>
              <w:ind w:left="440"/>
              <w:spacing w:after="0"/>
              <w:rPr>
                <w:sz w:val="20"/>
                <w:szCs w:val="20"/>
                <w:color w:val="auto"/>
              </w:rPr>
            </w:pPr>
            <w:r>
              <w:rPr>
                <w:rFonts w:ascii="Arial" w:cs="Arial" w:eastAsia="Arial" w:hAnsi="Arial"/>
                <w:sz w:val="16"/>
                <w:szCs w:val="16"/>
                <w:color w:val="auto"/>
              </w:rPr>
              <w:t>Loss on debt extinguishment / refinancing</w:t>
            </w:r>
          </w:p>
        </w:tc>
        <w:tc>
          <w:tcPr>
            <w:tcW w:w="1720" w:type="dxa"/>
            <w:vAlign w:val="bottom"/>
          </w:tcPr>
          <w:p>
            <w:pPr>
              <w:jc w:val="right"/>
              <w:spacing w:after="0"/>
              <w:rPr>
                <w:sz w:val="20"/>
                <w:szCs w:val="20"/>
                <w:color w:val="auto"/>
              </w:rPr>
            </w:pPr>
            <w:r>
              <w:rPr>
                <w:rFonts w:ascii="Arial" w:cs="Arial" w:eastAsia="Arial" w:hAnsi="Arial"/>
                <w:sz w:val="16"/>
                <w:szCs w:val="16"/>
                <w:color w:val="auto"/>
              </w:rPr>
              <w:t>—</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1.5</w:t>
            </w:r>
          </w:p>
        </w:tc>
      </w:tr>
      <w:tr>
        <w:trPr>
          <w:trHeight w:val="246"/>
        </w:trPr>
        <w:tc>
          <w:tcPr>
            <w:tcW w:w="66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Provision for income taxes</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20.6</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36.8</w:t>
            </w:r>
          </w:p>
        </w:tc>
      </w:tr>
      <w:tr>
        <w:trPr>
          <w:trHeight w:val="236"/>
        </w:trPr>
        <w:tc>
          <w:tcPr>
            <w:tcW w:w="660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Depreciation and amortization expense</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48.9</w:t>
            </w:r>
          </w:p>
        </w:tc>
        <w:tc>
          <w:tcPr>
            <w:tcW w:w="120" w:type="dxa"/>
            <w:vAlign w:val="bottom"/>
            <w:tcBorders>
              <w:bottom w:val="single" w:sz="8" w:color="CCEEFF"/>
            </w:tcBorders>
          </w:tcPr>
          <w:p>
            <w:pPr>
              <w:spacing w:after="0"/>
              <w:rPr>
                <w:sz w:val="20"/>
                <w:szCs w:val="20"/>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184.9</w:t>
            </w:r>
          </w:p>
        </w:tc>
      </w:tr>
      <w:tr>
        <w:trPr>
          <w:trHeight w:val="243"/>
        </w:trPr>
        <w:tc>
          <w:tcPr>
            <w:tcW w:w="6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EBITDA</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170.3</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470.1</w:t>
            </w:r>
          </w:p>
        </w:tc>
      </w:tr>
      <w:tr>
        <w:trPr>
          <w:trHeight w:val="224"/>
        </w:trPr>
        <w:tc>
          <w:tcPr>
            <w:tcW w:w="6600" w:type="dxa"/>
            <w:vAlign w:val="bottom"/>
          </w:tcPr>
          <w:p>
            <w:pPr>
              <w:ind w:left="220"/>
              <w:spacing w:after="0"/>
              <w:rPr>
                <w:sz w:val="20"/>
                <w:szCs w:val="20"/>
                <w:color w:val="auto"/>
              </w:rPr>
            </w:pPr>
            <w:r>
              <w:rPr>
                <w:rFonts w:ascii="Arial" w:cs="Arial" w:eastAsia="Arial" w:hAnsi="Arial"/>
                <w:sz w:val="16"/>
                <w:szCs w:val="16"/>
                <w:color w:val="auto"/>
              </w:rPr>
              <w:t>Add back:</w:t>
            </w:r>
          </w:p>
        </w:tc>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33"/>
        </w:trPr>
        <w:tc>
          <w:tcPr>
            <w:tcW w:w="66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43"/>
        </w:trPr>
        <w:tc>
          <w:tcPr>
            <w:tcW w:w="66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Loss on asset disposal</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24"/>
        </w:trPr>
        <w:tc>
          <w:tcPr>
            <w:tcW w:w="6600" w:type="dxa"/>
            <w:vAlign w:val="bottom"/>
          </w:tcPr>
          <w:p>
            <w:pPr>
              <w:ind w:left="440"/>
              <w:spacing w:after="0"/>
              <w:rPr>
                <w:sz w:val="20"/>
                <w:szCs w:val="20"/>
                <w:color w:val="auto"/>
              </w:rPr>
            </w:pPr>
            <w:r>
              <w:rPr>
                <w:rFonts w:ascii="Arial" w:cs="Arial" w:eastAsia="Arial" w:hAnsi="Arial"/>
                <w:sz w:val="16"/>
                <w:szCs w:val="16"/>
                <w:color w:val="auto"/>
              </w:rPr>
              <w:t>Impairment of long-lived assets and lease termination costs</w:t>
            </w:r>
          </w:p>
        </w:tc>
        <w:tc>
          <w:tcPr>
            <w:tcW w:w="1720" w:type="dxa"/>
            <w:vAlign w:val="bottom"/>
          </w:tcPr>
          <w:p>
            <w:pPr>
              <w:jc w:val="right"/>
              <w:spacing w:after="0"/>
              <w:rPr>
                <w:sz w:val="20"/>
                <w:szCs w:val="20"/>
                <w:color w:val="auto"/>
              </w:rPr>
            </w:pPr>
            <w:r>
              <w:rPr>
                <w:rFonts w:ascii="Arial" w:cs="Arial" w:eastAsia="Arial" w:hAnsi="Arial"/>
                <w:sz w:val="16"/>
                <w:szCs w:val="16"/>
                <w:color w:val="auto"/>
              </w:rPr>
              <w:t>—</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1.8</w:t>
            </w:r>
          </w:p>
        </w:tc>
      </w:tr>
      <w:tr>
        <w:trPr>
          <w:trHeight w:val="33"/>
        </w:trPr>
        <w:tc>
          <w:tcPr>
            <w:tcW w:w="66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43"/>
        </w:trPr>
        <w:tc>
          <w:tcPr>
            <w:tcW w:w="66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Share-based compensation</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23.1</w:t>
            </w:r>
          </w:p>
        </w:tc>
      </w:tr>
      <w:tr>
        <w:trPr>
          <w:trHeight w:val="233"/>
        </w:trPr>
        <w:tc>
          <w:tcPr>
            <w:tcW w:w="6600" w:type="dxa"/>
            <w:vAlign w:val="bottom"/>
          </w:tcPr>
          <w:p>
            <w:pPr>
              <w:ind w:left="440"/>
              <w:spacing w:after="0"/>
              <w:rPr>
                <w:sz w:val="20"/>
                <w:szCs w:val="20"/>
                <w:color w:val="auto"/>
              </w:rPr>
            </w:pPr>
            <w:r>
              <w:rPr>
                <w:rFonts w:ascii="Arial" w:cs="Arial" w:eastAsia="Arial" w:hAnsi="Arial"/>
                <w:sz w:val="16"/>
                <w:szCs w:val="16"/>
                <w:color w:val="auto"/>
              </w:rPr>
              <w:t>Merger and integration costs</w:t>
            </w:r>
          </w:p>
        </w:tc>
        <w:tc>
          <w:tcPr>
            <w:tcW w:w="1720" w:type="dxa"/>
            <w:vAlign w:val="bottom"/>
          </w:tcPr>
          <w:p>
            <w:pPr>
              <w:jc w:val="right"/>
              <w:spacing w:after="0"/>
              <w:rPr>
                <w:sz w:val="20"/>
                <w:szCs w:val="20"/>
                <w:color w:val="auto"/>
              </w:rPr>
            </w:pPr>
            <w:r>
              <w:rPr>
                <w:rFonts w:ascii="Arial" w:cs="Arial" w:eastAsia="Arial" w:hAnsi="Arial"/>
                <w:sz w:val="16"/>
                <w:szCs w:val="16"/>
                <w:color w:val="auto"/>
              </w:rPr>
              <w:t>2.6</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23.5</w:t>
            </w:r>
          </w:p>
        </w:tc>
      </w:tr>
      <w:tr>
        <w:trPr>
          <w:trHeight w:val="246"/>
        </w:trPr>
        <w:tc>
          <w:tcPr>
            <w:tcW w:w="66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Pre-opening costs</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16.3</w:t>
            </w:r>
          </w:p>
        </w:tc>
      </w:tr>
      <w:tr>
        <w:trPr>
          <w:trHeight w:val="233"/>
        </w:trPr>
        <w:tc>
          <w:tcPr>
            <w:tcW w:w="6600" w:type="dxa"/>
            <w:vAlign w:val="bottom"/>
          </w:tcPr>
          <w:p>
            <w:pPr>
              <w:ind w:left="440"/>
              <w:spacing w:after="0"/>
              <w:rPr>
                <w:sz w:val="20"/>
                <w:szCs w:val="20"/>
                <w:color w:val="auto"/>
              </w:rPr>
            </w:pPr>
            <w:r>
              <w:rPr>
                <w:rFonts w:ascii="Arial" w:cs="Arial" w:eastAsia="Arial" w:hAnsi="Arial"/>
                <w:sz w:val="16"/>
                <w:szCs w:val="16"/>
                <w:color w:val="auto"/>
              </w:rPr>
              <w:t>Entertainment revenue deferrals</w:t>
            </w:r>
          </w:p>
        </w:tc>
        <w:tc>
          <w:tcPr>
            <w:tcW w:w="1720" w:type="dxa"/>
            <w:vAlign w:val="bottom"/>
          </w:tcPr>
          <w:p>
            <w:pPr>
              <w:jc w:val="right"/>
              <w:spacing w:after="0"/>
              <w:rPr>
                <w:sz w:val="20"/>
                <w:szCs w:val="20"/>
                <w:color w:val="auto"/>
              </w:rPr>
            </w:pPr>
            <w:r>
              <w:rPr>
                <w:rFonts w:ascii="Arial" w:cs="Arial" w:eastAsia="Arial" w:hAnsi="Arial"/>
                <w:sz w:val="16"/>
                <w:szCs w:val="16"/>
                <w:color w:val="auto"/>
              </w:rPr>
              <w:t>4.7</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13.1</w:t>
            </w:r>
          </w:p>
        </w:tc>
      </w:tr>
      <w:tr>
        <w:trPr>
          <w:trHeight w:val="253"/>
        </w:trPr>
        <w:tc>
          <w:tcPr>
            <w:tcW w:w="66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 xml:space="preserve">Proforma Main Event adjustments </w:t>
            </w:r>
            <w:r>
              <w:rPr>
                <w:rFonts w:ascii="Arial" w:cs="Arial" w:eastAsia="Arial" w:hAnsi="Arial"/>
                <w:sz w:val="21"/>
                <w:szCs w:val="21"/>
                <w:color w:val="auto"/>
                <w:vertAlign w:val="superscript"/>
              </w:rPr>
              <w:t>(1)</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15.0</w:t>
            </w:r>
          </w:p>
        </w:tc>
      </w:tr>
      <w:tr>
        <w:trPr>
          <w:trHeight w:val="250"/>
        </w:trPr>
        <w:tc>
          <w:tcPr>
            <w:tcW w:w="660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Information systems implementation costs and other items</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tcPr>
          <w:p>
            <w:pPr>
              <w:spacing w:after="0"/>
              <w:rPr>
                <w:sz w:val="21"/>
                <w:szCs w:val="21"/>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r>
      <w:tr>
        <w:trPr>
          <w:trHeight w:val="263"/>
        </w:trPr>
        <w:tc>
          <w:tcPr>
            <w:tcW w:w="6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Credit Adjusted EBITDA, a non-GAAP measure</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$191.5</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$566.6</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calculates Net Total Leverage Ratio, as defined in our Credit Facility, as of and for the period indicated:</w:t>
      </w:r>
    </w:p>
    <w:p>
      <w:pPr>
        <w:spacing w:after="0" w:line="271" w:lineRule="exact"/>
        <w:rPr>
          <w:sz w:val="20"/>
          <w:szCs w:val="20"/>
          <w:color w:val="auto"/>
        </w:rPr>
      </w:pPr>
    </w:p>
    <w:tbl>
      <w:tblPr>
        <w:tblLayout w:type="fixed"/>
        <w:tblInd w:w="1440" w:type="dxa"/>
        <w:tblCellMar>
          <w:top w:w="0" w:type="dxa"/>
          <w:left w:w="0" w:type="dxa"/>
          <w:bottom w:w="0" w:type="dxa"/>
          <w:right w:w="0" w:type="dxa"/>
        </w:tblCellMar>
      </w:tblPr>
      <w:tr>
        <w:trPr>
          <w:trHeight w:val="175"/>
        </w:trPr>
        <w:tc>
          <w:tcPr>
            <w:tcW w:w="6580" w:type="dxa"/>
            <w:vAlign w:val="bottom"/>
          </w:tcPr>
          <w:p>
            <w:pPr>
              <w:spacing w:after="0"/>
              <w:rPr>
                <w:sz w:val="15"/>
                <w:szCs w:val="15"/>
                <w:color w:val="auto"/>
              </w:rPr>
            </w:pP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w w:val="95"/>
              </w:rPr>
              <w:t>As Of And For The Trailing</w:t>
            </w:r>
          </w:p>
        </w:tc>
      </w:tr>
      <w:tr>
        <w:trPr>
          <w:trHeight w:val="175"/>
        </w:trPr>
        <w:tc>
          <w:tcPr>
            <w:tcW w:w="6580" w:type="dxa"/>
            <w:vAlign w:val="bottom"/>
          </w:tcPr>
          <w:p>
            <w:pPr>
              <w:spacing w:after="0"/>
              <w:rPr>
                <w:sz w:val="15"/>
                <w:szCs w:val="15"/>
                <w:color w:val="auto"/>
              </w:rPr>
            </w:pP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w w:val="95"/>
              </w:rPr>
              <w:t>Four Quarters Ended April</w:t>
            </w:r>
          </w:p>
        </w:tc>
      </w:tr>
      <w:tr>
        <w:trPr>
          <w:trHeight w:val="186"/>
        </w:trPr>
        <w:tc>
          <w:tcPr>
            <w:tcW w:w="6580" w:type="dxa"/>
            <w:vAlign w:val="bottom"/>
          </w:tcPr>
          <w:p>
            <w:pPr>
              <w:spacing w:after="0"/>
              <w:rPr>
                <w:sz w:val="16"/>
                <w:szCs w:val="16"/>
                <w:color w:val="auto"/>
              </w:rPr>
            </w:pP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w w:val="91"/>
              </w:rPr>
              <w:t>30, 2023</w:t>
            </w:r>
          </w:p>
        </w:tc>
      </w:tr>
      <w:tr>
        <w:trPr>
          <w:trHeight w:val="39"/>
        </w:trPr>
        <w:tc>
          <w:tcPr>
            <w:tcW w:w="6580" w:type="dxa"/>
            <w:vAlign w:val="bottom"/>
            <w:tcBorders>
              <w:bottom w:val="single" w:sz="8" w:color="CCEEFF"/>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r>
      <w:tr>
        <w:trPr>
          <w:trHeight w:val="261"/>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Credit Adjusted EBITDA (a)</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$566.6</w:t>
            </w: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580" w:type="dxa"/>
            <w:vAlign w:val="bottom"/>
          </w:tcPr>
          <w:p>
            <w:pPr>
              <w:ind w:left="20"/>
              <w:spacing w:after="0" w:line="217" w:lineRule="exact"/>
              <w:rPr>
                <w:sz w:val="20"/>
                <w:szCs w:val="20"/>
                <w:color w:val="auto"/>
              </w:rPr>
            </w:pPr>
            <w:r>
              <w:rPr>
                <w:rFonts w:ascii="Arial" w:cs="Arial" w:eastAsia="Arial" w:hAnsi="Arial"/>
                <w:sz w:val="16"/>
                <w:szCs w:val="16"/>
                <w:color w:val="auto"/>
              </w:rPr>
              <w:t xml:space="preserve">Total debt </w:t>
            </w:r>
            <w:r>
              <w:rPr>
                <w:rFonts w:ascii="Arial" w:cs="Arial" w:eastAsia="Arial" w:hAnsi="Arial"/>
                <w:sz w:val="21"/>
                <w:szCs w:val="21"/>
                <w:color w:val="auto"/>
                <w:vertAlign w:val="superscript"/>
              </w:rPr>
              <w:t>(1)</w:t>
            </w:r>
          </w:p>
        </w:tc>
        <w:tc>
          <w:tcPr>
            <w:tcW w:w="1780" w:type="dxa"/>
            <w:vAlign w:val="bottom"/>
          </w:tcPr>
          <w:p>
            <w:pPr>
              <w:jc w:val="right"/>
              <w:spacing w:after="0"/>
              <w:rPr>
                <w:sz w:val="20"/>
                <w:szCs w:val="20"/>
                <w:color w:val="auto"/>
              </w:rPr>
            </w:pPr>
            <w:r>
              <w:rPr>
                <w:rFonts w:ascii="Arial" w:cs="Arial" w:eastAsia="Arial" w:hAnsi="Arial"/>
                <w:sz w:val="16"/>
                <w:szCs w:val="16"/>
                <w:color w:val="auto"/>
              </w:rPr>
              <w:t>$1,229.6</w:t>
            </w:r>
          </w:p>
        </w:tc>
      </w:tr>
      <w:tr>
        <w:trPr>
          <w:trHeight w:val="237"/>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Less: Cash and cash equivalents</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$(91.5)</w:t>
            </w:r>
          </w:p>
        </w:tc>
      </w:tr>
      <w:tr>
        <w:trPr>
          <w:trHeight w:val="236"/>
        </w:trPr>
        <w:tc>
          <w:tcPr>
            <w:tcW w:w="6580" w:type="dxa"/>
            <w:vAlign w:val="bottom"/>
          </w:tcPr>
          <w:p>
            <w:pPr>
              <w:ind w:left="20"/>
              <w:spacing w:after="0"/>
              <w:rPr>
                <w:sz w:val="20"/>
                <w:szCs w:val="20"/>
                <w:color w:val="auto"/>
              </w:rPr>
            </w:pPr>
            <w:r>
              <w:rPr>
                <w:rFonts w:ascii="Arial" w:cs="Arial" w:eastAsia="Arial" w:hAnsi="Arial"/>
                <w:sz w:val="16"/>
                <w:szCs w:val="16"/>
                <w:color w:val="auto"/>
              </w:rPr>
              <w:t>Add: Outstanding letters of credit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w:t>
            </w:r>
          </w:p>
        </w:tc>
      </w:tr>
      <w:tr>
        <w:trPr>
          <w:trHeight w:val="250"/>
        </w:trPr>
        <w:tc>
          <w:tcPr>
            <w:tcW w:w="65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Net debt (b)</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$1,147.9</w:t>
            </w:r>
          </w:p>
        </w:tc>
      </w:tr>
      <w:tr>
        <w:trPr>
          <w:trHeight w:val="243"/>
        </w:trPr>
        <w:tc>
          <w:tcPr>
            <w:tcW w:w="6580" w:type="dxa"/>
            <w:vAlign w:val="bottom"/>
          </w:tcPr>
          <w:p>
            <w:pPr>
              <w:ind w:left="20"/>
              <w:spacing w:after="0"/>
              <w:rPr>
                <w:sz w:val="20"/>
                <w:szCs w:val="20"/>
                <w:color w:val="auto"/>
              </w:rPr>
            </w:pPr>
            <w:r>
              <w:rPr>
                <w:rFonts w:ascii="Arial" w:cs="Arial" w:eastAsia="Arial" w:hAnsi="Arial"/>
                <w:sz w:val="16"/>
                <w:szCs w:val="16"/>
                <w:color w:val="auto"/>
              </w:rPr>
              <w:t>Net Total Leverage Ratio (b / a)</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 x</w:t>
            </w:r>
          </w:p>
        </w:tc>
      </w:tr>
      <w:tr>
        <w:trPr>
          <w:trHeight w:val="21"/>
        </w:trPr>
        <w:tc>
          <w:tcPr>
            <w:tcW w:w="658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ind w:left="1300" w:hanging="158"/>
        <w:spacing w:after="0"/>
        <w:tabs>
          <w:tab w:leader="none" w:pos="1300" w:val="left"/>
        </w:tabs>
        <w:numPr>
          <w:ilvl w:val="0"/>
          <w:numId w:val="8"/>
        </w:numPr>
        <w:rPr>
          <w:rFonts w:ascii="Arial" w:cs="Arial" w:eastAsia="Arial" w:hAnsi="Arial"/>
          <w:sz w:val="19"/>
          <w:szCs w:val="19"/>
          <w:color w:val="auto"/>
          <w:vertAlign w:val="superscript"/>
        </w:rPr>
      </w:pPr>
      <w:r>
        <w:rPr>
          <w:rFonts w:ascii="Arial" w:cs="Arial" w:eastAsia="Arial" w:hAnsi="Arial"/>
          <w:sz w:val="15"/>
          <w:szCs w:val="15"/>
          <w:color w:val="auto"/>
        </w:rPr>
        <w:t>Amount equals the face amount of debt outstanding less unamortized debt issuance costs and debt discount.</w:t>
      </w:r>
    </w:p>
    <w:p>
      <w:pPr>
        <w:spacing w:after="0" w:line="190"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Dividends and Share Repurchases</w:t>
      </w:r>
    </w:p>
    <w:p>
      <w:pPr>
        <w:spacing w:after="0" w:line="12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On March 27, 2023, our Board of Directors approved a share repurchase program with an authorization limit of $100.0 million, expiring at the end of fiscal 2023. During the thirteen weeks ended April 30, 2023, the Company repurchased the full amount of $100.0 million authorized under this program totaling 2.86 million shares at an average of $34.98 per share.</w:t>
      </w:r>
    </w:p>
    <w:p>
      <w:pPr>
        <w:spacing w:after="0" w:line="76"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On April 19, 2023, our Board of Directors approved a share repurchase program with an authorization limit of $200.0 million, expiring at the end of fiscal 2023. During the thirteen weeks ended April 30, 2023, the Company repurchased 0.75 million shares at an average of $34.18 per share. The remaining dollar value of shares that may be repurchased under the plan is $174.5 million.</w:t>
      </w:r>
    </w:p>
    <w:p>
      <w:pPr>
        <w:spacing w:after="0" w:line="76"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There were no dividends declared or paid during the thirteen weeks ended April 30, 2023. Future decisions to pay cash dividends or repurchase shares continue to be at the discretion of the Board of Directors and will be dependent on our operating performance, financial condition, capital expenditure requirements, compliance with debt agreements and other factors that the Board of Directors considers relevant.</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Cash and Cash Equivalents</w:t>
      </w:r>
    </w:p>
    <w:p>
      <w:pPr>
        <w:spacing w:after="0" w:line="121"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As of April 30, 2023, the Company had cash and cash equivalents of $91.5 million. The Company can operate with a working capital deficit because cash from sales is usually received before related liabilities for product supplies, labor and services become due. Our operations do not require significant inventory or receivables and we continually invest in our business through the growth of stores and operating improvement additions, which are reflected as non-current assets and not a part of working capital. Based on our current business plan, we believe our cash and cash equivalents combined with expected cash flows from operations, available borrowings under our revolving credit facility and expected payments from landlords should be sufficient not only for our operating requirements but also to enable us, in the aggregate, to finance our capital allocation strategy, including capital expenditures, through at least the next twelve months.</w:t>
      </w:r>
    </w:p>
    <w:p>
      <w:pPr>
        <w:spacing w:after="0" w:line="191"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Cash Flow Activity</w:t>
      </w:r>
    </w:p>
    <w:p>
      <w:pPr>
        <w:spacing w:after="0" w:line="229"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b w:val="1"/>
          <w:bCs w:val="1"/>
          <w:i w:val="1"/>
          <w:iCs w:val="1"/>
          <w:color w:val="auto"/>
        </w:rPr>
        <w:t xml:space="preserve">Operating Activities </w:t>
      </w:r>
      <w:r>
        <w:rPr>
          <w:rFonts w:ascii="Arial" w:cs="Arial" w:eastAsia="Arial" w:hAnsi="Arial"/>
          <w:sz w:val="17"/>
          <w:szCs w:val="17"/>
          <w:color w:val="auto"/>
        </w:rPr>
        <w:t>— Cash flow from operations typically provides us with a significant source of liquidity. Our operating cash flows result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primarily from cash received from our customers, offset by cash payments we make for products and services, team member compensation, operations, occupancy, and other operating costs. Cash from operating activities is also subject to changes in working capital. Working capital at any specific point in time is subject to many variables, including seasonality, the timing of cash receipts and payments, and vendor payment terms.</w:t>
      </w:r>
    </w:p>
    <w:p>
      <w:pPr>
        <w:spacing w:after="0" w:line="171"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Cash flow from operating activities decreased to $92.4 million in the thirteen weeks ended April 30, 2023 compared to $148.6 million for the thirteen weeks ended May 1, 2022 driven primarily by the receipt of a federal tax refund in the amount of approximately $33.2 million in the prior year and the timing changes in working capital, partially offset by 814 more store operating weeks. The increase in store operating weeks consisted of 714 weeks for the acquired and newly opened Main Event stores and 100 weeks for noncomparable Dave &amp; Buster's stores.</w:t>
      </w:r>
    </w:p>
    <w:p>
      <w:pPr>
        <w:spacing w:after="0" w:line="17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b w:val="1"/>
          <w:bCs w:val="1"/>
          <w:i w:val="1"/>
          <w:iCs w:val="1"/>
          <w:color w:val="auto"/>
        </w:rPr>
        <w:t xml:space="preserve">Investing Activities </w:t>
      </w:r>
      <w:r>
        <w:rPr>
          <w:rFonts w:ascii="Arial" w:cs="Arial" w:eastAsia="Arial" w:hAnsi="Arial"/>
          <w:sz w:val="18"/>
          <w:szCs w:val="18"/>
          <w:color w:val="auto"/>
        </w:rPr>
        <w:t>— Cash flow used in investing increased to $50.8 million in the thirteen weeks ended April 30, 2023 from $39.8 million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thirteen weeks ended May 1, 2022 primarily due to increased capital expenditures. See </w:t>
      </w:r>
      <w:r>
        <w:rPr>
          <w:rFonts w:ascii="Arial" w:cs="Arial" w:eastAsia="Arial" w:hAnsi="Arial"/>
          <w:sz w:val="18"/>
          <w:szCs w:val="18"/>
          <w:i w:val="1"/>
          <w:iCs w:val="1"/>
          <w:color w:val="auto"/>
        </w:rPr>
        <w:t>Capital Additions</w:t>
      </w:r>
      <w:r>
        <w:rPr>
          <w:rFonts w:ascii="Arial" w:cs="Arial" w:eastAsia="Arial" w:hAnsi="Arial"/>
          <w:sz w:val="18"/>
          <w:szCs w:val="18"/>
          <w:color w:val="auto"/>
        </w:rPr>
        <w:t xml:space="preserve"> above for further discussion of capital expenditures by category.</w:t>
      </w:r>
    </w:p>
    <w:p>
      <w:pPr>
        <w:spacing w:after="0" w:line="18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b w:val="1"/>
          <w:bCs w:val="1"/>
          <w:i w:val="1"/>
          <w:iCs w:val="1"/>
          <w:color w:val="auto"/>
        </w:rPr>
        <w:t xml:space="preserve">Financing Activities </w:t>
      </w:r>
      <w:r>
        <w:rPr>
          <w:rFonts w:ascii="Arial" w:cs="Arial" w:eastAsia="Arial" w:hAnsi="Arial"/>
          <w:sz w:val="18"/>
          <w:szCs w:val="18"/>
          <w:color w:val="auto"/>
        </w:rPr>
        <w:t>— Cash flow used in financing was $131.7 million in the thirteen weeks ended April 30, 2023 compared to cash flow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financing activities of $4.4 million in the thirteen weeks ended May 1, 2022. During the thirteen weeks ended April 30, 2023, the Company repurchased shares worth $126.9 million and made principal payments on its outstanding term loan of $4.3 million. During the thirteen weeks ended May 1, 2022, the Company received proceeds of $5.6 million related to exercises of stock options.</w:t>
      </w:r>
    </w:p>
    <w:p>
      <w:pPr>
        <w:spacing w:after="0" w:line="183"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There have been no material changes outside the ordinary course of business to our contractual obligations since January 29, 2023, as reported on Form 10-K filed with the SEC on March 28, 2023.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policies and estimates</w:t>
      </w:r>
    </w:p>
    <w:p>
      <w:pPr>
        <w:spacing w:after="0" w:line="117"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The preparation of financial statements in conformity with GAAP requires us to make estimates and judgments that affect the reported amounts of assets, liabilities, revenue and expenses, and disclosures of contingent assets and liabilities. These estimates and assumptions affect amounts of assets, liabilities, revenues and expenses and the disclosure of gain and loss contingencies at the date of the consolidated financial statements. Our current estimates are subject to change if different assumptions as to the outcome of future events were made. We evaluate our estimates and judgments on an ongoing basis, and we adjust our assumptions and judgments when facts and circumstances dictate. Since future events and their effects cannot be determined with absolute certainty, actual results may differ from the estimates we used in preparing the accompanying consolidated financial statements. A complete description of our critical accounting policies and estimates is included in our annual consolidated financial statements and the related notes in our Annual Report on Form 10-K for the fiscal year ended January 29, 2023.</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Refer to Note 1 to the Unaudited Consolidated Financial Statements for information regarding new accounting pronouncements.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Recent events</w:t>
      </w:r>
    </w:p>
    <w:p>
      <w:pPr>
        <w:spacing w:after="0" w:line="11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In fiscal 2023, through the filing of this quarterly report on Form 10-Q, the Company has repurchased 5.70 million shares representing 11.8% of the shares issued and outstanding as of January 29, 2023.</w:t>
      </w:r>
    </w:p>
    <w:p>
      <w:pPr>
        <w:spacing w:after="0" w:line="16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121"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We are exposed to market price fluctuation in food, beverage, supplies and other costs such as energy. Given the historical volatility of certain of our food product prices, including proteins, seafood, produce, dairy products, and cooking oil, these fluctuations can materially impact our food costs. While our purchasing commitments partially mitigate the risk of such fluctuations, there is no assurance that supply and demand factors such as disease or inclement weather will not cause the prices of the commodities used in our restaurant operations to fluctuate. Additionally, the cost of purchased materials may be influenced by tariffs and other trade regulations which are outside of our control. To the extent that we do not pass along cost increases to our customers, our results of operations may be adversely affected.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In the second quarter of fiscal 2022, the Company elected SOFR as the alternative base rate for outstanding borrowings on the Credit Facility, which is based on variable rates. As of April 30, 2023, the Company had no balance outstanding on our revolving facility and an outstanding balance of $843.6 million on the term loan facility. The impact on our annual results of operations of a hypothetical one percentage point interest rate change on the outstanding balance of the credit facility as of April 30, 2023 would be approximately $8.4 million.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12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Severe increases in inflation could affect the United States or global economies and have an adverse impact on our business, financial condition and results of operation. If several of the various costs in our business experience inflation at the same time, such as commodity price increases beyond our ability to control and increased labor costs, we may not be able to adjust prices to sufficiently offset the effect of the various cost increases without negatively impacting consumer demand.</w:t>
      </w:r>
    </w:p>
    <w:p>
      <w:pPr>
        <w:spacing w:after="0" w:line="18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Under the supervision and with the participation of our management, including the Chief Executive Officer and Chief Financial Officer, we have evaluated the effectiveness of our disclosure controls and procedures pursuant to Rules 13a-15 and 15d-15 promulgated under the Securities Exchange Act of 1934, as amended, as of the end of the period covered by this report. Based on that evaluation, the Chief Executive Officer and Chief Financial Officer have concluded that these disclosure controls and procedures are effective.</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There were no changes to our internal control over financial reporting practices or processes that materially affected, or are reasonably likely to materially affect, our internal control over financial reporting during our first quarter ended April 30, 2023. The Main Event Acquisition had a material impact on internal control over financial reporting. The Company will include Main Event in our evaluation of internal control over financial reporting for the fiscal year ending February 4, 2024.</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11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Information regarding legal proceedings is incorporated by reference from Note 7 to our Unaudited Consolidated Financial Statements set forth in Part I of this report.</w:t>
      </w:r>
    </w:p>
    <w:p>
      <w:pPr>
        <w:spacing w:after="0" w:line="166"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See discussion in “Risk Factors” in Item 1A of the Company's Annual Report on Form 10-K for the year ended January 29, 2023.</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Information regarding repurchase of our common stock, in millions, except share amounts, during the thirteen weeks ended April 30, 2023:</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300" w:type="dxa"/>
            <w:vAlign w:val="bottom"/>
          </w:tcPr>
          <w:p>
            <w:pPr>
              <w:jc w:val="center"/>
              <w:ind w:right="161"/>
              <w:spacing w:after="0"/>
              <w:rPr>
                <w:sz w:val="20"/>
                <w:szCs w:val="20"/>
                <w:color w:val="auto"/>
              </w:rPr>
            </w:pPr>
            <w:r>
              <w:rPr>
                <w:rFonts w:ascii="Arial" w:cs="Arial" w:eastAsia="Arial" w:hAnsi="Arial"/>
                <w:sz w:val="14"/>
                <w:szCs w:val="14"/>
                <w:b w:val="1"/>
                <w:bCs w:val="1"/>
                <w:color w:val="auto"/>
                <w:w w:val="94"/>
              </w:rPr>
              <w:t>Approximate Dollar Value of</w:t>
            </w:r>
          </w:p>
        </w:tc>
        <w:tc>
          <w:tcPr>
            <w:tcW w:w="0" w:type="dxa"/>
            <w:vAlign w:val="bottom"/>
          </w:tcPr>
          <w:p>
            <w:pPr>
              <w:spacing w:after="0"/>
              <w:rPr>
                <w:sz w:val="1"/>
                <w:szCs w:val="1"/>
                <w:color w:val="auto"/>
              </w:rPr>
            </w:pPr>
          </w:p>
        </w:tc>
      </w:tr>
      <w:tr>
        <w:trPr>
          <w:trHeight w:val="176"/>
        </w:trPr>
        <w:tc>
          <w:tcPr>
            <w:tcW w:w="3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5"/>
              </w:rPr>
              <w:t>Total Number</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w w:val="92"/>
              </w:rPr>
              <w:t>Total Number of Shares</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300" w:type="dxa"/>
            <w:vAlign w:val="bottom"/>
          </w:tcPr>
          <w:p>
            <w:pPr>
              <w:jc w:val="center"/>
              <w:ind w:right="161"/>
              <w:spacing w:after="0"/>
              <w:rPr>
                <w:sz w:val="20"/>
                <w:szCs w:val="20"/>
                <w:color w:val="auto"/>
              </w:rPr>
            </w:pPr>
            <w:r>
              <w:rPr>
                <w:rFonts w:ascii="Arial" w:cs="Arial" w:eastAsia="Arial" w:hAnsi="Arial"/>
                <w:sz w:val="14"/>
                <w:szCs w:val="14"/>
                <w:b w:val="1"/>
                <w:bCs w:val="1"/>
                <w:color w:val="auto"/>
                <w:w w:val="94"/>
              </w:rPr>
              <w:t>Shares That May Yet Be</w:t>
            </w:r>
          </w:p>
        </w:tc>
        <w:tc>
          <w:tcPr>
            <w:tcW w:w="0" w:type="dxa"/>
            <w:vAlign w:val="bottom"/>
          </w:tcPr>
          <w:p>
            <w:pPr>
              <w:spacing w:after="0"/>
              <w:rPr>
                <w:sz w:val="1"/>
                <w:szCs w:val="1"/>
                <w:color w:val="auto"/>
              </w:rPr>
            </w:pPr>
          </w:p>
        </w:tc>
      </w:tr>
      <w:tr>
        <w:trPr>
          <w:trHeight w:val="162"/>
        </w:trPr>
        <w:tc>
          <w:tcPr>
            <w:tcW w:w="3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0"/>
              </w:rPr>
              <w:t>of Shares</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w w:val="92"/>
              </w:rPr>
              <w:t>Repurchased as Part of Publicly</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00" w:type="dxa"/>
            <w:vAlign w:val="bottom"/>
          </w:tcPr>
          <w:p>
            <w:pPr>
              <w:jc w:val="center"/>
              <w:ind w:right="161"/>
              <w:spacing w:after="0"/>
              <w:rPr>
                <w:sz w:val="20"/>
                <w:szCs w:val="20"/>
                <w:color w:val="auto"/>
              </w:rPr>
            </w:pPr>
            <w:r>
              <w:rPr>
                <w:rFonts w:ascii="Arial" w:cs="Arial" w:eastAsia="Arial" w:hAnsi="Arial"/>
                <w:sz w:val="14"/>
                <w:szCs w:val="14"/>
                <w:b w:val="1"/>
                <w:bCs w:val="1"/>
                <w:color w:val="auto"/>
                <w:w w:val="92"/>
              </w:rPr>
              <w:t>Repurchased</w:t>
            </w:r>
          </w:p>
        </w:tc>
        <w:tc>
          <w:tcPr>
            <w:tcW w:w="0" w:type="dxa"/>
            <w:vAlign w:val="bottom"/>
          </w:tcPr>
          <w:p>
            <w:pPr>
              <w:spacing w:after="0"/>
              <w:rPr>
                <w:sz w:val="1"/>
                <w:szCs w:val="1"/>
                <w:color w:val="auto"/>
              </w:rPr>
            </w:pPr>
          </w:p>
        </w:tc>
      </w:tr>
      <w:tr>
        <w:trPr>
          <w:trHeight w:val="176"/>
        </w:trPr>
        <w:tc>
          <w:tcPr>
            <w:tcW w:w="33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xml:space="preserve">Period </w:t>
            </w:r>
            <w:r>
              <w:rPr>
                <w:rFonts w:ascii="Arial" w:cs="Arial" w:eastAsia="Arial" w:hAnsi="Arial"/>
                <w:sz w:val="18"/>
                <w:szCs w:val="18"/>
                <w:b w:val="1"/>
                <w:bCs w:val="1"/>
                <w:color w:val="auto"/>
                <w:vertAlign w:val="superscript"/>
              </w:rPr>
              <w:t>(1)</w:t>
            </w:r>
          </w:p>
        </w:tc>
        <w:tc>
          <w:tcPr>
            <w:tcW w:w="10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2"/>
              </w:rPr>
              <w:t>Repurchased</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right"/>
              <w:ind w:right="217"/>
              <w:spacing w:after="0"/>
              <w:rPr>
                <w:sz w:val="20"/>
                <w:szCs w:val="20"/>
                <w:color w:val="auto"/>
              </w:rPr>
            </w:pPr>
            <w:r>
              <w:rPr>
                <w:rFonts w:ascii="Arial" w:cs="Arial" w:eastAsia="Arial" w:hAnsi="Arial"/>
                <w:sz w:val="14"/>
                <w:szCs w:val="14"/>
                <w:b w:val="1"/>
                <w:bCs w:val="1"/>
                <w:color w:val="auto"/>
              </w:rPr>
              <w:t>Average Price</w:t>
            </w:r>
          </w:p>
        </w:tc>
        <w:tc>
          <w:tcPr>
            <w:tcW w:w="80" w:type="dxa"/>
            <w:vAlign w:val="bottom"/>
          </w:tcPr>
          <w:p>
            <w:pPr>
              <w:spacing w:after="0"/>
              <w:rPr>
                <w:sz w:val="15"/>
                <w:szCs w:val="15"/>
                <w:color w:val="auto"/>
              </w:rPr>
            </w:pP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w w:val="91"/>
              </w:rPr>
              <w:t xml:space="preserve">Announced Plans </w:t>
            </w:r>
            <w:r>
              <w:rPr>
                <w:rFonts w:ascii="Arial" w:cs="Arial" w:eastAsia="Arial" w:hAnsi="Arial"/>
                <w:sz w:val="9"/>
                <w:szCs w:val="9"/>
                <w:b w:val="1"/>
                <w:bCs w:val="1"/>
                <w:color w:val="auto"/>
                <w:w w:val="91"/>
              </w:rPr>
              <w:t>(2)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300" w:type="dxa"/>
            <w:vAlign w:val="bottom"/>
          </w:tcPr>
          <w:p>
            <w:pPr>
              <w:jc w:val="center"/>
              <w:ind w:right="181"/>
              <w:spacing w:after="0"/>
              <w:rPr>
                <w:sz w:val="20"/>
                <w:szCs w:val="20"/>
                <w:color w:val="auto"/>
              </w:rPr>
            </w:pPr>
            <w:r>
              <w:rPr>
                <w:rFonts w:ascii="Arial" w:cs="Arial" w:eastAsia="Arial" w:hAnsi="Arial"/>
                <w:sz w:val="14"/>
                <w:szCs w:val="14"/>
                <w:b w:val="1"/>
                <w:bCs w:val="1"/>
                <w:color w:val="auto"/>
                <w:w w:val="92"/>
              </w:rPr>
              <w:t xml:space="preserve">Under the Plans </w:t>
            </w:r>
            <w:r>
              <w:rPr>
                <w:rFonts w:ascii="Arial" w:cs="Arial" w:eastAsia="Arial" w:hAnsi="Arial"/>
                <w:sz w:val="9"/>
                <w:szCs w:val="9"/>
                <w:b w:val="1"/>
                <w:bCs w:val="1"/>
                <w:color w:val="auto"/>
                <w:w w:val="92"/>
              </w:rPr>
              <w:t>(3)</w:t>
            </w:r>
          </w:p>
        </w:tc>
        <w:tc>
          <w:tcPr>
            <w:tcW w:w="0" w:type="dxa"/>
            <w:vAlign w:val="bottom"/>
          </w:tcPr>
          <w:p>
            <w:pPr>
              <w:spacing w:after="0"/>
              <w:rPr>
                <w:sz w:val="1"/>
                <w:szCs w:val="1"/>
                <w:color w:val="auto"/>
              </w:rPr>
            </w:pPr>
          </w:p>
        </w:tc>
      </w:tr>
      <w:tr>
        <w:trPr>
          <w:trHeight w:val="225"/>
        </w:trPr>
        <w:tc>
          <w:tcPr>
            <w:tcW w:w="33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(in millions)</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w w:val="99"/>
              </w:rPr>
              <w:t>Paid per Share</w:t>
            </w:r>
          </w:p>
        </w:tc>
        <w:tc>
          <w:tcPr>
            <w:tcW w:w="80" w:type="dxa"/>
            <w:vAlign w:val="bottom"/>
            <w:tcBorders>
              <w:bottom w:val="single" w:sz="8" w:color="CCEEFF"/>
            </w:tcBorders>
          </w:tcPr>
          <w:p>
            <w:pPr>
              <w:spacing w:after="0"/>
              <w:rPr>
                <w:sz w:val="19"/>
                <w:szCs w:val="19"/>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(in millions)</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jc w:val="center"/>
              <w:ind w:right="161"/>
              <w:spacing w:after="0"/>
              <w:rPr>
                <w:sz w:val="20"/>
                <w:szCs w:val="20"/>
                <w:color w:val="auto"/>
              </w:rPr>
            </w:pPr>
            <w:r>
              <w:rPr>
                <w:rFonts w:ascii="Arial" w:cs="Arial" w:eastAsia="Arial" w:hAnsi="Arial"/>
                <w:sz w:val="14"/>
                <w:szCs w:val="14"/>
                <w:b w:val="1"/>
                <w:bCs w:val="1"/>
                <w:color w:val="auto"/>
                <w:w w:val="94"/>
              </w:rPr>
              <w:t>(in millions)</w:t>
            </w:r>
          </w:p>
        </w:tc>
        <w:tc>
          <w:tcPr>
            <w:tcW w:w="0" w:type="dxa"/>
            <w:vAlign w:val="bottom"/>
          </w:tcPr>
          <w:p>
            <w:pPr>
              <w:spacing w:after="0"/>
              <w:rPr>
                <w:sz w:val="1"/>
                <w:szCs w:val="1"/>
                <w:color w:val="auto"/>
              </w:rPr>
            </w:pPr>
          </w:p>
        </w:tc>
      </w:tr>
      <w:tr>
        <w:trPr>
          <w:trHeight w:val="243"/>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January 30 to February 26, 2023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3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20" w:type="dxa"/>
            <w:vAlign w:val="bottom"/>
          </w:tcPr>
          <w:p>
            <w:pPr>
              <w:ind w:left="20"/>
              <w:spacing w:after="0"/>
              <w:rPr>
                <w:sz w:val="20"/>
                <w:szCs w:val="20"/>
                <w:color w:val="auto"/>
              </w:rPr>
            </w:pPr>
            <w:r>
              <w:rPr>
                <w:rFonts w:ascii="Arial" w:cs="Arial" w:eastAsia="Arial" w:hAnsi="Arial"/>
                <w:sz w:val="18"/>
                <w:szCs w:val="18"/>
                <w:color w:val="auto"/>
              </w:rPr>
              <w:t>February 27 to April 2, 2023</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300" w:type="dxa"/>
            <w:vAlign w:val="bottom"/>
          </w:tcPr>
          <w:p>
            <w:pPr>
              <w:jc w:val="right"/>
              <w:ind w:right="1"/>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April 3 to April 30, 2023</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34.82</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30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174.5</w:t>
            </w:r>
          </w:p>
        </w:tc>
        <w:tc>
          <w:tcPr>
            <w:tcW w:w="0" w:type="dxa"/>
            <w:vAlign w:val="bottom"/>
          </w:tcPr>
          <w:p>
            <w:pPr>
              <w:spacing w:after="0"/>
              <w:rPr>
                <w:sz w:val="1"/>
                <w:szCs w:val="1"/>
                <w:color w:val="auto"/>
              </w:rPr>
            </w:pPr>
          </w:p>
        </w:tc>
      </w:tr>
      <w:tr>
        <w:trPr>
          <w:trHeight w:val="27"/>
        </w:trPr>
        <w:tc>
          <w:tcPr>
            <w:tcW w:w="3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3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500" w:hanging="492"/>
        <w:spacing w:after="0" w:line="227" w:lineRule="auto"/>
        <w:tabs>
          <w:tab w:leader="none" w:pos="500"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The Company uses a "4-5-4" calendar to determine the months in each quarter. The periods presented represent the 4 weeks, 5 weeks, and 4 weeks making up the thirteen week quarter ending April 30, 2023.</w:t>
      </w:r>
    </w:p>
    <w:p>
      <w:pPr>
        <w:jc w:val="both"/>
        <w:ind w:left="500" w:hanging="492"/>
        <w:spacing w:after="0" w:line="234" w:lineRule="auto"/>
        <w:tabs>
          <w:tab w:leader="none" w:pos="500"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Our Board of Directors approved share repurchase programs in March and April of 2023 (see further discussion at Note 8), under which the Company may repurchase shares on the open market, through privately negotiated transactions, and through trading plans designed to comply with Rule 10b5-1 of the Securities Exchange Act of 1934, as amended. The share repurchase program may be modified, suspended or discontinued at any time.</w:t>
      </w:r>
    </w:p>
    <w:p>
      <w:pPr>
        <w:ind w:left="500" w:hanging="492"/>
        <w:spacing w:after="0" w:line="196" w:lineRule="auto"/>
        <w:tabs>
          <w:tab w:leader="none" w:pos="500"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Based on total share repurchase authorizations in effect at the end of each period presented.</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520" w:type="dxa"/>
            <w:vAlign w:val="bottom"/>
            <w:gridSpan w:val="10"/>
          </w:tcPr>
          <w:p>
            <w:pPr>
              <w:spacing w:after="0"/>
              <w:rPr>
                <w:sz w:val="20"/>
                <w:szCs w:val="20"/>
                <w:color w:val="auto"/>
              </w:rPr>
            </w:pPr>
            <w:r>
              <w:rPr>
                <w:rFonts w:ascii="Arial" w:cs="Arial" w:eastAsia="Arial" w:hAnsi="Arial"/>
                <w:sz w:val="18"/>
                <w:szCs w:val="18"/>
                <w:b w:val="1"/>
                <w:bCs w:val="1"/>
                <w:color w:val="auto"/>
              </w:rPr>
              <w:t>Exhibits</w:t>
            </w:r>
          </w:p>
        </w:tc>
      </w:tr>
      <w:tr>
        <w:trPr>
          <w:trHeight w:val="423"/>
        </w:trPr>
        <w:tc>
          <w:tcPr>
            <w:tcW w:w="720" w:type="dxa"/>
            <w:vAlign w:val="bottom"/>
          </w:tcPr>
          <w:p>
            <w:pPr>
              <w:ind w:left="20"/>
              <w:spacing w:after="0"/>
              <w:rPr>
                <w:sz w:val="20"/>
                <w:szCs w:val="20"/>
                <w:color w:val="auto"/>
              </w:rPr>
            </w:pPr>
            <w:r>
              <w:rPr>
                <w:rFonts w:ascii="Arial" w:cs="Arial" w:eastAsia="Arial" w:hAnsi="Arial"/>
                <w:sz w:val="14"/>
                <w:szCs w:val="14"/>
                <w:b w:val="1"/>
                <w:bCs w:val="1"/>
                <w:color w:val="auto"/>
              </w:rPr>
              <w:t>Exhibit</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86"/>
        </w:trPr>
        <w:tc>
          <w:tcPr>
            <w:tcW w:w="720" w:type="dxa"/>
            <w:vAlign w:val="bottom"/>
          </w:tcPr>
          <w:p>
            <w:pPr>
              <w:ind w:left="20"/>
              <w:spacing w:after="0"/>
              <w:rPr>
                <w:sz w:val="20"/>
                <w:szCs w:val="20"/>
                <w:color w:val="auto"/>
              </w:rPr>
            </w:pPr>
            <w:r>
              <w:rPr>
                <w:rFonts w:ascii="Arial" w:cs="Arial" w:eastAsia="Arial" w:hAnsi="Arial"/>
                <w:sz w:val="14"/>
                <w:szCs w:val="14"/>
                <w:b w:val="1"/>
                <w:bCs w:val="1"/>
                <w:color w:val="auto"/>
              </w:rPr>
              <w:t>Number</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80" w:type="dxa"/>
            <w:vAlign w:val="bottom"/>
            <w:gridSpan w:val="7"/>
          </w:tcPr>
          <w:p>
            <w:pPr>
              <w:spacing w:after="0"/>
              <w:rPr>
                <w:sz w:val="20"/>
                <w:szCs w:val="20"/>
                <w:color w:val="auto"/>
              </w:rPr>
            </w:pPr>
            <w:r>
              <w:rPr>
                <w:rFonts w:ascii="Arial" w:cs="Arial" w:eastAsia="Arial" w:hAnsi="Arial"/>
                <w:sz w:val="14"/>
                <w:szCs w:val="14"/>
                <w:b w:val="1"/>
                <w:bCs w:val="1"/>
                <w:color w:val="auto"/>
              </w:rPr>
              <w:t>Description</w:t>
            </w:r>
          </w:p>
        </w:tc>
      </w:tr>
      <w:tr>
        <w:trPr>
          <w:trHeight w:val="39"/>
        </w:trPr>
        <w:tc>
          <w:tcPr>
            <w:tcW w:w="7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3020" w:type="dxa"/>
            <w:vAlign w:val="bottom"/>
            <w:tcBorders>
              <w:bottom w:val="single" w:sz="8" w:color="auto"/>
            </w:tcBorders>
          </w:tcPr>
          <w:p>
            <w:pPr>
              <w:spacing w:after="0"/>
              <w:rPr>
                <w:sz w:val="3"/>
                <w:szCs w:val="3"/>
                <w:color w:val="auto"/>
              </w:rPr>
            </w:pPr>
          </w:p>
        </w:tc>
        <w:tc>
          <w:tcPr>
            <w:tcW w:w="62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r>
      <w:tr>
        <w:trPr>
          <w:trHeight w:val="236"/>
        </w:trPr>
        <w:tc>
          <w:tcPr>
            <w:tcW w:w="720" w:type="dxa"/>
            <w:vAlign w:val="bottom"/>
          </w:tcPr>
          <w:p>
            <w:pPr>
              <w:ind w:left="20"/>
              <w:spacing w:after="0"/>
              <w:rPr>
                <w:sz w:val="20"/>
                <w:szCs w:val="20"/>
                <w:color w:val="auto"/>
              </w:rPr>
            </w:pPr>
            <w:r>
              <w:rPr>
                <w:rFonts w:ascii="Arial" w:cs="Arial" w:eastAsia="Arial" w:hAnsi="Arial"/>
                <w:sz w:val="18"/>
                <w:szCs w:val="18"/>
                <w:color w:val="auto"/>
              </w:rPr>
              <w:t>31.1*</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6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2"/>
              </w:rPr>
              <w:t>Certification of Christopher Morris, Chief Executive Officer of the Registrant, pursuant to 17 CFR 240.13a-14(a) or 17 CFR 240.15d-</w:t>
            </w:r>
          </w:p>
        </w:tc>
        <w:tc>
          <w:tcPr>
            <w:tcW w:w="420" w:type="dxa"/>
            <w:vAlign w:val="bottom"/>
            <w:gridSpan w:val="4"/>
          </w:tcPr>
          <w:p>
            <w:pPr>
              <w:spacing w:after="0"/>
              <w:rPr>
                <w:sz w:val="20"/>
                <w:szCs w:val="20"/>
                <w:color w:val="auto"/>
              </w:rPr>
            </w:pPr>
          </w:p>
        </w:tc>
      </w:tr>
      <w:tr>
        <w:trPr>
          <w:trHeight w:val="196"/>
        </w:trPr>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Borders>
              <w:bottom w:val="single" w:sz="8" w:color="0000FF"/>
            </w:tcBorders>
          </w:tcPr>
          <w:p>
            <w:pPr>
              <w:spacing w:after="0" w:line="196" w:lineRule="exact"/>
              <w:rPr>
                <w:sz w:val="20"/>
                <w:szCs w:val="20"/>
                <w:color w:val="auto"/>
              </w:rPr>
            </w:pPr>
            <w:r>
              <w:rPr>
                <w:rFonts w:ascii="Arial" w:cs="Arial" w:eastAsia="Arial" w:hAnsi="Arial"/>
                <w:sz w:val="18"/>
                <w:szCs w:val="18"/>
                <w:color w:val="0000FF"/>
                <w:w w:val="89"/>
              </w:rPr>
              <w:t>14(a).</w:t>
            </w:r>
          </w:p>
        </w:tc>
        <w:tc>
          <w:tcPr>
            <w:tcW w:w="9640" w:type="dxa"/>
            <w:vAlign w:val="bottom"/>
            <w:gridSpan w:val="6"/>
          </w:tcPr>
          <w:p>
            <w:pPr>
              <w:spacing w:after="0"/>
              <w:rPr>
                <w:sz w:val="17"/>
                <w:szCs w:val="17"/>
                <w:color w:val="auto"/>
              </w:rPr>
            </w:pPr>
          </w:p>
        </w:tc>
      </w:tr>
      <w:tr>
        <w:trPr>
          <w:trHeight w:val="304"/>
        </w:trPr>
        <w:tc>
          <w:tcPr>
            <w:tcW w:w="720" w:type="dxa"/>
            <w:vAlign w:val="bottom"/>
          </w:tcPr>
          <w:p>
            <w:pPr>
              <w:ind w:left="20"/>
              <w:spacing w:after="0"/>
              <w:rPr>
                <w:sz w:val="20"/>
                <w:szCs w:val="20"/>
                <w:color w:val="auto"/>
              </w:rPr>
            </w:pPr>
            <w:r>
              <w:rPr>
                <w:rFonts w:ascii="Arial" w:cs="Arial" w:eastAsia="Arial" w:hAnsi="Arial"/>
                <w:sz w:val="18"/>
                <w:szCs w:val="18"/>
                <w:color w:val="auto"/>
              </w:rPr>
              <w:t>31.2*</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2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2"/>
              </w:rPr>
              <w:t>Certification of Michael A. Quartieri, Chief Financial Officer of the Registrant, pursuant to 17 CFR 240.13a-14(a) or 17 CFR 240.15d-</w:t>
            </w:r>
          </w:p>
        </w:tc>
        <w:tc>
          <w:tcPr>
            <w:tcW w:w="360" w:type="dxa"/>
            <w:vAlign w:val="bottom"/>
            <w:gridSpan w:val="3"/>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Borders>
              <w:bottom w:val="single" w:sz="8" w:color="0000FF"/>
            </w:tcBorders>
          </w:tcPr>
          <w:p>
            <w:pPr>
              <w:spacing w:after="0" w:line="196" w:lineRule="exact"/>
              <w:rPr>
                <w:sz w:val="20"/>
                <w:szCs w:val="20"/>
                <w:color w:val="auto"/>
              </w:rPr>
            </w:pPr>
            <w:r>
              <w:rPr>
                <w:rFonts w:ascii="Arial" w:cs="Arial" w:eastAsia="Arial" w:hAnsi="Arial"/>
                <w:sz w:val="18"/>
                <w:szCs w:val="18"/>
                <w:color w:val="0000FF"/>
                <w:w w:val="89"/>
              </w:rPr>
              <w:t>14(a).</w:t>
            </w:r>
          </w:p>
        </w:tc>
        <w:tc>
          <w:tcPr>
            <w:tcW w:w="9640" w:type="dxa"/>
            <w:vAlign w:val="bottom"/>
            <w:gridSpan w:val="6"/>
          </w:tcPr>
          <w:p>
            <w:pPr>
              <w:spacing w:after="0"/>
              <w:rPr>
                <w:sz w:val="17"/>
                <w:szCs w:val="17"/>
                <w:color w:val="auto"/>
              </w:rPr>
            </w:pPr>
          </w:p>
        </w:tc>
      </w:tr>
      <w:tr>
        <w:trPr>
          <w:trHeight w:val="304"/>
        </w:trPr>
        <w:tc>
          <w:tcPr>
            <w:tcW w:w="720" w:type="dxa"/>
            <w:vAlign w:val="bottom"/>
          </w:tcPr>
          <w:p>
            <w:pPr>
              <w:ind w:left="20"/>
              <w:spacing w:after="0"/>
              <w:rPr>
                <w:sz w:val="20"/>
                <w:szCs w:val="20"/>
                <w:color w:val="auto"/>
              </w:rPr>
            </w:pPr>
            <w:r>
              <w:rPr>
                <w:rFonts w:ascii="Arial" w:cs="Arial" w:eastAsia="Arial" w:hAnsi="Arial"/>
                <w:sz w:val="18"/>
                <w:szCs w:val="18"/>
                <w:color w:val="auto"/>
              </w:rPr>
              <w:t>32.1*</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80" w:type="dxa"/>
            <w:vAlign w:val="bottom"/>
            <w:gridSpan w:val="7"/>
          </w:tcPr>
          <w:p>
            <w:pPr>
              <w:spacing w:after="0"/>
              <w:rPr>
                <w:sz w:val="20"/>
                <w:szCs w:val="20"/>
                <w:color w:val="auto"/>
              </w:rPr>
            </w:pPr>
            <w:r>
              <w:rPr>
                <w:rFonts w:ascii="Arial" w:cs="Arial" w:eastAsia="Arial" w:hAnsi="Arial"/>
                <w:sz w:val="18"/>
                <w:szCs w:val="18"/>
                <w:color w:val="0000FF"/>
                <w:w w:val="92"/>
              </w:rPr>
              <w:t>Certification of Christopher Morris, Chief Executive Officer of the Registrant, pursuant to 18 U.S.C. Section 1350, as adopted pursuant to</w:t>
            </w:r>
          </w:p>
        </w:tc>
      </w:tr>
      <w:tr>
        <w:trPr>
          <w:trHeight w:val="196"/>
        </w:trPr>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60" w:type="dxa"/>
            <w:vAlign w:val="bottom"/>
            <w:tcBorders>
              <w:top w:val="single" w:sz="8" w:color="0000FF"/>
              <w:bottom w:val="single" w:sz="8" w:color="0000FF"/>
            </w:tcBorders>
            <w:gridSpan w:val="2"/>
          </w:tcPr>
          <w:p>
            <w:pPr>
              <w:spacing w:after="0" w:line="196" w:lineRule="exact"/>
              <w:rPr>
                <w:sz w:val="20"/>
                <w:szCs w:val="20"/>
                <w:color w:val="auto"/>
              </w:rPr>
            </w:pPr>
            <w:r>
              <w:rPr>
                <w:rFonts w:ascii="Arial" w:cs="Arial" w:eastAsia="Arial" w:hAnsi="Arial"/>
                <w:sz w:val="18"/>
                <w:szCs w:val="18"/>
                <w:color w:val="0000FF"/>
                <w:w w:val="90"/>
              </w:rPr>
              <w:t>Section 906 of the Sarbanes-Oxley Act of 2002.</w:t>
            </w:r>
          </w:p>
        </w:tc>
        <w:tc>
          <w:tcPr>
            <w:tcW w:w="6480" w:type="dxa"/>
            <w:vAlign w:val="bottom"/>
            <w:tcBorders>
              <w:top w:val="single" w:sz="8" w:color="0000FF"/>
            </w:tcBorders>
            <w:gridSpan w:val="3"/>
          </w:tcPr>
          <w:p>
            <w:pPr>
              <w:spacing w:after="0"/>
              <w:rPr>
                <w:sz w:val="17"/>
                <w:szCs w:val="17"/>
                <w:color w:val="auto"/>
              </w:rPr>
            </w:pPr>
          </w:p>
        </w:tc>
        <w:tc>
          <w:tcPr>
            <w:tcW w:w="140" w:type="dxa"/>
            <w:vAlign w:val="bottom"/>
            <w:gridSpan w:val="2"/>
          </w:tcPr>
          <w:p>
            <w:pPr>
              <w:spacing w:after="0"/>
              <w:rPr>
                <w:sz w:val="17"/>
                <w:szCs w:val="17"/>
                <w:color w:val="auto"/>
              </w:rPr>
            </w:pPr>
          </w:p>
        </w:tc>
      </w:tr>
      <w:tr>
        <w:trPr>
          <w:trHeight w:val="304"/>
        </w:trPr>
        <w:tc>
          <w:tcPr>
            <w:tcW w:w="720" w:type="dxa"/>
            <w:vAlign w:val="bottom"/>
          </w:tcPr>
          <w:p>
            <w:pPr>
              <w:ind w:left="20"/>
              <w:spacing w:after="0"/>
              <w:rPr>
                <w:sz w:val="20"/>
                <w:szCs w:val="20"/>
                <w:color w:val="auto"/>
              </w:rPr>
            </w:pPr>
            <w:r>
              <w:rPr>
                <w:rFonts w:ascii="Arial" w:cs="Arial" w:eastAsia="Arial" w:hAnsi="Arial"/>
                <w:sz w:val="18"/>
                <w:szCs w:val="18"/>
                <w:color w:val="auto"/>
              </w:rPr>
              <w:t>32.2*</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80" w:type="dxa"/>
            <w:vAlign w:val="bottom"/>
            <w:gridSpan w:val="7"/>
          </w:tcPr>
          <w:p>
            <w:pPr>
              <w:spacing w:after="0"/>
              <w:rPr>
                <w:sz w:val="20"/>
                <w:szCs w:val="20"/>
                <w:color w:val="auto"/>
              </w:rPr>
            </w:pPr>
            <w:r>
              <w:rPr>
                <w:rFonts w:ascii="Arial" w:cs="Arial" w:eastAsia="Arial" w:hAnsi="Arial"/>
                <w:sz w:val="18"/>
                <w:szCs w:val="18"/>
                <w:color w:val="0000FF"/>
                <w:w w:val="92"/>
              </w:rPr>
              <w:t>Certification of Michael A. Quartieri, Chief Financial Officer of the Registrant, pursuant to 18 U.S.C. Section 1350, as adopted pursuant to</w:t>
            </w:r>
          </w:p>
        </w:tc>
      </w:tr>
      <w:tr>
        <w:trPr>
          <w:trHeight w:val="196"/>
        </w:trPr>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60" w:type="dxa"/>
            <w:vAlign w:val="bottom"/>
            <w:tcBorders>
              <w:top w:val="single" w:sz="8" w:color="0000FF"/>
              <w:bottom w:val="single" w:sz="8" w:color="0000FF"/>
            </w:tcBorders>
            <w:gridSpan w:val="2"/>
          </w:tcPr>
          <w:p>
            <w:pPr>
              <w:spacing w:after="0" w:line="196" w:lineRule="exact"/>
              <w:rPr>
                <w:sz w:val="20"/>
                <w:szCs w:val="20"/>
                <w:color w:val="auto"/>
              </w:rPr>
            </w:pPr>
            <w:r>
              <w:rPr>
                <w:rFonts w:ascii="Arial" w:cs="Arial" w:eastAsia="Arial" w:hAnsi="Arial"/>
                <w:sz w:val="18"/>
                <w:szCs w:val="18"/>
                <w:color w:val="0000FF"/>
                <w:w w:val="90"/>
              </w:rPr>
              <w:t>Section 906 of the Sarbanes-Oxley Act of 2002.</w:t>
            </w:r>
          </w:p>
        </w:tc>
        <w:tc>
          <w:tcPr>
            <w:tcW w:w="6540" w:type="dxa"/>
            <w:vAlign w:val="bottom"/>
            <w:tcBorders>
              <w:top w:val="single" w:sz="8" w:color="0000FF"/>
            </w:tcBorders>
            <w:gridSpan w:val="4"/>
          </w:tcPr>
          <w:p>
            <w:pPr>
              <w:spacing w:after="0"/>
              <w:rPr>
                <w:sz w:val="17"/>
                <w:szCs w:val="17"/>
                <w:color w:val="auto"/>
              </w:rPr>
            </w:pPr>
          </w:p>
        </w:tc>
        <w:tc>
          <w:tcPr>
            <w:tcW w:w="80" w:type="dxa"/>
            <w:vAlign w:val="bottom"/>
          </w:tcPr>
          <w:p>
            <w:pPr>
              <w:spacing w:after="0"/>
              <w:rPr>
                <w:sz w:val="17"/>
                <w:szCs w:val="17"/>
                <w:color w:val="auto"/>
              </w:rPr>
            </w:pPr>
          </w:p>
        </w:tc>
      </w:tr>
      <w:tr>
        <w:trPr>
          <w:trHeight w:val="330"/>
        </w:trPr>
        <w:tc>
          <w:tcPr>
            <w:tcW w:w="720" w:type="dxa"/>
            <w:vAlign w:val="bottom"/>
          </w:tcPr>
          <w:p>
            <w:pPr>
              <w:ind w:left="20"/>
              <w:spacing w:after="0"/>
              <w:rPr>
                <w:sz w:val="20"/>
                <w:szCs w:val="20"/>
                <w:color w:val="auto"/>
              </w:rPr>
            </w:pPr>
            <w:r>
              <w:rPr>
                <w:rFonts w:ascii="Arial" w:cs="Arial" w:eastAsia="Arial" w:hAnsi="Arial"/>
                <w:sz w:val="18"/>
                <w:szCs w:val="18"/>
                <w:color w:val="auto"/>
              </w:rPr>
              <w:t>101.INS</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80" w:type="dxa"/>
            <w:vAlign w:val="bottom"/>
            <w:gridSpan w:val="7"/>
          </w:tcPr>
          <w:p>
            <w:pPr>
              <w:spacing w:after="0"/>
              <w:rPr>
                <w:sz w:val="20"/>
                <w:szCs w:val="20"/>
                <w:color w:val="auto"/>
              </w:rPr>
            </w:pPr>
            <w:r>
              <w:rPr>
                <w:rFonts w:ascii="Arial" w:cs="Arial" w:eastAsia="Arial" w:hAnsi="Arial"/>
                <w:sz w:val="18"/>
                <w:szCs w:val="18"/>
                <w:color w:val="auto"/>
                <w:w w:val="94"/>
              </w:rPr>
              <w:t>Inline XBRL Inline Instance Document—the instance document does not appear in the Interactive Data File because its XBRL tags are</w:t>
            </w:r>
          </w:p>
        </w:tc>
      </w:tr>
      <w:tr>
        <w:trPr>
          <w:trHeight w:val="230"/>
        </w:trPr>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80" w:type="dxa"/>
            <w:vAlign w:val="bottom"/>
            <w:gridSpan w:val="7"/>
          </w:tcPr>
          <w:p>
            <w:pPr>
              <w:spacing w:after="0"/>
              <w:rPr>
                <w:sz w:val="20"/>
                <w:szCs w:val="20"/>
                <w:color w:val="auto"/>
              </w:rPr>
            </w:pPr>
            <w:r>
              <w:rPr>
                <w:rFonts w:ascii="Arial" w:cs="Arial" w:eastAsia="Arial" w:hAnsi="Arial"/>
                <w:sz w:val="18"/>
                <w:szCs w:val="18"/>
                <w:color w:val="auto"/>
              </w:rPr>
              <w:t>embedded within the Inline XBRL document</w:t>
            </w:r>
          </w:p>
        </w:tc>
      </w:tr>
      <w:tr>
        <w:trPr>
          <w:trHeight w:val="324"/>
        </w:trPr>
        <w:tc>
          <w:tcPr>
            <w:tcW w:w="720" w:type="dxa"/>
            <w:vAlign w:val="bottom"/>
          </w:tcPr>
          <w:p>
            <w:pPr>
              <w:ind w:left="20"/>
              <w:spacing w:after="0"/>
              <w:rPr>
                <w:sz w:val="20"/>
                <w:szCs w:val="20"/>
                <w:color w:val="auto"/>
              </w:rPr>
            </w:pPr>
            <w:r>
              <w:rPr>
                <w:rFonts w:ascii="Arial" w:cs="Arial" w:eastAsia="Arial" w:hAnsi="Arial"/>
                <w:sz w:val="18"/>
                <w:szCs w:val="18"/>
                <w:color w:val="auto"/>
                <w:w w:val="93"/>
              </w:rPr>
              <w:t>101.SCH</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80" w:type="dxa"/>
            <w:vAlign w:val="bottom"/>
            <w:gridSpan w:val="7"/>
          </w:tcPr>
          <w:p>
            <w:pPr>
              <w:spacing w:after="0"/>
              <w:rPr>
                <w:sz w:val="20"/>
                <w:szCs w:val="20"/>
                <w:color w:val="auto"/>
              </w:rPr>
            </w:pPr>
            <w:r>
              <w:rPr>
                <w:rFonts w:ascii="Arial" w:cs="Arial" w:eastAsia="Arial" w:hAnsi="Arial"/>
                <w:sz w:val="18"/>
                <w:szCs w:val="18"/>
                <w:color w:val="auto"/>
              </w:rPr>
              <w:t>Inline XBRL Inline Taxonomy Extension Schema Document</w:t>
            </w:r>
          </w:p>
        </w:tc>
      </w:tr>
      <w:tr>
        <w:trPr>
          <w:trHeight w:val="324"/>
        </w:trPr>
        <w:tc>
          <w:tcPr>
            <w:tcW w:w="720" w:type="dxa"/>
            <w:vAlign w:val="bottom"/>
          </w:tcPr>
          <w:p>
            <w:pPr>
              <w:ind w:left="20"/>
              <w:spacing w:after="0"/>
              <w:rPr>
                <w:sz w:val="20"/>
                <w:szCs w:val="20"/>
                <w:color w:val="auto"/>
              </w:rPr>
            </w:pPr>
            <w:r>
              <w:rPr>
                <w:rFonts w:ascii="Arial" w:cs="Arial" w:eastAsia="Arial" w:hAnsi="Arial"/>
                <w:sz w:val="18"/>
                <w:szCs w:val="18"/>
                <w:color w:val="auto"/>
                <w:w w:val="97"/>
              </w:rPr>
              <w:t>101.CAL</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80" w:type="dxa"/>
            <w:vAlign w:val="bottom"/>
            <w:gridSpan w:val="7"/>
          </w:tcPr>
          <w:p>
            <w:pPr>
              <w:spacing w:after="0"/>
              <w:rPr>
                <w:sz w:val="20"/>
                <w:szCs w:val="20"/>
                <w:color w:val="auto"/>
              </w:rPr>
            </w:pPr>
            <w:r>
              <w:rPr>
                <w:rFonts w:ascii="Arial" w:cs="Arial" w:eastAsia="Arial" w:hAnsi="Arial"/>
                <w:sz w:val="18"/>
                <w:szCs w:val="18"/>
                <w:color w:val="auto"/>
              </w:rPr>
              <w:t>Inline XBRL Inline Taxonomy Extension Calculation Linkbase Document</w:t>
            </w:r>
          </w:p>
        </w:tc>
      </w:tr>
      <w:tr>
        <w:trPr>
          <w:trHeight w:val="324"/>
        </w:trPr>
        <w:tc>
          <w:tcPr>
            <w:tcW w:w="720" w:type="dxa"/>
            <w:vAlign w:val="bottom"/>
          </w:tcPr>
          <w:p>
            <w:pPr>
              <w:ind w:left="20"/>
              <w:spacing w:after="0"/>
              <w:rPr>
                <w:sz w:val="20"/>
                <w:szCs w:val="20"/>
                <w:color w:val="auto"/>
              </w:rPr>
            </w:pPr>
            <w:r>
              <w:rPr>
                <w:rFonts w:ascii="Arial" w:cs="Arial" w:eastAsia="Arial" w:hAnsi="Arial"/>
                <w:sz w:val="18"/>
                <w:szCs w:val="18"/>
                <w:color w:val="auto"/>
                <w:w w:val="95"/>
              </w:rPr>
              <w:t>101.DEF</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80" w:type="dxa"/>
            <w:vAlign w:val="bottom"/>
            <w:gridSpan w:val="7"/>
          </w:tcPr>
          <w:p>
            <w:pPr>
              <w:spacing w:after="0"/>
              <w:rPr>
                <w:sz w:val="20"/>
                <w:szCs w:val="20"/>
                <w:color w:val="auto"/>
              </w:rPr>
            </w:pPr>
            <w:r>
              <w:rPr>
                <w:rFonts w:ascii="Arial" w:cs="Arial" w:eastAsia="Arial" w:hAnsi="Arial"/>
                <w:sz w:val="18"/>
                <w:szCs w:val="18"/>
                <w:color w:val="auto"/>
              </w:rPr>
              <w:t>Inline XBRL Inline Taxonomy Extension Definition Linkbase Document</w:t>
            </w:r>
          </w:p>
        </w:tc>
      </w:tr>
      <w:tr>
        <w:trPr>
          <w:trHeight w:val="324"/>
        </w:trPr>
        <w:tc>
          <w:tcPr>
            <w:tcW w:w="720" w:type="dxa"/>
            <w:vAlign w:val="bottom"/>
          </w:tcPr>
          <w:p>
            <w:pPr>
              <w:ind w:left="20"/>
              <w:spacing w:after="0"/>
              <w:rPr>
                <w:sz w:val="20"/>
                <w:szCs w:val="20"/>
                <w:color w:val="auto"/>
              </w:rPr>
            </w:pPr>
            <w:r>
              <w:rPr>
                <w:rFonts w:ascii="Arial" w:cs="Arial" w:eastAsia="Arial" w:hAnsi="Arial"/>
                <w:sz w:val="18"/>
                <w:szCs w:val="18"/>
                <w:color w:val="auto"/>
                <w:w w:val="98"/>
              </w:rPr>
              <w:t>101.LAB</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80" w:type="dxa"/>
            <w:vAlign w:val="bottom"/>
            <w:gridSpan w:val="7"/>
          </w:tcPr>
          <w:p>
            <w:pPr>
              <w:spacing w:after="0"/>
              <w:rPr>
                <w:sz w:val="20"/>
                <w:szCs w:val="20"/>
                <w:color w:val="auto"/>
              </w:rPr>
            </w:pPr>
            <w:r>
              <w:rPr>
                <w:rFonts w:ascii="Arial" w:cs="Arial" w:eastAsia="Arial" w:hAnsi="Arial"/>
                <w:sz w:val="18"/>
                <w:szCs w:val="18"/>
                <w:color w:val="auto"/>
              </w:rPr>
              <w:t>Inline XBRL Inline Taxonomy Extension Label Linkbase Document</w:t>
            </w:r>
          </w:p>
        </w:tc>
      </w:tr>
      <w:tr>
        <w:trPr>
          <w:trHeight w:val="324"/>
        </w:trPr>
        <w:tc>
          <w:tcPr>
            <w:tcW w:w="720" w:type="dxa"/>
            <w:vAlign w:val="bottom"/>
          </w:tcPr>
          <w:p>
            <w:pPr>
              <w:ind w:left="20"/>
              <w:spacing w:after="0"/>
              <w:rPr>
                <w:sz w:val="20"/>
                <w:szCs w:val="20"/>
                <w:color w:val="auto"/>
              </w:rPr>
            </w:pPr>
            <w:r>
              <w:rPr>
                <w:rFonts w:ascii="Arial" w:cs="Arial" w:eastAsia="Arial" w:hAnsi="Arial"/>
                <w:sz w:val="18"/>
                <w:szCs w:val="18"/>
                <w:color w:val="auto"/>
                <w:w w:val="94"/>
              </w:rPr>
              <w:t>101.PRE</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80" w:type="dxa"/>
            <w:vAlign w:val="bottom"/>
            <w:gridSpan w:val="7"/>
          </w:tcPr>
          <w:p>
            <w:pPr>
              <w:spacing w:after="0"/>
              <w:rPr>
                <w:sz w:val="20"/>
                <w:szCs w:val="20"/>
                <w:color w:val="auto"/>
              </w:rPr>
            </w:pPr>
            <w:r>
              <w:rPr>
                <w:rFonts w:ascii="Arial" w:cs="Arial" w:eastAsia="Arial" w:hAnsi="Arial"/>
                <w:sz w:val="18"/>
                <w:szCs w:val="18"/>
                <w:color w:val="auto"/>
              </w:rPr>
              <w:t>Inline XBRL Inline Taxonomy Extension Presentation Linkbase Document</w:t>
            </w:r>
          </w:p>
        </w:tc>
      </w:tr>
      <w:tr>
        <w:trPr>
          <w:trHeight w:val="324"/>
        </w:trPr>
        <w:tc>
          <w:tcPr>
            <w:tcW w:w="720" w:type="dxa"/>
            <w:vAlign w:val="bottom"/>
          </w:tcPr>
          <w:p>
            <w:pPr>
              <w:ind w:left="20"/>
              <w:spacing w:after="0"/>
              <w:rPr>
                <w:sz w:val="20"/>
                <w:szCs w:val="20"/>
                <w:color w:val="auto"/>
              </w:rPr>
            </w:pPr>
            <w:r>
              <w:rPr>
                <w:rFonts w:ascii="Arial" w:cs="Arial" w:eastAsia="Arial" w:hAnsi="Arial"/>
                <w:sz w:val="18"/>
                <w:szCs w:val="18"/>
                <w:color w:val="auto"/>
              </w:rPr>
              <w:t>104</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80" w:type="dxa"/>
            <w:vAlign w:val="bottom"/>
            <w:gridSpan w:val="7"/>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w:t>
      </w:r>
    </w:p>
    <w:p>
      <w:pPr>
        <w:spacing w:after="0" w:line="23" w:lineRule="exact"/>
        <w:rPr>
          <w:sz w:val="20"/>
          <w:szCs w:val="20"/>
          <w:color w:val="auto"/>
        </w:rPr>
      </w:pPr>
    </w:p>
    <w:p>
      <w:pPr>
        <w:ind w:left="500" w:hanging="492"/>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Filed herein</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24"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3360" w:type="dxa"/>
            <w:vAlign w:val="bottom"/>
          </w:tcPr>
          <w:p>
            <w:pPr>
              <w:spacing w:after="0"/>
              <w:rPr>
                <w:sz w:val="18"/>
                <w:szCs w:val="18"/>
                <w:color w:val="auto"/>
              </w:rPr>
            </w:pPr>
          </w:p>
        </w:tc>
        <w:tc>
          <w:tcPr>
            <w:tcW w:w="7840" w:type="dxa"/>
            <w:vAlign w:val="bottom"/>
            <w:gridSpan w:val="2"/>
          </w:tcPr>
          <w:p>
            <w:pPr>
              <w:ind w:left="2020"/>
              <w:spacing w:after="0"/>
              <w:rPr>
                <w:sz w:val="20"/>
                <w:szCs w:val="20"/>
                <w:color w:val="auto"/>
              </w:rPr>
            </w:pPr>
            <w:r>
              <w:rPr>
                <w:rFonts w:ascii="Arial" w:cs="Arial" w:eastAsia="Arial" w:hAnsi="Arial"/>
                <w:sz w:val="18"/>
                <w:szCs w:val="18"/>
                <w:color w:val="auto"/>
              </w:rPr>
              <w:t>DAVE &amp; BUSTER’S ENTERTAINMENT, INC.,</w:t>
            </w:r>
          </w:p>
        </w:tc>
      </w:tr>
      <w:tr>
        <w:trPr>
          <w:trHeight w:val="230"/>
        </w:trPr>
        <w:tc>
          <w:tcPr>
            <w:tcW w:w="3360" w:type="dxa"/>
            <w:vAlign w:val="bottom"/>
          </w:tcPr>
          <w:p>
            <w:pPr>
              <w:spacing w:after="0"/>
              <w:rPr>
                <w:sz w:val="20"/>
                <w:szCs w:val="20"/>
                <w:color w:val="auto"/>
              </w:rPr>
            </w:pPr>
          </w:p>
        </w:tc>
        <w:tc>
          <w:tcPr>
            <w:tcW w:w="7840" w:type="dxa"/>
            <w:vAlign w:val="bottom"/>
            <w:gridSpan w:val="2"/>
          </w:tcPr>
          <w:p>
            <w:pPr>
              <w:ind w:left="2020"/>
              <w:spacing w:after="0"/>
              <w:rPr>
                <w:sz w:val="20"/>
                <w:szCs w:val="20"/>
                <w:color w:val="auto"/>
              </w:rPr>
            </w:pPr>
            <w:r>
              <w:rPr>
                <w:rFonts w:ascii="Arial" w:cs="Arial" w:eastAsia="Arial" w:hAnsi="Arial"/>
                <w:sz w:val="18"/>
                <w:szCs w:val="18"/>
                <w:color w:val="auto"/>
              </w:rPr>
              <w:t>a Delaware corporation</w:t>
            </w:r>
          </w:p>
        </w:tc>
      </w:tr>
      <w:tr>
        <w:trPr>
          <w:trHeight w:val="560"/>
        </w:trPr>
        <w:tc>
          <w:tcPr>
            <w:tcW w:w="3360" w:type="dxa"/>
            <w:vAlign w:val="bottom"/>
          </w:tcPr>
          <w:p>
            <w:pPr>
              <w:spacing w:after="0"/>
              <w:rPr>
                <w:sz w:val="20"/>
                <w:szCs w:val="20"/>
                <w:color w:val="auto"/>
              </w:rPr>
            </w:pPr>
            <w:r>
              <w:rPr>
                <w:rFonts w:ascii="Arial" w:cs="Arial" w:eastAsia="Arial" w:hAnsi="Arial"/>
                <w:sz w:val="18"/>
                <w:szCs w:val="18"/>
                <w:color w:val="auto"/>
              </w:rPr>
              <w:t>Date: June 6, 2023</w:t>
            </w:r>
          </w:p>
        </w:tc>
        <w:tc>
          <w:tcPr>
            <w:tcW w:w="2480" w:type="dxa"/>
            <w:vAlign w:val="bottom"/>
          </w:tcPr>
          <w:p>
            <w:pPr>
              <w:ind w:left="2020"/>
              <w:spacing w:after="0"/>
              <w:rPr>
                <w:sz w:val="20"/>
                <w:szCs w:val="20"/>
                <w:color w:val="auto"/>
              </w:rPr>
            </w:pPr>
            <w:r>
              <w:rPr>
                <w:rFonts w:ascii="Arial" w:cs="Arial" w:eastAsia="Arial" w:hAnsi="Arial"/>
                <w:sz w:val="18"/>
                <w:szCs w:val="18"/>
                <w:color w:val="auto"/>
              </w:rPr>
              <w:t>By:</w:t>
            </w:r>
          </w:p>
        </w:tc>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Christopher Morris</w:t>
            </w:r>
          </w:p>
        </w:tc>
      </w:tr>
      <w:tr>
        <w:trPr>
          <w:trHeight w:val="243"/>
        </w:trPr>
        <w:tc>
          <w:tcPr>
            <w:tcW w:w="336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Christopher Morris</w:t>
            </w:r>
          </w:p>
        </w:tc>
      </w:tr>
      <w:tr>
        <w:trPr>
          <w:trHeight w:val="270"/>
        </w:trPr>
        <w:tc>
          <w:tcPr>
            <w:tcW w:w="3360" w:type="dxa"/>
            <w:vAlign w:val="bottom"/>
          </w:tcPr>
          <w:p>
            <w:pPr>
              <w:spacing w:after="0"/>
              <w:rPr>
                <w:sz w:val="23"/>
                <w:szCs w:val="23"/>
                <w:color w:val="auto"/>
              </w:rPr>
            </w:pPr>
          </w:p>
        </w:tc>
        <w:tc>
          <w:tcPr>
            <w:tcW w:w="2480" w:type="dxa"/>
            <w:vAlign w:val="bottom"/>
          </w:tcPr>
          <w:p>
            <w:pPr>
              <w:spacing w:after="0"/>
              <w:rPr>
                <w:sz w:val="23"/>
                <w:szCs w:val="23"/>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561"/>
        </w:trPr>
        <w:tc>
          <w:tcPr>
            <w:tcW w:w="3360" w:type="dxa"/>
            <w:vAlign w:val="bottom"/>
          </w:tcPr>
          <w:p>
            <w:pPr>
              <w:spacing w:after="0"/>
              <w:rPr>
                <w:sz w:val="20"/>
                <w:szCs w:val="20"/>
                <w:color w:val="auto"/>
              </w:rPr>
            </w:pPr>
            <w:r>
              <w:rPr>
                <w:rFonts w:ascii="Arial" w:cs="Arial" w:eastAsia="Arial" w:hAnsi="Arial"/>
                <w:sz w:val="18"/>
                <w:szCs w:val="18"/>
                <w:color w:val="auto"/>
              </w:rPr>
              <w:t>Date: June 6, 2023</w:t>
            </w:r>
          </w:p>
        </w:tc>
        <w:tc>
          <w:tcPr>
            <w:tcW w:w="2480" w:type="dxa"/>
            <w:vAlign w:val="bottom"/>
          </w:tcPr>
          <w:p>
            <w:pPr>
              <w:ind w:left="2020"/>
              <w:spacing w:after="0"/>
              <w:rPr>
                <w:sz w:val="20"/>
                <w:szCs w:val="20"/>
                <w:color w:val="auto"/>
              </w:rPr>
            </w:pPr>
            <w:r>
              <w:rPr>
                <w:rFonts w:ascii="Arial" w:cs="Arial" w:eastAsia="Arial" w:hAnsi="Arial"/>
                <w:sz w:val="18"/>
                <w:szCs w:val="18"/>
                <w:color w:val="auto"/>
              </w:rPr>
              <w:t>By:</w:t>
            </w:r>
          </w:p>
        </w:tc>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Michael A. Quartieri</w:t>
            </w:r>
          </w:p>
        </w:tc>
      </w:tr>
      <w:tr>
        <w:trPr>
          <w:trHeight w:val="243"/>
        </w:trPr>
        <w:tc>
          <w:tcPr>
            <w:tcW w:w="336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Michael A. Quartieri</w:t>
            </w:r>
          </w:p>
        </w:tc>
      </w:tr>
      <w:tr>
        <w:trPr>
          <w:trHeight w:val="270"/>
        </w:trPr>
        <w:tc>
          <w:tcPr>
            <w:tcW w:w="3360" w:type="dxa"/>
            <w:vAlign w:val="bottom"/>
          </w:tcPr>
          <w:p>
            <w:pPr>
              <w:spacing w:after="0"/>
              <w:rPr>
                <w:sz w:val="23"/>
                <w:szCs w:val="23"/>
                <w:color w:val="auto"/>
              </w:rPr>
            </w:pPr>
          </w:p>
        </w:tc>
        <w:tc>
          <w:tcPr>
            <w:tcW w:w="2480" w:type="dxa"/>
            <w:vAlign w:val="bottom"/>
          </w:tcPr>
          <w:p>
            <w:pPr>
              <w:spacing w:after="0"/>
              <w:rPr>
                <w:sz w:val="23"/>
                <w:szCs w:val="23"/>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932"/>
        </w:trPr>
        <w:tc>
          <w:tcPr>
            <w:tcW w:w="3360" w:type="dxa"/>
            <w:vAlign w:val="bottom"/>
          </w:tcPr>
          <w:p>
            <w:pPr>
              <w:spacing w:after="0"/>
              <w:rPr>
                <w:sz w:val="24"/>
                <w:szCs w:val="24"/>
                <w:color w:val="auto"/>
              </w:rPr>
            </w:pPr>
          </w:p>
        </w:tc>
        <w:tc>
          <w:tcPr>
            <w:tcW w:w="2480" w:type="dxa"/>
            <w:vAlign w:val="bottom"/>
          </w:tcPr>
          <w:p>
            <w:pPr>
              <w:ind w:left="2160"/>
              <w:spacing w:after="0"/>
              <w:rPr>
                <w:sz w:val="20"/>
                <w:szCs w:val="20"/>
                <w:color w:val="auto"/>
              </w:rPr>
            </w:pPr>
            <w:r>
              <w:rPr>
                <w:rFonts w:ascii="Arial" w:cs="Arial" w:eastAsia="Arial" w:hAnsi="Arial"/>
                <w:sz w:val="18"/>
                <w:szCs w:val="18"/>
                <w:color w:val="auto"/>
              </w:rPr>
              <w:t>29</w:t>
            </w:r>
          </w:p>
        </w:tc>
        <w:tc>
          <w:tcPr>
            <w:tcW w:w="5360" w:type="dxa"/>
            <w:vAlign w:val="bottom"/>
          </w:tcPr>
          <w:p>
            <w:pPr>
              <w:spacing w:after="0"/>
              <w:rPr>
                <w:sz w:val="24"/>
                <w:szCs w:val="24"/>
                <w:color w:val="auto"/>
              </w:rPr>
            </w:pPr>
          </w:p>
        </w:tc>
      </w:tr>
    </w:tbl>
    <w:p>
      <w:pPr>
        <w:sectPr>
          <w:pgSz w:w="11900" w:h="16838" w:orient="portrait"/>
          <w:cols w:equalWidth="0" w:num="1">
            <w:col w:w="11220"/>
          </w:cols>
          <w:pgMar w:left="320" w:top="125" w:right="35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Christopher Morris, Chief Executive Officer of Dave &amp; Buster’s Entertainment, Inc., certify that:</w:t>
      </w:r>
    </w:p>
    <w:p>
      <w:pPr>
        <w:spacing w:after="0" w:line="225"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Dave &amp; Buster’s Entertainment, Inc.;</w:t>
      </w:r>
    </w:p>
    <w:p>
      <w:pPr>
        <w:spacing w:after="0" w:line="225"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40" w:hanging="332"/>
        <w:spacing w:after="0" w:line="263"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660" w:right="380" w:hanging="328"/>
        <w:spacing w:after="0" w:line="263" w:lineRule="auto"/>
        <w:tabs>
          <w:tab w:leader="none" w:pos="6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660" w:right="60" w:hanging="328"/>
        <w:spacing w:after="0" w:line="263" w:lineRule="auto"/>
        <w:tabs>
          <w:tab w:leader="none" w:pos="6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660" w:right="860" w:hanging="328"/>
        <w:spacing w:after="0" w:line="342" w:lineRule="auto"/>
        <w:tabs>
          <w:tab w:leader="none" w:pos="660"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60" w:right="440" w:hanging="328"/>
        <w:spacing w:after="0" w:line="342" w:lineRule="auto"/>
        <w:tabs>
          <w:tab w:leader="none" w:pos="660" w:val="left"/>
        </w:tabs>
        <w:numPr>
          <w:ilvl w:val="1"/>
          <w:numId w:val="1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third fiscal quarter that has materially affected, or is reasonably likely to materially affect, the registrant’s internal control over financial reporting; and</w:t>
      </w:r>
    </w:p>
    <w:p>
      <w:pPr>
        <w:spacing w:after="0" w:line="123" w:lineRule="exact"/>
        <w:rPr>
          <w:rFonts w:ascii="Arial" w:cs="Arial" w:eastAsia="Arial" w:hAnsi="Arial"/>
          <w:sz w:val="16"/>
          <w:szCs w:val="16"/>
          <w:color w:val="auto"/>
        </w:rPr>
      </w:pPr>
    </w:p>
    <w:p>
      <w:pPr>
        <w:ind w:left="340" w:right="320" w:hanging="332"/>
        <w:spacing w:after="0" w:line="308" w:lineRule="auto"/>
        <w:tabs>
          <w:tab w:leader="none" w:pos="3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46" w:lineRule="exact"/>
        <w:rPr>
          <w:rFonts w:ascii="Arial" w:cs="Arial" w:eastAsia="Arial" w:hAnsi="Arial"/>
          <w:sz w:val="17"/>
          <w:szCs w:val="17"/>
          <w:color w:val="auto"/>
        </w:rPr>
      </w:pPr>
    </w:p>
    <w:p>
      <w:pPr>
        <w:ind w:left="660" w:right="280" w:hanging="328"/>
        <w:spacing w:after="0" w:line="277" w:lineRule="auto"/>
        <w:tabs>
          <w:tab w:leader="none" w:pos="6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240" w:hanging="328"/>
        <w:spacing w:after="0" w:line="277" w:lineRule="auto"/>
        <w:tabs>
          <w:tab w:leader="none" w:pos="6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ind w:left="20"/>
        <w:spacing w:after="0"/>
        <w:tabs>
          <w:tab w:leader="none" w:pos="5620" w:val="left"/>
        </w:tabs>
        <w:rPr>
          <w:sz w:val="20"/>
          <w:szCs w:val="20"/>
          <w:color w:val="auto"/>
        </w:rPr>
      </w:pPr>
      <w:r>
        <w:rPr>
          <w:rFonts w:ascii="Arial" w:cs="Arial" w:eastAsia="Arial" w:hAnsi="Arial"/>
          <w:sz w:val="18"/>
          <w:szCs w:val="18"/>
          <w:color w:val="auto"/>
        </w:rPr>
        <w:t>Date: June 6, 2023</w:t>
      </w:r>
      <w:r>
        <w:rPr>
          <w:sz w:val="20"/>
          <w:szCs w:val="20"/>
          <w:color w:val="auto"/>
        </w:rPr>
        <w:tab/>
      </w:r>
      <w:r>
        <w:rPr>
          <w:rFonts w:ascii="Arial" w:cs="Arial" w:eastAsia="Arial" w:hAnsi="Arial"/>
          <w:sz w:val="16"/>
          <w:szCs w:val="16"/>
          <w:color w:val="auto"/>
        </w:rPr>
        <w:t>/s/ Christopher Morris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1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Christopher Morris</w:t>
      </w:r>
    </w:p>
    <w:p>
      <w:pPr>
        <w:spacing w:after="0" w:line="3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147" w:right="3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Michael A. Quartieri, Chief Financial Officer of Dave &amp; Buster’s Entertainment, Inc., certify that:</w:t>
      </w:r>
    </w:p>
    <w:p>
      <w:pPr>
        <w:spacing w:after="0" w:line="225"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Dave &amp; Buster’s Entertainment, Inc.;</w:t>
      </w:r>
    </w:p>
    <w:p>
      <w:pPr>
        <w:spacing w:after="0" w:line="225"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40" w:hanging="332"/>
        <w:spacing w:after="0" w:line="263"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660" w:right="380" w:hanging="328"/>
        <w:spacing w:after="0" w:line="263" w:lineRule="auto"/>
        <w:tabs>
          <w:tab w:leader="none" w:pos="6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660" w:right="60" w:hanging="328"/>
        <w:spacing w:after="0" w:line="263" w:lineRule="auto"/>
        <w:tabs>
          <w:tab w:leader="none" w:pos="6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660" w:right="860" w:hanging="328"/>
        <w:spacing w:after="0" w:line="342" w:lineRule="auto"/>
        <w:tabs>
          <w:tab w:leader="none" w:pos="660"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60" w:right="440" w:hanging="328"/>
        <w:spacing w:after="0" w:line="342" w:lineRule="auto"/>
        <w:tabs>
          <w:tab w:leader="none" w:pos="660" w:val="left"/>
        </w:tabs>
        <w:numPr>
          <w:ilvl w:val="1"/>
          <w:numId w:val="1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third fiscal quarter that has materially affected, or is reasonably likely to materially affect, the registrant’s internal control over financial reporting; and</w:t>
      </w:r>
    </w:p>
    <w:p>
      <w:pPr>
        <w:spacing w:after="0" w:line="123" w:lineRule="exact"/>
        <w:rPr>
          <w:rFonts w:ascii="Arial" w:cs="Arial" w:eastAsia="Arial" w:hAnsi="Arial"/>
          <w:sz w:val="16"/>
          <w:szCs w:val="16"/>
          <w:color w:val="auto"/>
        </w:rPr>
      </w:pPr>
    </w:p>
    <w:p>
      <w:pPr>
        <w:ind w:left="340" w:right="320" w:hanging="332"/>
        <w:spacing w:after="0" w:line="308" w:lineRule="auto"/>
        <w:tabs>
          <w:tab w:leader="none" w:pos="3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46" w:lineRule="exact"/>
        <w:rPr>
          <w:rFonts w:ascii="Arial" w:cs="Arial" w:eastAsia="Arial" w:hAnsi="Arial"/>
          <w:sz w:val="17"/>
          <w:szCs w:val="17"/>
          <w:color w:val="auto"/>
        </w:rPr>
      </w:pPr>
    </w:p>
    <w:p>
      <w:pPr>
        <w:ind w:left="660" w:right="280" w:hanging="328"/>
        <w:spacing w:after="0" w:line="277" w:lineRule="auto"/>
        <w:tabs>
          <w:tab w:leader="none" w:pos="6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240" w:hanging="328"/>
        <w:spacing w:after="0" w:line="277" w:lineRule="auto"/>
        <w:tabs>
          <w:tab w:leader="none" w:pos="6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ind w:left="20"/>
        <w:spacing w:after="0"/>
        <w:tabs>
          <w:tab w:leader="none" w:pos="5620" w:val="left"/>
        </w:tabs>
        <w:rPr>
          <w:sz w:val="20"/>
          <w:szCs w:val="20"/>
          <w:color w:val="auto"/>
        </w:rPr>
      </w:pPr>
      <w:r>
        <w:rPr>
          <w:rFonts w:ascii="Arial" w:cs="Arial" w:eastAsia="Arial" w:hAnsi="Arial"/>
          <w:sz w:val="18"/>
          <w:szCs w:val="18"/>
          <w:color w:val="auto"/>
        </w:rPr>
        <w:t>Date: June 6, 2023</w:t>
      </w:r>
      <w:r>
        <w:rPr>
          <w:sz w:val="20"/>
          <w:szCs w:val="20"/>
          <w:color w:val="auto"/>
        </w:rPr>
        <w:tab/>
      </w:r>
      <w:r>
        <w:rPr>
          <w:rFonts w:ascii="Arial" w:cs="Arial" w:eastAsia="Arial" w:hAnsi="Arial"/>
          <w:sz w:val="17"/>
          <w:szCs w:val="17"/>
          <w:color w:val="auto"/>
        </w:rPr>
        <w:t>/s/ Michael A. Quartieri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1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Michael A. Quartieri</w:t>
      </w:r>
    </w:p>
    <w:p>
      <w:pPr>
        <w:spacing w:after="0" w:line="3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147" w:right="3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right="280" w:firstLine="648"/>
        <w:spacing w:after="0" w:line="263" w:lineRule="auto"/>
        <w:rPr>
          <w:sz w:val="20"/>
          <w:szCs w:val="20"/>
          <w:color w:val="auto"/>
        </w:rPr>
      </w:pPr>
      <w:r>
        <w:rPr>
          <w:rFonts w:ascii="Arial" w:cs="Arial" w:eastAsia="Arial" w:hAnsi="Arial"/>
          <w:sz w:val="18"/>
          <w:szCs w:val="18"/>
          <w:color w:val="auto"/>
        </w:rPr>
        <w:t>In connection with the Quarterly Report of Dave &amp; Buster’s Entertainment, Inc. (the “Company”) on Form 10-Q for the period ended April 30, 2023 as filed with the Securities and Exchange Commission on the date hereof (the “Report”), I, Christopher Morris, Chief Executive Officer of the Company, certify, pursuant to 18 U.S.C. Section 1350, that:</w:t>
      </w:r>
    </w:p>
    <w:p>
      <w:pPr>
        <w:spacing w:after="0" w:line="184"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Report fully complies with the applicable requirements of Section 13(a) or 15(d), as applicable, of the Securities Exchange Act of 1934; and</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 June 6, 2023</w:t>
      </w:r>
    </w:p>
    <w:p>
      <w:pPr>
        <w:spacing w:after="0" w:line="5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Christopher Morris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Christopher Morris</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147"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right="280" w:firstLine="648"/>
        <w:spacing w:after="0" w:line="263" w:lineRule="auto"/>
        <w:rPr>
          <w:sz w:val="20"/>
          <w:szCs w:val="20"/>
          <w:color w:val="auto"/>
        </w:rPr>
      </w:pPr>
      <w:r>
        <w:rPr>
          <w:rFonts w:ascii="Arial" w:cs="Arial" w:eastAsia="Arial" w:hAnsi="Arial"/>
          <w:sz w:val="18"/>
          <w:szCs w:val="18"/>
          <w:color w:val="auto"/>
        </w:rPr>
        <w:t>In connection with the Quarterly Report of Dave &amp; Buster’s Entertainment, Inc. (the “Company”) on Form 10-Q for the period ended April 30, 2023 as filed with the Securities and Exchange Commission on the date hereof (the “Report”), I, Michael A. Quartieri, Chief Financial Officer of the Company, certify, pursuant to 18 U.S.C. Section 1350, that:</w:t>
      </w:r>
    </w:p>
    <w:p>
      <w:pPr>
        <w:spacing w:after="0" w:line="184"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Report fully complies with the applicable requirements of Section 13(a) or 15(d), as applicable, of the Securities Exchange Act of 1934; and</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 June 6, 2023</w:t>
      </w:r>
    </w:p>
    <w:p>
      <w:pPr>
        <w:spacing w:after="0" w:line="5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Michael A. Quartieri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Michael A. Quartieri</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40"/>
      </w:cols>
      <w:pgMar w:left="320" w:top="11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x"/>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decimal"/>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1)"/>
      <w:numFmt w:val="decimal"/>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1)"/>
      <w:numFmt w:val="decimal"/>
      <w:start w:val="1"/>
    </w:lvl>
  </w:abstractNum>
  <w:abstractNum w:abstractNumId="8">
    <w:nsid w:val="1190CDE7"/>
    <w:multiLevelType w:val="hybridMultilevel"/>
    <w:lvl w:ilvl="0">
      <w:lvlJc w:val="left"/>
      <w:lvlText w:val="(%1)"/>
      <w:numFmt w:val="decimal"/>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2023-06-06T15:29:40Z</dcterms:created>
  <dcterms:modified xsi:type="dcterms:W3CDTF">2023-06-06T15:29:40Z</dcterms:modified>
</cp:coreProperties>
</file>